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55" w:lineRule="exact"/>
        <w:rPr>
          <w:sz w:val="24"/>
          <w:szCs w:val="24"/>
          <w:color w:val="auto"/>
        </w:rPr>
      </w:pPr>
    </w:p>
    <w:p>
      <w:pPr>
        <w:jc w:val="center"/>
        <w:ind w:right="40"/>
        <w:spacing w:after="0" w:line="264" w:lineRule="auto"/>
        <w:rPr>
          <w:sz w:val="20"/>
          <w:szCs w:val="20"/>
          <w:color w:val="auto"/>
        </w:rPr>
      </w:pPr>
      <w:r>
        <w:rPr>
          <w:rFonts w:ascii="Times New Roman" w:cs="Times New Roman" w:eastAsia="Times New Roman" w:hAnsi="Times New Roman"/>
          <w:sz w:val="32"/>
          <w:szCs w:val="32"/>
          <w:b w:val="1"/>
          <w:bCs w:val="1"/>
          <w:color w:val="auto"/>
        </w:rPr>
        <w:t>THE CENTRAL HIGHLANDS REGIONAL FOREST AGREEMENT</w:t>
      </w:r>
    </w:p>
    <w:p>
      <w:pPr>
        <w:spacing w:after="0" w:line="255" w:lineRule="exact"/>
        <w:rPr>
          <w:sz w:val="24"/>
          <w:szCs w:val="24"/>
          <w:color w:val="auto"/>
        </w:rPr>
      </w:pPr>
    </w:p>
    <w:p>
      <w:pPr>
        <w:spacing w:after="0"/>
        <w:tabs>
          <w:tab w:leader="none" w:pos="5980" w:val="left"/>
          <w:tab w:leader="none" w:pos="8380" w:val="left"/>
        </w:tabs>
        <w:rPr>
          <w:sz w:val="20"/>
          <w:szCs w:val="20"/>
          <w:color w:val="auto"/>
        </w:rPr>
      </w:pPr>
      <w:r>
        <w:rPr>
          <w:rFonts w:ascii="Times New Roman" w:cs="Times New Roman" w:eastAsia="Times New Roman" w:hAnsi="Times New Roman"/>
          <w:sz w:val="24"/>
          <w:szCs w:val="24"/>
          <w:b w:val="1"/>
          <w:bCs w:val="1"/>
          <w:color w:val="auto"/>
        </w:rPr>
        <w:t xml:space="preserve">THIS AGREEMENT </w:t>
      </w:r>
      <w:r>
        <w:rPr>
          <w:rFonts w:ascii="Times New Roman" w:cs="Times New Roman" w:eastAsia="Times New Roman" w:hAnsi="Times New Roman"/>
          <w:sz w:val="24"/>
          <w:szCs w:val="24"/>
          <w:color w:val="auto"/>
        </w:rPr>
        <w:t>is made on the</w:t>
      </w:r>
      <w:r>
        <w:rPr>
          <w:sz w:val="20"/>
          <w:szCs w:val="20"/>
          <w:color w:val="auto"/>
        </w:rPr>
        <w:tab/>
      </w:r>
      <w:r>
        <w:rPr>
          <w:rFonts w:ascii="Times New Roman" w:cs="Times New Roman" w:eastAsia="Times New Roman" w:hAnsi="Times New Roman"/>
          <w:sz w:val="24"/>
          <w:szCs w:val="24"/>
          <w:color w:val="auto"/>
        </w:rPr>
        <w:t>day of</w:t>
      </w:r>
      <w:r>
        <w:rPr>
          <w:sz w:val="20"/>
          <w:szCs w:val="20"/>
          <w:color w:val="auto"/>
        </w:rPr>
        <w:tab/>
      </w:r>
      <w:r>
        <w:rPr>
          <w:rFonts w:ascii="Times New Roman" w:cs="Times New Roman" w:eastAsia="Times New Roman" w:hAnsi="Times New Roman"/>
          <w:sz w:val="24"/>
          <w:szCs w:val="24"/>
          <w:color w:val="auto"/>
        </w:rPr>
        <w:t>1998</w:t>
      </w:r>
    </w:p>
    <w:p>
      <w:pPr>
        <w:spacing w:after="0" w:line="286"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BETWEEN</w:t>
      </w:r>
    </w:p>
    <w:p>
      <w:pPr>
        <w:spacing w:after="0" w:line="276"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THE STATE OF VICTORIA, </w:t>
      </w:r>
      <w:r>
        <w:rPr>
          <w:rFonts w:ascii="Times New Roman" w:cs="Times New Roman" w:eastAsia="Times New Roman" w:hAnsi="Times New Roman"/>
          <w:sz w:val="24"/>
          <w:szCs w:val="24"/>
          <w:color w:val="auto"/>
        </w:rPr>
        <w:t>(“Victoria” or “the State”), and</w:t>
      </w:r>
    </w:p>
    <w:p>
      <w:pPr>
        <w:spacing w:after="0" w:line="284" w:lineRule="exact"/>
        <w:rPr>
          <w:sz w:val="24"/>
          <w:szCs w:val="24"/>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 xml:space="preserve">THE COMMONWEALTH OF AUSTRALIA </w:t>
      </w:r>
      <w:r>
        <w:rPr>
          <w:rFonts w:ascii="Times New Roman" w:cs="Times New Roman" w:eastAsia="Times New Roman" w:hAnsi="Times New Roman"/>
          <w:sz w:val="24"/>
          <w:szCs w:val="24"/>
          <w:color w:val="auto"/>
        </w:rPr>
        <w:t>(“the Commonwealth”).</w:t>
      </w:r>
    </w:p>
    <w:p>
      <w:pPr>
        <w:spacing w:after="0" w:line="285"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Preamble</w:t>
      </w:r>
    </w:p>
    <w:p>
      <w:pPr>
        <w:spacing w:after="0" w:line="243" w:lineRule="exact"/>
        <w:rPr>
          <w:sz w:val="24"/>
          <w:szCs w:val="24"/>
          <w:color w:val="auto"/>
        </w:rPr>
      </w:pPr>
    </w:p>
    <w:p>
      <w:pPr>
        <w:jc w:val="both"/>
        <w:ind w:left="20"/>
        <w:spacing w:after="0" w:line="236" w:lineRule="auto"/>
        <w:rPr>
          <w:sz w:val="20"/>
          <w:szCs w:val="20"/>
          <w:color w:val="auto"/>
        </w:rPr>
      </w:pPr>
      <w:r>
        <w:rPr>
          <w:rFonts w:ascii="Times New Roman" w:cs="Times New Roman" w:eastAsia="Times New Roman" w:hAnsi="Times New Roman"/>
          <w:sz w:val="22"/>
          <w:szCs w:val="22"/>
          <w:color w:val="auto"/>
        </w:rPr>
        <w:t>Victoria’s forests are of great importance. The Parties are committed to ensuring that Victoria’s forests are managed effectively to ensure that current and future generations enjoy the benefits and uses associated with forests.</w:t>
      </w:r>
    </w:p>
    <w:p>
      <w:pPr>
        <w:spacing w:after="0" w:line="132" w:lineRule="exact"/>
        <w:rPr>
          <w:sz w:val="24"/>
          <w:szCs w:val="24"/>
          <w:color w:val="auto"/>
        </w:rPr>
      </w:pPr>
    </w:p>
    <w:p>
      <w:pPr>
        <w:jc w:val="both"/>
        <w:ind w:left="20"/>
        <w:spacing w:after="0" w:line="238" w:lineRule="auto"/>
        <w:rPr>
          <w:sz w:val="20"/>
          <w:szCs w:val="20"/>
          <w:color w:val="auto"/>
        </w:rPr>
      </w:pPr>
      <w:r>
        <w:rPr>
          <w:rFonts w:ascii="Times New Roman" w:cs="Times New Roman" w:eastAsia="Times New Roman" w:hAnsi="Times New Roman"/>
          <w:sz w:val="22"/>
          <w:szCs w:val="22"/>
          <w:color w:val="auto"/>
        </w:rPr>
        <w:t>The Parties acknowledge Victorian Traditional Owners as the original custodians of Victoria’s land, forest and waters, over which Victorian Traditional Owners maintain their sovereignty has never been ceded. The Parties recognise and value Victorian Traditional Owners’ unique ability to care for and deep spiritual connection to Country. The Parties honour and pay their respects to Elders past, present and emerging whose knowledge and wisdom has ensured the continuation of culture and traditional practices in the face of colonisation.</w:t>
      </w:r>
    </w:p>
    <w:p>
      <w:pPr>
        <w:spacing w:after="0" w:line="134" w:lineRule="exact"/>
        <w:rPr>
          <w:sz w:val="24"/>
          <w:szCs w:val="24"/>
          <w:color w:val="auto"/>
        </w:rPr>
      </w:pPr>
    </w:p>
    <w:p>
      <w:pPr>
        <w:jc w:val="both"/>
        <w:ind w:left="20"/>
        <w:spacing w:after="0" w:line="236" w:lineRule="auto"/>
        <w:rPr>
          <w:sz w:val="20"/>
          <w:szCs w:val="20"/>
          <w:color w:val="auto"/>
        </w:rPr>
      </w:pPr>
      <w:r>
        <w:rPr>
          <w:rFonts w:ascii="Times New Roman" w:cs="Times New Roman" w:eastAsia="Times New Roman" w:hAnsi="Times New Roman"/>
          <w:sz w:val="22"/>
          <w:szCs w:val="22"/>
          <w:color w:val="auto"/>
        </w:rPr>
        <w:t>Victoria is committed to genuinely partner with Victoria's Traditional Owners to support the protection of Country, foster land, water, forest and fire management practices, and maintain all spiritual, mythological, religious and cultural practices.</w:t>
      </w:r>
    </w:p>
    <w:p>
      <w:pPr>
        <w:spacing w:after="0" w:line="132" w:lineRule="exact"/>
        <w:rPr>
          <w:sz w:val="24"/>
          <w:szCs w:val="24"/>
          <w:color w:val="auto"/>
        </w:rPr>
      </w:pPr>
    </w:p>
    <w:p>
      <w:pPr>
        <w:jc w:val="both"/>
        <w:ind w:left="20"/>
        <w:spacing w:after="0" w:line="236" w:lineRule="auto"/>
        <w:rPr>
          <w:sz w:val="20"/>
          <w:szCs w:val="20"/>
          <w:color w:val="auto"/>
        </w:rPr>
      </w:pPr>
      <w:r>
        <w:rPr>
          <w:rFonts w:ascii="Times New Roman" w:cs="Times New Roman" w:eastAsia="Times New Roman" w:hAnsi="Times New Roman"/>
          <w:sz w:val="22"/>
          <w:szCs w:val="22"/>
          <w:color w:val="auto"/>
        </w:rPr>
        <w:t>The parties recognise that natural disturbances, which are occurring at greater frequency and intensity, have the potential to impact on Forest values. Where Forest values are significantly impacted by such events the impacts will be the subject of monitoring and assessment within the framework of this RFA.</w:t>
      </w:r>
    </w:p>
    <w:p>
      <w:pPr>
        <w:spacing w:after="0" w:line="245"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Recitals</w:t>
      </w:r>
    </w:p>
    <w:p>
      <w:pPr>
        <w:spacing w:after="0" w:line="275"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color w:val="auto"/>
        </w:rPr>
        <w:t>WHEREAS:</w:t>
      </w:r>
    </w:p>
    <w:p>
      <w:pPr>
        <w:spacing w:after="0" w:line="283"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Purpose of Agreement</w:t>
      </w:r>
    </w:p>
    <w:p>
      <w:pPr>
        <w:spacing w:after="0" w:line="282" w:lineRule="exact"/>
        <w:rPr>
          <w:sz w:val="24"/>
          <w:szCs w:val="24"/>
          <w:color w:val="auto"/>
        </w:rPr>
      </w:pPr>
    </w:p>
    <w:p>
      <w:pPr>
        <w:jc w:val="both"/>
        <w:ind w:left="720" w:right="20" w:hanging="720"/>
        <w:spacing w:after="0" w:line="273" w:lineRule="auto"/>
        <w:tabs>
          <w:tab w:leader="none" w:pos="72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Regional Forest Agreement (RFA) establishes the framework for the management of the forests of the Central Highlands. Parties are committed to ensuring the Agreement is durable and that the obligations and commitments that it contains are delivered to ensure effective conservation, Forest Management and forest industry outcomes.</w:t>
      </w:r>
    </w:p>
    <w:p>
      <w:pPr>
        <w:spacing w:after="0" w:line="214" w:lineRule="exact"/>
        <w:rPr>
          <w:rFonts w:ascii="Times New Roman" w:cs="Times New Roman" w:eastAsia="Times New Roman" w:hAnsi="Times New Roman"/>
          <w:sz w:val="22"/>
          <w:szCs w:val="22"/>
          <w:color w:val="auto"/>
        </w:rPr>
      </w:pPr>
    </w:p>
    <w:p>
      <w:pPr>
        <w:jc w:val="both"/>
        <w:ind w:left="720" w:right="20" w:hanging="720"/>
        <w:spacing w:after="0" w:line="238" w:lineRule="auto"/>
        <w:tabs>
          <w:tab w:leader="none" w:pos="720" w:val="left"/>
        </w:tabs>
        <w:numPr>
          <w:ilvl w:val="0"/>
          <w:numId w:val="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This Agreement is a Regional Forest Agreement, for the purposes of the </w:t>
      </w:r>
      <w:r>
        <w:rPr>
          <w:rFonts w:ascii="Times New Roman" w:cs="Times New Roman" w:eastAsia="Times New Roman" w:hAnsi="Times New Roman"/>
          <w:sz w:val="22"/>
          <w:szCs w:val="22"/>
          <w:i w:val="1"/>
          <w:iCs w:val="1"/>
          <w:color w:val="auto"/>
        </w:rPr>
        <w:t>Regional Forest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Agreements Act 2002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Export Control Act 1982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Environment Protection and Biodiversity Conservation Act 1999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Export Control (Hardwood Wood Chips) (1996) Regulations </w:t>
      </w:r>
      <w:r>
        <w:rPr>
          <w:rFonts w:ascii="Times New Roman" w:cs="Times New Roman" w:eastAsia="Times New Roman" w:hAnsi="Times New Roman"/>
          <w:sz w:val="22"/>
          <w:szCs w:val="22"/>
          <w:color w:val="auto"/>
        </w:rPr>
        <w:t>(Cth) and the</w:t>
      </w:r>
      <w:r>
        <w:rPr>
          <w:rFonts w:ascii="Times New Roman" w:cs="Times New Roman" w:eastAsia="Times New Roman" w:hAnsi="Times New Roman"/>
          <w:sz w:val="22"/>
          <w:szCs w:val="22"/>
          <w:i w:val="1"/>
          <w:iCs w:val="1"/>
          <w:color w:val="auto"/>
        </w:rPr>
        <w:t xml:space="preserve"> Export Control (Regional Forest Agreements) Regulations </w:t>
      </w:r>
      <w:r>
        <w:rPr>
          <w:rFonts w:ascii="Times New Roman" w:cs="Times New Roman" w:eastAsia="Times New Roman" w:hAnsi="Times New Roman"/>
          <w:sz w:val="22"/>
          <w:szCs w:val="22"/>
          <w:color w:val="auto"/>
        </w:rPr>
        <w:t>(Cth). As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such, the Agreement:</w:t>
      </w:r>
    </w:p>
    <w:p>
      <w:pPr>
        <w:spacing w:after="0" w:line="118" w:lineRule="exact"/>
        <w:rPr>
          <w:rFonts w:ascii="Times New Roman" w:cs="Times New Roman" w:eastAsia="Times New Roman" w:hAnsi="Times New Roman"/>
          <w:sz w:val="22"/>
          <w:szCs w:val="22"/>
          <w:color w:val="auto"/>
        </w:rPr>
      </w:pPr>
    </w:p>
    <w:p>
      <w:pPr>
        <w:ind w:left="1280" w:right="20"/>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identifies a Comprehensive, Adequate and Representative Reserve System and provides for the conservation of those areas;</w:t>
      </w:r>
    </w:p>
    <w:p>
      <w:pPr>
        <w:spacing w:after="0" w:line="147" w:lineRule="exact"/>
        <w:rPr>
          <w:rFonts w:ascii="Times New Roman" w:cs="Times New Roman" w:eastAsia="Times New Roman" w:hAnsi="Times New Roman"/>
          <w:sz w:val="22"/>
          <w:szCs w:val="22"/>
          <w:color w:val="auto"/>
        </w:rPr>
      </w:pPr>
    </w:p>
    <w:p>
      <w:pPr>
        <w:ind w:left="1280" w:right="20"/>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provides for the ecologically sustainable management and use of Forests in the RFA Region;</w:t>
      </w:r>
    </w:p>
    <w:p>
      <w:pPr>
        <w:spacing w:after="0" w:line="200" w:lineRule="exact"/>
        <w:rPr>
          <w:sz w:val="24"/>
          <w:szCs w:val="24"/>
          <w:color w:val="auto"/>
        </w:rPr>
      </w:pPr>
    </w:p>
    <w:p>
      <w:pPr>
        <w:spacing w:after="0" w:line="363" w:lineRule="exact"/>
        <w:rPr>
          <w:sz w:val="24"/>
          <w:szCs w:val="24"/>
          <w:color w:val="auto"/>
        </w:rPr>
      </w:pPr>
    </w:p>
    <w:p>
      <w:pPr>
        <w:ind w:left="9100"/>
        <w:spacing w:after="0"/>
        <w:rPr>
          <w:sz w:val="20"/>
          <w:szCs w:val="20"/>
          <w:color w:val="auto"/>
        </w:rPr>
      </w:pPr>
      <w:r>
        <w:rPr>
          <w:rFonts w:ascii="Times New Roman" w:cs="Times New Roman" w:eastAsia="Times New Roman" w:hAnsi="Times New Roman"/>
          <w:sz w:val="18"/>
          <w:szCs w:val="18"/>
          <w:color w:val="auto"/>
        </w:rPr>
        <w:t>1</w:t>
      </w:r>
    </w:p>
    <w:p>
      <w:pPr>
        <w:sectPr>
          <w:pgSz w:w="11900" w:h="16838" w:orient="portrait"/>
          <w:cols w:equalWidth="0" w:num="1">
            <w:col w:w="9220"/>
          </w:cols>
          <w:pgMar w:left="1440" w:top="1440" w:right="1246" w:bottom="149" w:gutter="0" w:footer="0" w:header="0"/>
        </w:sectPr>
      </w:pPr>
    </w:p>
    <w:bookmarkStart w:id="1" w:name="page2"/>
    <w:bookmarkEnd w:id="1"/>
    <w:p>
      <w:pPr>
        <w:ind w:left="700"/>
        <w:spacing w:after="0"/>
        <w:rPr>
          <w:sz w:val="20"/>
          <w:szCs w:val="20"/>
          <w:color w:val="auto"/>
        </w:rPr>
      </w:pPr>
      <w:r>
        <w:rPr>
          <w:rFonts w:ascii="Times New Roman" w:cs="Times New Roman" w:eastAsia="Times New Roman" w:hAnsi="Times New Roman"/>
          <w:sz w:val="22"/>
          <w:szCs w:val="22"/>
          <w:color w:val="auto"/>
        </w:rPr>
        <w:t>is for the purpose of providing long-term stability of forests and forest industries; and</w:t>
      </w:r>
    </w:p>
    <w:p>
      <w:pPr>
        <w:spacing w:after="0" w:line="147" w:lineRule="exact"/>
        <w:rPr>
          <w:sz w:val="20"/>
          <w:szCs w:val="20"/>
          <w:color w:val="auto"/>
        </w:rPr>
      </w:pPr>
    </w:p>
    <w:p>
      <w:pPr>
        <w:ind w:left="1280" w:right="20"/>
        <w:spacing w:after="0" w:line="235" w:lineRule="auto"/>
        <w:rPr>
          <w:sz w:val="20"/>
          <w:szCs w:val="20"/>
          <w:color w:val="auto"/>
        </w:rPr>
      </w:pPr>
      <w:r>
        <w:rPr>
          <w:rFonts w:ascii="Times New Roman" w:cs="Times New Roman" w:eastAsia="Times New Roman" w:hAnsi="Times New Roman"/>
          <w:sz w:val="22"/>
          <w:szCs w:val="22"/>
          <w:color w:val="auto"/>
        </w:rPr>
        <w:t>has regard to studies and projects carried out in relation to all of the following matters relevant to the RFA Region -</w:t>
      </w:r>
    </w:p>
    <w:p>
      <w:pPr>
        <w:spacing w:after="0" w:line="157" w:lineRule="exact"/>
        <w:rPr>
          <w:sz w:val="20"/>
          <w:szCs w:val="20"/>
          <w:color w:val="auto"/>
        </w:rPr>
      </w:pPr>
    </w:p>
    <w:p>
      <w:pPr>
        <w:ind w:left="1980" w:hanging="703"/>
        <w:spacing w:after="0" w:line="235" w:lineRule="auto"/>
        <w:tabs>
          <w:tab w:leader="none" w:pos="198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environmental values, including old growth, Wilderness, endangered species, National Estate Values and World Heritage Values;</w:t>
      </w:r>
    </w:p>
    <w:p>
      <w:pPr>
        <w:spacing w:after="0" w:line="119"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Indigenous heritage values;</w:t>
      </w:r>
    </w:p>
    <w:p>
      <w:pPr>
        <w:spacing w:after="0" w:line="121"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economic values of forested areas and Forest Industries;</w:t>
      </w:r>
    </w:p>
    <w:p>
      <w:pPr>
        <w:spacing w:after="0" w:line="119"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social values (including community needs); and</w:t>
      </w:r>
    </w:p>
    <w:p>
      <w:pPr>
        <w:spacing w:after="0" w:line="119" w:lineRule="exact"/>
        <w:rPr>
          <w:rFonts w:ascii="Times New Roman" w:cs="Times New Roman" w:eastAsia="Times New Roman" w:hAnsi="Times New Roman"/>
          <w:sz w:val="22"/>
          <w:szCs w:val="22"/>
          <w:color w:val="auto"/>
        </w:rPr>
      </w:pPr>
    </w:p>
    <w:p>
      <w:pPr>
        <w:ind w:left="1980" w:hanging="703"/>
        <w:spacing w:after="0"/>
        <w:tabs>
          <w:tab w:leader="none" w:pos="1980" w:val="left"/>
        </w:tabs>
        <w:numPr>
          <w:ilvl w:val="1"/>
          <w:numId w:val="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principles of ecologically sustainable management.</w:t>
      </w:r>
    </w:p>
    <w:p>
      <w:pPr>
        <w:spacing w:after="0" w:line="254" w:lineRule="exact"/>
        <w:rPr>
          <w:sz w:val="20"/>
          <w:szCs w:val="20"/>
          <w:color w:val="auto"/>
        </w:rPr>
      </w:pPr>
    </w:p>
    <w:p>
      <w:pPr>
        <w:jc w:val="both"/>
        <w:ind w:left="720" w:hanging="720"/>
        <w:spacing w:after="0" w:line="271" w:lineRule="auto"/>
        <w:tabs>
          <w:tab w:leader="none" w:pos="720"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is divided into Parts. Part 1 applies to the whole Agreement. Part 2 is not intended to create legally binding relations. Part 3 is intended to create legally binding relations. The Attachments are not intended to create legally binding relations except to the extent that this is necessary to give effect to Part 3.</w:t>
      </w:r>
    </w:p>
    <w:p>
      <w:pPr>
        <w:spacing w:after="0" w:line="258" w:lineRule="exact"/>
        <w:rPr>
          <w:rFonts w:ascii="Times New Roman" w:cs="Times New Roman" w:eastAsia="Times New Roman" w:hAnsi="Times New Roman"/>
          <w:sz w:val="22"/>
          <w:szCs w:val="22"/>
          <w:color w:val="auto"/>
        </w:rPr>
      </w:pPr>
    </w:p>
    <w:p>
      <w:pPr>
        <w:ind w:left="720" w:right="20" w:hanging="720"/>
        <w:spacing w:after="0" w:line="266" w:lineRule="auto"/>
        <w:tabs>
          <w:tab w:leader="none" w:pos="720" w:val="left"/>
        </w:tabs>
        <w:numPr>
          <w:ilvl w:val="0"/>
          <w:numId w:val="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took effect on 27 March 1998. It was subsequently varied by the Parties on 26 March 2018 and in March 2020.</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2</w:t>
      </w:r>
    </w:p>
    <w:p>
      <w:pPr>
        <w:sectPr>
          <w:pgSz w:w="11900" w:h="16838" w:orient="portrait"/>
          <w:cols w:equalWidth="0" w:num="1">
            <w:col w:w="9200"/>
          </w:cols>
          <w:pgMar w:left="1440" w:top="1420" w:right="1266" w:bottom="149" w:gutter="0" w:footer="0" w:header="0"/>
        </w:sectPr>
      </w:pPr>
    </w:p>
    <w:bookmarkStart w:id="2" w:name="page3"/>
    <w:bookmarkEnd w:id="2"/>
    <w:p>
      <w:pPr>
        <w:spacing w:after="0"/>
        <w:rPr>
          <w:sz w:val="20"/>
          <w:szCs w:val="20"/>
          <w:color w:val="auto"/>
        </w:rPr>
      </w:pPr>
      <w:r>
        <w:rPr>
          <w:rFonts w:ascii="Times New Roman" w:cs="Times New Roman" w:eastAsia="Times New Roman" w:hAnsi="Times New Roman"/>
          <w:sz w:val="24"/>
          <w:szCs w:val="24"/>
          <w:b w:val="1"/>
          <w:bCs w:val="1"/>
          <w:color w:val="auto"/>
        </w:rPr>
        <w:t xml:space="preserve">NOW IT IS AGREED </w:t>
      </w:r>
      <w:r>
        <w:rPr>
          <w:rFonts w:ascii="Times New Roman" w:cs="Times New Roman" w:eastAsia="Times New Roman" w:hAnsi="Times New Roman"/>
          <w:sz w:val="24"/>
          <w:szCs w:val="24"/>
          <w:color w:val="auto"/>
        </w:rPr>
        <w:t>as follows:</w:t>
      </w:r>
    </w:p>
    <w:p>
      <w:pPr>
        <w:spacing w:after="0" w:line="288"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PART 1</w:t>
      </w:r>
    </w:p>
    <w:p>
      <w:pPr>
        <w:spacing w:after="0" w:line="28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Interpretation</w:t>
      </w:r>
    </w:p>
    <w:p>
      <w:pPr>
        <w:spacing w:after="0" w:line="284" w:lineRule="exact"/>
        <w:rPr>
          <w:sz w:val="20"/>
          <w:szCs w:val="20"/>
          <w:color w:val="auto"/>
        </w:rPr>
      </w:pPr>
    </w:p>
    <w:p>
      <w:pPr>
        <w:ind w:left="700" w:hanging="558"/>
        <w:spacing w:after="0" w:line="234" w:lineRule="auto"/>
        <w:tabs>
          <w:tab w:leader="none" w:pos="700" w:val="left"/>
        </w:tabs>
        <w:numPr>
          <w:ilvl w:val="0"/>
          <w:numId w:val="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is to be interpreted, unless the contrary intention appears, with reference to the definitions and general provisions specified in clauses 2 and 3.</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Definitions and General Provisions</w:t>
      </w:r>
    </w:p>
    <w:p>
      <w:pPr>
        <w:spacing w:after="0" w:line="234" w:lineRule="exact"/>
        <w:rPr>
          <w:sz w:val="20"/>
          <w:szCs w:val="20"/>
          <w:color w:val="auto"/>
        </w:rPr>
      </w:pPr>
    </w:p>
    <w:p>
      <w:pPr>
        <w:ind w:left="700" w:hanging="558"/>
        <w:spacing w:after="0"/>
        <w:tabs>
          <w:tab w:leader="none" w:pos="700" w:val="left"/>
        </w:tabs>
        <w:numPr>
          <w:ilvl w:val="0"/>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this Agreement unless the contrary intention appears:</w:t>
      </w:r>
    </w:p>
    <w:p>
      <w:pPr>
        <w:spacing w:after="0" w:line="239" w:lineRule="exact"/>
        <w:rPr>
          <w:rFonts w:ascii="Times New Roman" w:cs="Times New Roman" w:eastAsia="Times New Roman" w:hAnsi="Times New Roman"/>
          <w:sz w:val="22"/>
          <w:szCs w:val="22"/>
          <w:color w:val="auto"/>
        </w:rPr>
      </w:pPr>
    </w:p>
    <w:p>
      <w:pPr>
        <w:ind w:left="70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b w:val="1"/>
          <w:bCs w:val="1"/>
          <w:color w:val="auto"/>
        </w:rPr>
        <w:t xml:space="preserve">“Aboriginal Heritage Values” </w:t>
      </w:r>
      <w:r>
        <w:rPr>
          <w:rFonts w:ascii="Times New Roman" w:cs="Times New Roman" w:eastAsia="Times New Roman" w:hAnsi="Times New Roman"/>
          <w:sz w:val="22"/>
          <w:szCs w:val="22"/>
          <w:color w:val="auto"/>
        </w:rPr>
        <w:t>means:</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“Aboriginal cultural heritage”; and</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“Aboriginal intangible heritage”,</w:t>
      </w:r>
    </w:p>
    <w:p>
      <w:pPr>
        <w:spacing w:after="0" w:line="241"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color w:val="auto"/>
        </w:rPr>
        <w:t xml:space="preserve">as those terms are defined in the </w:t>
      </w:r>
      <w:r>
        <w:rPr>
          <w:rFonts w:ascii="Times New Roman" w:cs="Times New Roman" w:eastAsia="Times New Roman" w:hAnsi="Times New Roman"/>
          <w:sz w:val="22"/>
          <w:szCs w:val="22"/>
          <w:i w:val="1"/>
          <w:iCs w:val="1"/>
          <w:color w:val="auto"/>
        </w:rPr>
        <w:t>Aboriginal Heritage Act 2006</w:t>
      </w:r>
      <w:r>
        <w:rPr>
          <w:rFonts w:ascii="Times New Roman" w:cs="Times New Roman" w:eastAsia="Times New Roman" w:hAnsi="Times New Roman"/>
          <w:sz w:val="22"/>
          <w:szCs w:val="22"/>
          <w:color w:val="auto"/>
        </w:rPr>
        <w:t xml:space="preserve"> (Vic);</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“Aboriginal person” </w:t>
      </w:r>
      <w:r>
        <w:rPr>
          <w:rFonts w:ascii="Times New Roman" w:cs="Times New Roman" w:eastAsia="Times New Roman" w:hAnsi="Times New Roman"/>
          <w:sz w:val="22"/>
          <w:szCs w:val="22"/>
          <w:color w:val="auto"/>
        </w:rPr>
        <w:t>has the same meaning as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Aboriginal Heritage Act 2006</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51" w:lineRule="exact"/>
        <w:rPr>
          <w:sz w:val="20"/>
          <w:szCs w:val="20"/>
          <w:color w:val="auto"/>
        </w:rPr>
      </w:pPr>
    </w:p>
    <w:p>
      <w:pPr>
        <w:jc w:val="both"/>
        <w:ind w:left="70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“Action Statement” </w:t>
      </w:r>
      <w:r>
        <w:rPr>
          <w:rFonts w:ascii="Times New Roman" w:cs="Times New Roman" w:eastAsia="Times New Roman" w:hAnsi="Times New Roman"/>
          <w:sz w:val="22"/>
          <w:szCs w:val="22"/>
          <w:color w:val="auto"/>
        </w:rPr>
        <w:t>means an Action Statement made under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Flora and Fauna Guarantee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Act 1988 </w:t>
      </w:r>
      <w:r>
        <w:rPr>
          <w:rFonts w:ascii="Times New Roman" w:cs="Times New Roman" w:eastAsia="Times New Roman" w:hAnsi="Times New Roman"/>
          <w:sz w:val="22"/>
          <w:szCs w:val="22"/>
          <w:color w:val="auto"/>
        </w:rPr>
        <w:t>(Vic);</w:t>
      </w:r>
    </w:p>
    <w:p>
      <w:pPr>
        <w:spacing w:after="0" w:line="251" w:lineRule="exact"/>
        <w:rPr>
          <w:sz w:val="20"/>
          <w:szCs w:val="20"/>
          <w:color w:val="auto"/>
        </w:rPr>
      </w:pPr>
    </w:p>
    <w:p>
      <w:pPr>
        <w:jc w:val="both"/>
        <w:ind w:left="700" w:right="2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“Agreement” </w:t>
      </w:r>
      <w:r>
        <w:rPr>
          <w:rFonts w:ascii="Times New Roman" w:cs="Times New Roman" w:eastAsia="Times New Roman" w:hAnsi="Times New Roman"/>
          <w:sz w:val="22"/>
          <w:szCs w:val="22"/>
          <w:color w:val="auto"/>
        </w:rPr>
        <w:t>means all parts of this Agreement between the Commonwealth of Australia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State of Victoria and includes the Attachments to this Agreement;</w:t>
      </w:r>
    </w:p>
    <w:p>
      <w:pPr>
        <w:spacing w:after="0" w:line="251"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“Australian World Heritage Intergovernmental Agreement” </w:t>
      </w:r>
      <w:r>
        <w:rPr>
          <w:rFonts w:ascii="Times New Roman" w:cs="Times New Roman" w:eastAsia="Times New Roman" w:hAnsi="Times New Roman"/>
          <w:sz w:val="22"/>
          <w:szCs w:val="22"/>
          <w:color w:val="auto"/>
        </w:rPr>
        <w:t>means the Australian World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Heritage Intergovernmental Agreement, as agreed by the Commonwealth, the States and the Territories, as amended from time to time;</w:t>
      </w:r>
    </w:p>
    <w:p>
      <w:pPr>
        <w:spacing w:after="0" w:line="241"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“Biodiversity” </w:t>
      </w:r>
      <w:r>
        <w:rPr>
          <w:rFonts w:ascii="Times New Roman" w:cs="Times New Roman" w:eastAsia="Times New Roman" w:hAnsi="Times New Roman"/>
          <w:sz w:val="22"/>
          <w:szCs w:val="22"/>
          <w:color w:val="auto"/>
        </w:rPr>
        <w:t>means biodiversity as defined in the JANIS Report;</w:t>
      </w:r>
    </w:p>
    <w:p>
      <w:pPr>
        <w:spacing w:after="0" w:line="258" w:lineRule="exact"/>
        <w:rPr>
          <w:sz w:val="20"/>
          <w:szCs w:val="20"/>
          <w:color w:val="auto"/>
        </w:rPr>
      </w:pPr>
    </w:p>
    <w:p>
      <w:pPr>
        <w:jc w:val="both"/>
        <w:ind w:left="70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“CAR Reserve System” or “Comprehensive, Adequate and Representative Reserve System" </w:t>
      </w:r>
      <w:r>
        <w:rPr>
          <w:rFonts w:ascii="Times New Roman" w:cs="Times New Roman" w:eastAsia="Times New Roman" w:hAnsi="Times New Roman"/>
          <w:sz w:val="22"/>
          <w:szCs w:val="22"/>
          <w:color w:val="auto"/>
        </w:rPr>
        <w:t>means areas under any of the following categories of land tenure - as described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JANIS Report - Dedicated Reserves, Informal Reserves and other areas on Public Land protected by prescription, and areas of Private Land where the CAR Values are protected under secure management arrangement entered into with private landholders. This reserve system is based on the principles of comprehensiveness, adequacy and representativeness;</w:t>
      </w:r>
    </w:p>
    <w:p>
      <w:pPr>
        <w:spacing w:after="0" w:line="254" w:lineRule="exact"/>
        <w:rPr>
          <w:sz w:val="20"/>
          <w:szCs w:val="20"/>
          <w:color w:val="auto"/>
        </w:rPr>
      </w:pPr>
    </w:p>
    <w:p>
      <w:pPr>
        <w:jc w:val="both"/>
        <w:ind w:left="70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“CAR Values” </w:t>
      </w:r>
      <w:r>
        <w:rPr>
          <w:rFonts w:ascii="Times New Roman" w:cs="Times New Roman" w:eastAsia="Times New Roman" w:hAnsi="Times New Roman"/>
          <w:sz w:val="22"/>
          <w:szCs w:val="22"/>
          <w:color w:val="auto"/>
        </w:rPr>
        <w:t>means the conservation values as described by the JANIS Reserve Criteria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embodied in the CAR Reserve System;</w:t>
      </w:r>
    </w:p>
    <w:p>
      <w:pPr>
        <w:spacing w:after="0" w:line="242"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2"/>
          <w:szCs w:val="22"/>
          <w:b w:val="1"/>
          <w:bCs w:val="1"/>
          <w:color w:val="auto"/>
        </w:rPr>
        <w:t xml:space="preserve">“Central Highlands RFA Region” </w:t>
      </w:r>
      <w:r>
        <w:rPr>
          <w:rFonts w:ascii="Times New Roman" w:cs="Times New Roman" w:eastAsia="Times New Roman" w:hAnsi="Times New Roman"/>
          <w:sz w:val="22"/>
          <w:szCs w:val="22"/>
          <w:color w:val="auto"/>
        </w:rPr>
        <w:t>is the area described in clause 4 of this Agreement;</w:t>
      </w:r>
    </w:p>
    <w:p>
      <w:pPr>
        <w:spacing w:after="0" w:line="239"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2"/>
          <w:szCs w:val="22"/>
          <w:b w:val="1"/>
          <w:bCs w:val="1"/>
          <w:color w:val="auto"/>
        </w:rPr>
        <w:t xml:space="preserve">“Climate Change” </w:t>
      </w:r>
      <w:r>
        <w:rPr>
          <w:rFonts w:ascii="Times New Roman" w:cs="Times New Roman" w:eastAsia="Times New Roman" w:hAnsi="Times New Roman"/>
          <w:sz w:val="22"/>
          <w:szCs w:val="22"/>
          <w:color w:val="auto"/>
        </w:rPr>
        <w:t>has the same meaning as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Climate Change Act 2017</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53" w:lineRule="exact"/>
        <w:rPr>
          <w:sz w:val="20"/>
          <w:szCs w:val="20"/>
          <w:color w:val="auto"/>
        </w:rPr>
      </w:pPr>
    </w:p>
    <w:p>
      <w:pPr>
        <w:jc w:val="both"/>
        <w:ind w:left="72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“Climate Change Vulnerable” </w:t>
      </w:r>
      <w:r>
        <w:rPr>
          <w:rFonts w:ascii="Times New Roman" w:cs="Times New Roman" w:eastAsia="Times New Roman" w:hAnsi="Times New Roman"/>
          <w:sz w:val="22"/>
          <w:szCs w:val="22"/>
          <w:color w:val="auto"/>
        </w:rPr>
        <w:t>means the degree to which a system is susceptible to, and unable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to cope with, adverse effects of Climate Change, including climate variability and extremes. Vulnerability is a function of the character, magnitude and rate of Climate Change to which the system is exposed, its sensitivity, and its adaptative capacity;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6" w:lineRule="exact"/>
        <w:rPr>
          <w:sz w:val="20"/>
          <w:szCs w:val="20"/>
          <w:color w:val="auto"/>
        </w:rPr>
      </w:pPr>
    </w:p>
    <w:p>
      <w:pPr>
        <w:ind w:left="9100"/>
        <w:spacing w:after="0"/>
        <w:rPr>
          <w:sz w:val="20"/>
          <w:szCs w:val="20"/>
          <w:color w:val="auto"/>
        </w:rPr>
      </w:pPr>
      <w:r>
        <w:rPr>
          <w:rFonts w:ascii="Times New Roman" w:cs="Times New Roman" w:eastAsia="Times New Roman" w:hAnsi="Times New Roman"/>
          <w:sz w:val="18"/>
          <w:szCs w:val="18"/>
          <w:color w:val="auto"/>
        </w:rPr>
        <w:t>3</w:t>
      </w:r>
    </w:p>
    <w:p>
      <w:pPr>
        <w:sectPr>
          <w:pgSz w:w="11900" w:h="16838" w:orient="portrait"/>
          <w:cols w:equalWidth="0" w:num="1">
            <w:col w:w="9200"/>
          </w:cols>
          <w:pgMar w:left="1440" w:top="1432" w:right="1266" w:bottom="149" w:gutter="0" w:footer="0" w:header="0"/>
        </w:sectPr>
      </w:pPr>
    </w:p>
    <w:bookmarkStart w:id="3" w:name="page4"/>
    <w:bookmarkEnd w:id="3"/>
    <w:p>
      <w:pPr>
        <w:spacing w:after="0" w:line="4"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“Code of Practice for Timber Production” </w:t>
      </w:r>
      <w:r>
        <w:rPr>
          <w:rFonts w:ascii="Times New Roman" w:cs="Times New Roman" w:eastAsia="Times New Roman" w:hAnsi="Times New Roman"/>
          <w:sz w:val="22"/>
          <w:szCs w:val="22"/>
          <w:color w:val="auto"/>
        </w:rPr>
        <w:t>means the Code of Practice for Timber Production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2014 developed in accordance with the </w:t>
      </w:r>
      <w:r>
        <w:rPr>
          <w:rFonts w:ascii="Times New Roman" w:cs="Times New Roman" w:eastAsia="Times New Roman" w:hAnsi="Times New Roman"/>
          <w:sz w:val="22"/>
          <w:szCs w:val="22"/>
          <w:i w:val="1"/>
          <w:iCs w:val="1"/>
          <w:color w:val="auto"/>
        </w:rPr>
        <w:t>Conservation, Forest and Lands Act 1987</w:t>
      </w:r>
      <w:r>
        <w:rPr>
          <w:rFonts w:ascii="Times New Roman" w:cs="Times New Roman" w:eastAsia="Times New Roman" w:hAnsi="Times New Roman"/>
          <w:sz w:val="22"/>
          <w:szCs w:val="22"/>
          <w:color w:val="auto"/>
        </w:rPr>
        <w:t xml:space="preserve"> (Vic) and includes all incorporated documents but does not include associated documents;</w:t>
      </w:r>
    </w:p>
    <w:p>
      <w:pPr>
        <w:spacing w:after="0" w:line="252"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“Code of Practice for Bushfire Management on Public Land” </w:t>
      </w:r>
      <w:r>
        <w:rPr>
          <w:rFonts w:ascii="Times New Roman" w:cs="Times New Roman" w:eastAsia="Times New Roman" w:hAnsi="Times New Roman"/>
          <w:sz w:val="22"/>
          <w:szCs w:val="22"/>
          <w:color w:val="auto"/>
        </w:rPr>
        <w:t>means the Code of Practice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Bushfire Management on Public Land 2012 developed pursuant to the </w:t>
      </w:r>
      <w:r>
        <w:rPr>
          <w:rFonts w:ascii="Times New Roman" w:cs="Times New Roman" w:eastAsia="Times New Roman" w:hAnsi="Times New Roman"/>
          <w:sz w:val="22"/>
          <w:szCs w:val="22"/>
          <w:i w:val="1"/>
          <w:iCs w:val="1"/>
          <w:color w:val="auto"/>
        </w:rPr>
        <w:t>Conservation, Forests and</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Lands Act 1987 </w:t>
      </w:r>
      <w:r>
        <w:rPr>
          <w:rFonts w:ascii="Times New Roman" w:cs="Times New Roman" w:eastAsia="Times New Roman" w:hAnsi="Times New Roman"/>
          <w:sz w:val="22"/>
          <w:szCs w:val="22"/>
          <w:color w:val="auto"/>
        </w:rPr>
        <w:t>(Vic);</w:t>
      </w:r>
    </w:p>
    <w:p>
      <w:pPr>
        <w:spacing w:after="0" w:line="252" w:lineRule="exact"/>
        <w:rPr>
          <w:sz w:val="20"/>
          <w:szCs w:val="20"/>
          <w:color w:val="auto"/>
        </w:rPr>
      </w:pPr>
    </w:p>
    <w:p>
      <w:pPr>
        <w:jc w:val="both"/>
        <w:ind w:left="70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“Commissioner for Environmental Sustainability”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“Commissioner” </w:t>
      </w:r>
      <w:r>
        <w:rPr>
          <w:rFonts w:ascii="Times New Roman" w:cs="Times New Roman" w:eastAsia="Times New Roman" w:hAnsi="Times New Roman"/>
          <w:sz w:val="22"/>
          <w:szCs w:val="22"/>
          <w:color w:val="auto"/>
        </w:rPr>
        <w:t>means the person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appointed to the position of the Commissioner for Environmental Sustainability under the </w:t>
      </w:r>
      <w:r>
        <w:rPr>
          <w:rFonts w:ascii="Times New Roman" w:cs="Times New Roman" w:eastAsia="Times New Roman" w:hAnsi="Times New Roman"/>
          <w:sz w:val="22"/>
          <w:szCs w:val="22"/>
          <w:i w:val="1"/>
          <w:iCs w:val="1"/>
          <w:color w:val="auto"/>
        </w:rPr>
        <w:t xml:space="preserve">Commissioner for Environmental Sustainability Act 2003 </w:t>
      </w:r>
      <w:r>
        <w:rPr>
          <w:rFonts w:ascii="Times New Roman" w:cs="Times New Roman" w:eastAsia="Times New Roman" w:hAnsi="Times New Roman"/>
          <w:sz w:val="22"/>
          <w:szCs w:val="22"/>
          <w:color w:val="auto"/>
        </w:rPr>
        <w:t>(Vic) (including a person acting in that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role) or its equivalent or statutory successor;</w:t>
      </w:r>
    </w:p>
    <w:p>
      <w:pPr>
        <w:spacing w:after="0" w:line="254" w:lineRule="exact"/>
        <w:rPr>
          <w:sz w:val="20"/>
          <w:szCs w:val="20"/>
          <w:color w:val="auto"/>
        </w:rPr>
      </w:pPr>
    </w:p>
    <w:p>
      <w:pPr>
        <w:jc w:val="both"/>
        <w:ind w:left="720"/>
        <w:spacing w:after="0" w:line="250" w:lineRule="auto"/>
        <w:rPr>
          <w:sz w:val="20"/>
          <w:szCs w:val="20"/>
          <w:color w:val="auto"/>
        </w:rPr>
      </w:pPr>
      <w:r>
        <w:rPr>
          <w:rFonts w:ascii="Times New Roman" w:cs="Times New Roman" w:eastAsia="Times New Roman" w:hAnsi="Times New Roman"/>
          <w:sz w:val="21"/>
          <w:szCs w:val="21"/>
          <w:b w:val="1"/>
          <w:bCs w:val="1"/>
          <w:color w:val="auto"/>
        </w:rPr>
        <w:t xml:space="preserve">“Common Assessment Method MoU” </w:t>
      </w:r>
      <w:r>
        <w:rPr>
          <w:rFonts w:ascii="Times New Roman" w:cs="Times New Roman" w:eastAsia="Times New Roman" w:hAnsi="Times New Roman"/>
          <w:sz w:val="21"/>
          <w:szCs w:val="21"/>
          <w:color w:val="auto"/>
        </w:rPr>
        <w:t>means the</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i w:val="1"/>
          <w:iCs w:val="1"/>
          <w:color w:val="auto"/>
        </w:rPr>
        <w:t>Memorandum of Understanding - Agreement</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i w:val="1"/>
          <w:iCs w:val="1"/>
          <w:color w:val="auto"/>
        </w:rPr>
        <w:t>on a national common assessment method for listing of threatened species and communities;</w:t>
      </w:r>
    </w:p>
    <w:p>
      <w:pPr>
        <w:spacing w:after="0" w:line="243" w:lineRule="exact"/>
        <w:rPr>
          <w:sz w:val="20"/>
          <w:szCs w:val="20"/>
          <w:color w:val="auto"/>
        </w:rPr>
      </w:pPr>
    </w:p>
    <w:p>
      <w:pPr>
        <w:jc w:val="both"/>
        <w:ind w:left="70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“Commonwealth Heritage Management Principles” </w:t>
      </w:r>
      <w:r>
        <w:rPr>
          <w:rFonts w:ascii="Times New Roman" w:cs="Times New Roman" w:eastAsia="Times New Roman" w:hAnsi="Times New Roman"/>
          <w:sz w:val="22"/>
          <w:szCs w:val="22"/>
          <w:color w:val="auto"/>
        </w:rPr>
        <w:t>has the same meaning as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“Commonwealth Heritage management principles” in section 341Y of the EPBC Act;</w:t>
      </w:r>
    </w:p>
    <w:p>
      <w:pPr>
        <w:spacing w:after="0" w:line="253" w:lineRule="exact"/>
        <w:rPr>
          <w:sz w:val="20"/>
          <w:szCs w:val="20"/>
          <w:color w:val="auto"/>
        </w:rPr>
      </w:pPr>
    </w:p>
    <w:p>
      <w:pPr>
        <w:jc w:val="both"/>
        <w:ind w:left="70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“Commonwealth Heritage Place” </w:t>
      </w:r>
      <w:r>
        <w:rPr>
          <w:rFonts w:ascii="Times New Roman" w:cs="Times New Roman" w:eastAsia="Times New Roman" w:hAnsi="Times New Roman"/>
          <w:sz w:val="22"/>
          <w:szCs w:val="22"/>
          <w:color w:val="auto"/>
        </w:rPr>
        <w:t>has the same meaning as “Commonwealth Heritage place”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in subsection 341C(3) of the EPBC Act;</w:t>
      </w:r>
    </w:p>
    <w:p>
      <w:pPr>
        <w:spacing w:after="0" w:line="253" w:lineRule="exact"/>
        <w:rPr>
          <w:sz w:val="20"/>
          <w:szCs w:val="20"/>
          <w:color w:val="auto"/>
        </w:rPr>
      </w:pPr>
    </w:p>
    <w:p>
      <w:pPr>
        <w:jc w:val="both"/>
        <w:ind w:left="70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“Commonwealth Heritage Values” </w:t>
      </w:r>
      <w:r>
        <w:rPr>
          <w:rFonts w:ascii="Times New Roman" w:cs="Times New Roman" w:eastAsia="Times New Roman" w:hAnsi="Times New Roman"/>
          <w:sz w:val="22"/>
          <w:szCs w:val="22"/>
          <w:color w:val="auto"/>
        </w:rPr>
        <w:t>has the same meaning as “Commonwealth Heritage values”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in section 341D of the EPBC Act;</w:t>
      </w:r>
    </w:p>
    <w:p>
      <w:pPr>
        <w:spacing w:after="0" w:line="251" w:lineRule="exact"/>
        <w:rPr>
          <w:sz w:val="20"/>
          <w:szCs w:val="20"/>
          <w:color w:val="auto"/>
        </w:rPr>
      </w:pPr>
    </w:p>
    <w:p>
      <w:pPr>
        <w:jc w:val="both"/>
        <w:ind w:left="700" w:right="2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“Competition Principles Agreement” </w:t>
      </w:r>
      <w:r>
        <w:rPr>
          <w:rFonts w:ascii="Times New Roman" w:cs="Times New Roman" w:eastAsia="Times New Roman" w:hAnsi="Times New Roman"/>
          <w:sz w:val="22"/>
          <w:szCs w:val="22"/>
          <w:color w:val="auto"/>
        </w:rPr>
        <w:t>means the agreement of the same name updated by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Council of Australian Governments in 2007, as amended from time to time;</w:t>
      </w:r>
    </w:p>
    <w:p>
      <w:pPr>
        <w:spacing w:after="0" w:line="251"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“Comprehensive Regional Assessment”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“CRA” </w:t>
      </w:r>
      <w:r>
        <w:rPr>
          <w:rFonts w:ascii="Times New Roman" w:cs="Times New Roman" w:eastAsia="Times New Roman" w:hAnsi="Times New Roman"/>
          <w:sz w:val="22"/>
          <w:szCs w:val="22"/>
          <w:color w:val="auto"/>
        </w:rPr>
        <w:t>means the assessment process carried out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pursuant to Attachment 1 of the Scoping Agreement for Victorian Regional Forest Agreements between the Commonwealth of Australia and the State of Victoria;</w:t>
      </w:r>
    </w:p>
    <w:p>
      <w:pPr>
        <w:spacing w:after="0" w:line="252"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“Country” </w:t>
      </w:r>
      <w:r>
        <w:rPr>
          <w:rFonts w:ascii="Times New Roman" w:cs="Times New Roman" w:eastAsia="Times New Roman" w:hAnsi="Times New Roman"/>
          <w:sz w:val="22"/>
          <w:szCs w:val="22"/>
          <w:color w:val="auto"/>
        </w:rPr>
        <w:t>means all of the sentient and non-sentient parts of the world and the interactions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between them, according to Traditional Owner cultural lore. Cultural lore and life originate and are governed by Country;</w:t>
      </w:r>
    </w:p>
    <w:p>
      <w:pPr>
        <w:spacing w:after="0" w:line="255" w:lineRule="exact"/>
        <w:rPr>
          <w:sz w:val="20"/>
          <w:szCs w:val="20"/>
          <w:color w:val="auto"/>
        </w:rPr>
      </w:pPr>
    </w:p>
    <w:p>
      <w:pPr>
        <w:jc w:val="both"/>
        <w:ind w:left="70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“Crown land” </w:t>
      </w:r>
      <w:r>
        <w:rPr>
          <w:rFonts w:ascii="Times New Roman" w:cs="Times New Roman" w:eastAsia="Times New Roman" w:hAnsi="Times New Roman"/>
          <w:sz w:val="22"/>
          <w:szCs w:val="22"/>
          <w:color w:val="auto"/>
        </w:rPr>
        <w:t>means land which is, or is deemed to be, unalienated land of the Crown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includes </w:t>
      </w:r>
      <w:r>
        <w:rPr>
          <w:rFonts w:ascii="Times New Roman" w:cs="Times New Roman" w:eastAsia="Times New Roman" w:hAnsi="Times New Roman"/>
          <w:sz w:val="22"/>
          <w:szCs w:val="22"/>
          <w:u w:val="single" w:color="auto"/>
          <w:color w:val="auto"/>
        </w:rPr>
        <w:t>-</w:t>
      </w:r>
    </w:p>
    <w:p>
      <w:pPr>
        <w:spacing w:after="0" w:line="251" w:lineRule="exact"/>
        <w:rPr>
          <w:sz w:val="20"/>
          <w:szCs w:val="20"/>
          <w:color w:val="auto"/>
        </w:rPr>
      </w:pPr>
    </w:p>
    <w:p>
      <w:pPr>
        <w:ind w:left="1440" w:hanging="732"/>
        <w:spacing w:after="0" w:line="235" w:lineRule="auto"/>
        <w:tabs>
          <w:tab w:leader="none" w:pos="1440" w:val="left"/>
        </w:tabs>
        <w:numPr>
          <w:ilvl w:val="0"/>
          <w:numId w:val="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land of the Crown reserved permanently or temporarily or set aside by or under an Act; and</w:t>
      </w:r>
    </w:p>
    <w:p>
      <w:pPr>
        <w:spacing w:after="0" w:line="239" w:lineRule="exact"/>
        <w:rPr>
          <w:rFonts w:ascii="Times New Roman" w:cs="Times New Roman" w:eastAsia="Times New Roman" w:hAnsi="Times New Roman"/>
          <w:sz w:val="22"/>
          <w:szCs w:val="22"/>
          <w:color w:val="auto"/>
        </w:rPr>
      </w:pPr>
    </w:p>
    <w:p>
      <w:pPr>
        <w:ind w:left="1440" w:hanging="732"/>
        <w:spacing w:after="0"/>
        <w:tabs>
          <w:tab w:leader="none" w:pos="1440" w:val="left"/>
        </w:tabs>
        <w:numPr>
          <w:ilvl w:val="0"/>
          <w:numId w:val="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land of the Crown occupied by a person under a lease, licence or other right;</w:t>
      </w:r>
    </w:p>
    <w:p>
      <w:pPr>
        <w:spacing w:after="0" w:line="253" w:lineRule="exact"/>
        <w:rPr>
          <w:sz w:val="20"/>
          <w:szCs w:val="20"/>
          <w:color w:val="auto"/>
        </w:rPr>
      </w:pPr>
    </w:p>
    <w:p>
      <w:pPr>
        <w:jc w:val="both"/>
        <w:ind w:left="70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“Data Sovereignty” </w:t>
      </w:r>
      <w:r>
        <w:rPr>
          <w:rFonts w:ascii="Times New Roman" w:cs="Times New Roman" w:eastAsia="Times New Roman" w:hAnsi="Times New Roman"/>
          <w:sz w:val="22"/>
          <w:szCs w:val="22"/>
          <w:color w:val="auto"/>
        </w:rPr>
        <w:t>means, for the purposes of this Agreement, the rights of Aboriginal peoples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to govern and control the collection, ownership and application of data (information and knowledge) about their communities, peoples, cultural heritage, Traditional Owner Knowledge and traditional cultural expressions;</w:t>
      </w:r>
    </w:p>
    <w:p>
      <w:pPr>
        <w:spacing w:after="0" w:line="252" w:lineRule="exact"/>
        <w:rPr>
          <w:sz w:val="20"/>
          <w:szCs w:val="20"/>
          <w:color w:val="auto"/>
        </w:rPr>
      </w:pPr>
    </w:p>
    <w:p>
      <w:pPr>
        <w:jc w:val="both"/>
        <w:ind w:left="70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“Dedicated Reserve” </w:t>
      </w:r>
      <w:r>
        <w:rPr>
          <w:rFonts w:ascii="Times New Roman" w:cs="Times New Roman" w:eastAsia="Times New Roman" w:hAnsi="Times New Roman"/>
          <w:sz w:val="22"/>
          <w:szCs w:val="22"/>
          <w:color w:val="auto"/>
        </w:rPr>
        <w:t>means a formal reserve equivalent to International Union for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Conservation of Nature and Natural Resources (IUCN) Protected Area Management Categories I, II, III, or IV as defined by the IUCN Commission for National Parks and Protected Areas (1994). The status of Dedicated Reserves is secure, requiring action by the Victorian Parliament or in accordance with Victorian legislation for reservation or revocation. In Victoria, Dedicated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9100"/>
        <w:spacing w:after="0"/>
        <w:rPr>
          <w:sz w:val="20"/>
          <w:szCs w:val="20"/>
          <w:color w:val="auto"/>
        </w:rPr>
      </w:pPr>
      <w:r>
        <w:rPr>
          <w:rFonts w:ascii="Times New Roman" w:cs="Times New Roman" w:eastAsia="Times New Roman" w:hAnsi="Times New Roman"/>
          <w:sz w:val="18"/>
          <w:szCs w:val="18"/>
          <w:color w:val="auto"/>
        </w:rPr>
        <w:t>4</w:t>
      </w:r>
    </w:p>
    <w:p>
      <w:pPr>
        <w:sectPr>
          <w:pgSz w:w="11900" w:h="16838" w:orient="portrait"/>
          <w:cols w:equalWidth="0" w:num="1">
            <w:col w:w="9200"/>
          </w:cols>
          <w:pgMar w:left="1440" w:top="1440" w:right="1266" w:bottom="149" w:gutter="0" w:footer="0" w:header="0"/>
        </w:sectPr>
      </w:pPr>
    </w:p>
    <w:bookmarkStart w:id="4" w:name="page5"/>
    <w:bookmarkEnd w:id="4"/>
    <w:p>
      <w:pPr>
        <w:spacing w:after="0" w:line="4" w:lineRule="exact"/>
        <w:rPr>
          <w:sz w:val="20"/>
          <w:szCs w:val="20"/>
          <w:color w:val="auto"/>
        </w:rPr>
      </w:pPr>
    </w:p>
    <w:p>
      <w:pPr>
        <w:jc w:val="both"/>
        <w:ind w:left="700" w:right="40"/>
        <w:spacing w:after="0" w:line="234" w:lineRule="auto"/>
        <w:rPr>
          <w:sz w:val="20"/>
          <w:szCs w:val="20"/>
          <w:color w:val="auto"/>
        </w:rPr>
      </w:pPr>
      <w:r>
        <w:rPr>
          <w:rFonts w:ascii="Times New Roman" w:cs="Times New Roman" w:eastAsia="Times New Roman" w:hAnsi="Times New Roman"/>
          <w:sz w:val="22"/>
          <w:szCs w:val="22"/>
          <w:color w:val="auto"/>
        </w:rPr>
        <w:t xml:space="preserve">Reserves include, but are not limited to, parks under the </w:t>
      </w:r>
      <w:r>
        <w:rPr>
          <w:rFonts w:ascii="Times New Roman" w:cs="Times New Roman" w:eastAsia="Times New Roman" w:hAnsi="Times New Roman"/>
          <w:sz w:val="22"/>
          <w:szCs w:val="22"/>
          <w:i w:val="1"/>
          <w:iCs w:val="1"/>
          <w:color w:val="auto"/>
        </w:rPr>
        <w:t>National Parks Act 1975</w:t>
      </w:r>
      <w:r>
        <w:rPr>
          <w:rFonts w:ascii="Times New Roman" w:cs="Times New Roman" w:eastAsia="Times New Roman" w:hAnsi="Times New Roman"/>
          <w:sz w:val="22"/>
          <w:szCs w:val="22"/>
          <w:color w:val="auto"/>
        </w:rPr>
        <w:t xml:space="preserve"> (Vic) and flora, fauna or nature conservation reserves under the </w:t>
      </w:r>
      <w:r>
        <w:rPr>
          <w:rFonts w:ascii="Times New Roman" w:cs="Times New Roman" w:eastAsia="Times New Roman" w:hAnsi="Times New Roman"/>
          <w:sz w:val="22"/>
          <w:szCs w:val="22"/>
          <w:i w:val="1"/>
          <w:iCs w:val="1"/>
          <w:color w:val="auto"/>
        </w:rPr>
        <w:t>Crown Land (Reserves) Act 1978</w:t>
      </w:r>
      <w:r>
        <w:rPr>
          <w:rFonts w:ascii="Times New Roman" w:cs="Times New Roman" w:eastAsia="Times New Roman" w:hAnsi="Times New Roman"/>
          <w:sz w:val="22"/>
          <w:szCs w:val="22"/>
          <w:color w:val="auto"/>
        </w:rPr>
        <w:t xml:space="preserve"> (Vic);</w:t>
      </w:r>
    </w:p>
    <w:p>
      <w:pPr>
        <w:spacing w:after="0" w:line="253" w:lineRule="exact"/>
        <w:rPr>
          <w:sz w:val="20"/>
          <w:szCs w:val="20"/>
          <w:color w:val="auto"/>
        </w:rPr>
      </w:pPr>
    </w:p>
    <w:p>
      <w:pPr>
        <w:jc w:val="both"/>
        <w:ind w:left="700" w:right="4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“Ecologically Sustainable Forest Management”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“ESFM” </w:t>
      </w:r>
      <w:r>
        <w:rPr>
          <w:rFonts w:ascii="Times New Roman" w:cs="Times New Roman" w:eastAsia="Times New Roman" w:hAnsi="Times New Roman"/>
          <w:sz w:val="22"/>
          <w:szCs w:val="22"/>
          <w:color w:val="auto"/>
        </w:rPr>
        <w:t>means forest management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use in accordance with the specific objectives and policies for ecologically sustainable development as detailed in the National Forest Policy Statement;</w:t>
      </w:r>
    </w:p>
    <w:p>
      <w:pPr>
        <w:spacing w:after="0" w:line="252" w:lineRule="exact"/>
        <w:rPr>
          <w:sz w:val="20"/>
          <w:szCs w:val="20"/>
          <w:color w:val="auto"/>
        </w:rPr>
      </w:pPr>
    </w:p>
    <w:p>
      <w:pPr>
        <w:jc w:val="both"/>
        <w:ind w:left="700" w:right="4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“Ecological Vegetation Class”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“EVC” </w:t>
      </w:r>
      <w:r>
        <w:rPr>
          <w:rFonts w:ascii="Times New Roman" w:cs="Times New Roman" w:eastAsia="Times New Roman" w:hAnsi="Times New Roman"/>
          <w:sz w:val="22"/>
          <w:szCs w:val="22"/>
          <w:color w:val="auto"/>
        </w:rPr>
        <w:t>means for the purposes of the Agreement a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ecosystem as defined in the JANIS Report. EVCs as they existed at 1998 are described in the Central Highlands CRA “Biodiversity Report” published by the Commonwealth and Victorian RFA Steering Committee in 1997. EVCs as they existed at 2019 in the Central Highlands RFA region are listed in Attachment 1;</w:t>
      </w:r>
    </w:p>
    <w:p>
      <w:pPr>
        <w:spacing w:after="0" w:line="256" w:lineRule="exact"/>
        <w:rPr>
          <w:sz w:val="20"/>
          <w:szCs w:val="20"/>
          <w:color w:val="auto"/>
        </w:rPr>
      </w:pPr>
    </w:p>
    <w:p>
      <w:pPr>
        <w:jc w:val="both"/>
        <w:ind w:left="700" w:right="4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“Ecosystem Services” </w:t>
      </w:r>
      <w:r>
        <w:rPr>
          <w:rFonts w:ascii="Times New Roman" w:cs="Times New Roman" w:eastAsia="Times New Roman" w:hAnsi="Times New Roman"/>
          <w:sz w:val="22"/>
          <w:szCs w:val="22"/>
          <w:color w:val="auto"/>
        </w:rPr>
        <w:t>are the benefits (including goods and services) provided by ecosystems,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and the contributions that ecosystems make to human well-being, arising from both biotic and abiotic processes as well as their interaction. Ecosystem Services related to Forests include, but are not limited to, carbon sequestration, provision of biomass including timber, provision of recreation, provision of clean water and pollination;</w:t>
      </w:r>
    </w:p>
    <w:p>
      <w:pPr>
        <w:spacing w:after="0" w:line="256" w:lineRule="exact"/>
        <w:rPr>
          <w:sz w:val="20"/>
          <w:szCs w:val="20"/>
          <w:color w:val="auto"/>
        </w:rPr>
      </w:pPr>
    </w:p>
    <w:p>
      <w:pPr>
        <w:jc w:val="both"/>
        <w:ind w:left="700" w:right="4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“Environment and Heritage Values” </w:t>
      </w:r>
      <w:r>
        <w:rPr>
          <w:rFonts w:ascii="Times New Roman" w:cs="Times New Roman" w:eastAsia="Times New Roman" w:hAnsi="Times New Roman"/>
          <w:sz w:val="22"/>
          <w:szCs w:val="22"/>
          <w:color w:val="auto"/>
        </w:rPr>
        <w:t>means values assessed as part of the CRA pursuant to</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Attachment 1 of the RFA Scoping Agreement. These include Old Growth Forests, Wilderness, endangered species, National Estate Values, World Heritage Values and Indigenous heritage values;</w:t>
      </w:r>
    </w:p>
    <w:p>
      <w:pPr>
        <w:spacing w:after="0" w:line="242"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“EPBC Act”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Environment Protection and Biodiversity Conservation Act 1999</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(Cth);</w:t>
      </w:r>
    </w:p>
    <w:p>
      <w:pPr>
        <w:spacing w:after="0" w:line="251" w:lineRule="exact"/>
        <w:rPr>
          <w:sz w:val="20"/>
          <w:szCs w:val="20"/>
          <w:color w:val="auto"/>
        </w:rPr>
      </w:pPr>
    </w:p>
    <w:p>
      <w:pPr>
        <w:jc w:val="both"/>
        <w:ind w:left="700" w:right="4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“Environment Conservation Council” </w:t>
      </w:r>
      <w:r>
        <w:rPr>
          <w:rFonts w:ascii="Times New Roman" w:cs="Times New Roman" w:eastAsia="Times New Roman" w:hAnsi="Times New Roman"/>
          <w:sz w:val="22"/>
          <w:szCs w:val="22"/>
          <w:color w:val="auto"/>
        </w:rPr>
        <w:t>means the Council of the same name established under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the </w:t>
      </w:r>
      <w:r>
        <w:rPr>
          <w:rFonts w:ascii="Times New Roman" w:cs="Times New Roman" w:eastAsia="Times New Roman" w:hAnsi="Times New Roman"/>
          <w:sz w:val="22"/>
          <w:szCs w:val="22"/>
          <w:i w:val="1"/>
          <w:iCs w:val="1"/>
          <w:color w:val="auto"/>
        </w:rPr>
        <w:t>Environment Conservation Council Act 1997</w:t>
      </w:r>
      <w:r>
        <w:rPr>
          <w:rFonts w:ascii="Times New Roman" w:cs="Times New Roman" w:eastAsia="Times New Roman" w:hAnsi="Times New Roman"/>
          <w:sz w:val="22"/>
          <w:szCs w:val="22"/>
          <w:color w:val="auto"/>
        </w:rPr>
        <w:t xml:space="preserve"> (Vic);</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“FFG Act”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51" w:lineRule="exact"/>
        <w:rPr>
          <w:sz w:val="20"/>
          <w:szCs w:val="20"/>
          <w:color w:val="auto"/>
        </w:rPr>
      </w:pPr>
    </w:p>
    <w:p>
      <w:pPr>
        <w:ind w:left="70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“Five-yearly Review” </w:t>
      </w:r>
      <w:r>
        <w:rPr>
          <w:rFonts w:ascii="Times New Roman" w:cs="Times New Roman" w:eastAsia="Times New Roman" w:hAnsi="Times New Roman"/>
          <w:sz w:val="22"/>
          <w:szCs w:val="22"/>
          <w:color w:val="auto"/>
        </w:rPr>
        <w:t>means a review of the same name undertaken pursuant to clause 36 of this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Agreement;</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“Five-yearly Review Report” </w:t>
      </w:r>
      <w:r>
        <w:rPr>
          <w:rFonts w:ascii="Times New Roman" w:cs="Times New Roman" w:eastAsia="Times New Roman" w:hAnsi="Times New Roman"/>
          <w:sz w:val="22"/>
          <w:szCs w:val="22"/>
          <w:color w:val="auto"/>
        </w:rPr>
        <w:t>means a report prepared pursuant to clause 37I(c);</w:t>
      </w:r>
    </w:p>
    <w:p>
      <w:pPr>
        <w:spacing w:after="0" w:line="253" w:lineRule="exact"/>
        <w:rPr>
          <w:sz w:val="20"/>
          <w:szCs w:val="20"/>
          <w:color w:val="auto"/>
        </w:rPr>
      </w:pPr>
    </w:p>
    <w:p>
      <w:pPr>
        <w:jc w:val="both"/>
        <w:ind w:left="700" w:right="40"/>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“Forest” </w:t>
      </w:r>
      <w:r>
        <w:rPr>
          <w:rFonts w:ascii="Times New Roman" w:cs="Times New Roman" w:eastAsia="Times New Roman" w:hAnsi="Times New Roman"/>
          <w:sz w:val="22"/>
          <w:szCs w:val="22"/>
          <w:color w:val="auto"/>
        </w:rPr>
        <w:t>means an area, incorporating all living and non-living components, that is dominated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by trees having usually a single stem and a mature or potentially mature stand height exceeding 2 metres and with existing or potential crown cover of overstorey strata about equal to or greater than 20 per cent. This includes Australia’s diverse Native Forests and Plantations, regardless of age. It is also sufficiently broad to encompass areas of trees that are sometimes described as woodlands;</w:t>
      </w:r>
    </w:p>
    <w:p>
      <w:pPr>
        <w:spacing w:after="0" w:line="252" w:lineRule="exact"/>
        <w:rPr>
          <w:sz w:val="20"/>
          <w:szCs w:val="20"/>
          <w:color w:val="auto"/>
        </w:rPr>
      </w:pPr>
    </w:p>
    <w:p>
      <w:pPr>
        <w:jc w:val="both"/>
        <w:ind w:left="700" w:right="6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“Forest Ecosystem” </w:t>
      </w:r>
      <w:r>
        <w:rPr>
          <w:rFonts w:ascii="Times New Roman" w:cs="Times New Roman" w:eastAsia="Times New Roman" w:hAnsi="Times New Roman"/>
          <w:sz w:val="22"/>
          <w:szCs w:val="22"/>
          <w:color w:val="auto"/>
        </w:rPr>
        <w:t>means a forest ecosystem as defined in the JANIS Report.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Ecosystems in the RFA Region are listed in Attachment 1 of this Agreement;</w:t>
      </w:r>
    </w:p>
    <w:p>
      <w:pPr>
        <w:spacing w:after="0" w:line="242"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“Forest Estate” </w:t>
      </w:r>
      <w:r>
        <w:rPr>
          <w:rFonts w:ascii="Times New Roman" w:cs="Times New Roman" w:eastAsia="Times New Roman" w:hAnsi="Times New Roman"/>
          <w:sz w:val="22"/>
          <w:szCs w:val="22"/>
          <w:color w:val="auto"/>
        </w:rPr>
        <w:t>means all Forests growing on Public Land or Private Land;</w:t>
      </w:r>
    </w:p>
    <w:p>
      <w:pPr>
        <w:spacing w:after="0" w:line="251" w:lineRule="exact"/>
        <w:rPr>
          <w:sz w:val="20"/>
          <w:szCs w:val="20"/>
          <w:color w:val="auto"/>
        </w:rPr>
      </w:pPr>
    </w:p>
    <w:p>
      <w:pPr>
        <w:jc w:val="both"/>
        <w:ind w:left="700" w:right="4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“Forest Industries” </w:t>
      </w:r>
      <w:r>
        <w:rPr>
          <w:rFonts w:ascii="Times New Roman" w:cs="Times New Roman" w:eastAsia="Times New Roman" w:hAnsi="Times New Roman"/>
          <w:sz w:val="22"/>
          <w:szCs w:val="22"/>
          <w:color w:val="auto"/>
        </w:rPr>
        <w:t>for the purpose of this Agreement means industries that generate jobs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economic benefits that depend on Forests including (but not limited to) Timber and Forestry Products Industries, nature based tourism and apiculture;</w:t>
      </w:r>
    </w:p>
    <w:p>
      <w:pPr>
        <w:spacing w:after="0" w:line="253" w:lineRule="exact"/>
        <w:rPr>
          <w:sz w:val="20"/>
          <w:szCs w:val="20"/>
          <w:color w:val="auto"/>
        </w:rPr>
      </w:pPr>
    </w:p>
    <w:p>
      <w:pPr>
        <w:jc w:val="both"/>
        <w:ind w:left="700" w:right="40"/>
        <w:spacing w:after="0" w:line="235"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Forest Management</w:t>
      </w:r>
      <w:r>
        <w:rPr>
          <w:rFonts w:ascii="Times New Roman" w:cs="Times New Roman" w:eastAsia="Times New Roman" w:hAnsi="Times New Roman"/>
          <w:sz w:val="22"/>
          <w:szCs w:val="22"/>
          <w:color w:val="auto"/>
        </w:rPr>
        <w:t>” means the management and administration of all Forests on Public Land and Private Land, including Native Forest and Plantations;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9100"/>
        <w:spacing w:after="0"/>
        <w:rPr>
          <w:sz w:val="20"/>
          <w:szCs w:val="20"/>
          <w:color w:val="auto"/>
        </w:rPr>
      </w:pPr>
      <w:r>
        <w:rPr>
          <w:rFonts w:ascii="Times New Roman" w:cs="Times New Roman" w:eastAsia="Times New Roman" w:hAnsi="Times New Roman"/>
          <w:sz w:val="18"/>
          <w:szCs w:val="18"/>
          <w:color w:val="auto"/>
        </w:rPr>
        <w:t>5</w:t>
      </w:r>
    </w:p>
    <w:p>
      <w:pPr>
        <w:sectPr>
          <w:pgSz w:w="11900" w:h="16838" w:orient="portrait"/>
          <w:cols w:equalWidth="0" w:num="1">
            <w:col w:w="9240"/>
          </w:cols>
          <w:pgMar w:left="1440" w:top="1440" w:right="1226" w:bottom="149" w:gutter="0" w:footer="0" w:header="0"/>
        </w:sectPr>
      </w:pPr>
    </w:p>
    <w:bookmarkStart w:id="5" w:name="page6"/>
    <w:bookmarkEnd w:id="5"/>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“Forest Management Plan” </w:t>
      </w:r>
      <w:r>
        <w:rPr>
          <w:rFonts w:ascii="Times New Roman" w:cs="Times New Roman" w:eastAsia="Times New Roman" w:hAnsi="Times New Roman"/>
          <w:sz w:val="22"/>
          <w:szCs w:val="22"/>
          <w:color w:val="auto"/>
        </w:rPr>
        <w:t>means:</w:t>
      </w:r>
    </w:p>
    <w:p>
      <w:pPr>
        <w:spacing w:after="0" w:line="251" w:lineRule="exact"/>
        <w:rPr>
          <w:sz w:val="20"/>
          <w:szCs w:val="20"/>
          <w:color w:val="auto"/>
        </w:rPr>
      </w:pPr>
    </w:p>
    <w:p>
      <w:pPr>
        <w:ind w:left="1420" w:hanging="712"/>
        <w:spacing w:after="0" w:line="235" w:lineRule="auto"/>
        <w:tabs>
          <w:tab w:leader="none" w:pos="142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Forest Management Plan for the Central Highlands until a plan as described in sub-paragraphs (b) or (c) is in force;</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 working plan made pursuant to the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color w:val="auto"/>
        </w:rPr>
        <w:t xml:space="preserve"> (Vic) that remains in force; and</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plan made under current or future State legislation which contains:</w:t>
      </w:r>
    </w:p>
    <w:p>
      <w:pPr>
        <w:spacing w:after="0" w:line="239" w:lineRule="exact"/>
        <w:rPr>
          <w:rFonts w:ascii="Times New Roman" w:cs="Times New Roman" w:eastAsia="Times New Roman" w:hAnsi="Times New Roman"/>
          <w:sz w:val="22"/>
          <w:szCs w:val="22"/>
          <w:color w:val="auto"/>
        </w:rPr>
      </w:pPr>
    </w:p>
    <w:p>
      <w:pPr>
        <w:ind w:left="2160" w:hanging="676"/>
        <w:spacing w:after="0"/>
        <w:tabs>
          <w:tab w:leader="none" w:pos="2160" w:val="left"/>
        </w:tabs>
        <w:numPr>
          <w:ilvl w:val="1"/>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objectives;</w:t>
      </w:r>
    </w:p>
    <w:p>
      <w:pPr>
        <w:spacing w:after="0" w:line="239"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strategies to meet objectives; and</w:t>
      </w:r>
    </w:p>
    <w:p>
      <w:pPr>
        <w:spacing w:after="0" w:line="242" w:lineRule="exact"/>
        <w:rPr>
          <w:sz w:val="20"/>
          <w:szCs w:val="20"/>
          <w:color w:val="auto"/>
        </w:rPr>
      </w:pPr>
    </w:p>
    <w:p>
      <w:pPr>
        <w:ind w:left="2120" w:hanging="701"/>
        <w:spacing w:after="0"/>
        <w:tabs>
          <w:tab w:leader="none" w:pos="2120" w:val="left"/>
        </w:tabs>
        <w:numPr>
          <w:ilvl w:val="0"/>
          <w:numId w:val="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priority management actions,</w:t>
      </w:r>
    </w:p>
    <w:p>
      <w:pPr>
        <w:spacing w:after="0" w:line="239"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2"/>
          <w:szCs w:val="22"/>
          <w:color w:val="auto"/>
        </w:rPr>
        <w:t>pertaining to Forest Management which remains in force;</w:t>
      </w:r>
    </w:p>
    <w:p>
      <w:pPr>
        <w:spacing w:after="0" w:line="253" w:lineRule="exact"/>
        <w:rPr>
          <w:sz w:val="20"/>
          <w:szCs w:val="20"/>
          <w:color w:val="auto"/>
        </w:rPr>
      </w:pPr>
    </w:p>
    <w:p>
      <w:pPr>
        <w:jc w:val="both"/>
        <w:ind w:left="70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“Forest Management Plan for the Central Highlands” </w:t>
      </w:r>
      <w:r>
        <w:rPr>
          <w:rFonts w:ascii="Times New Roman" w:cs="Times New Roman" w:eastAsia="Times New Roman" w:hAnsi="Times New Roman"/>
          <w:sz w:val="22"/>
          <w:szCs w:val="22"/>
          <w:color w:val="auto"/>
        </w:rPr>
        <w:t>means the document titled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Plan for the Central Highlands’ produced by the then Victorian Department of Natural Resources and Environment dated May 1998;</w:t>
      </w:r>
    </w:p>
    <w:p>
      <w:pPr>
        <w:spacing w:after="0" w:line="255" w:lineRule="exact"/>
        <w:rPr>
          <w:sz w:val="20"/>
          <w:szCs w:val="20"/>
          <w:color w:val="auto"/>
        </w:rPr>
      </w:pPr>
    </w:p>
    <w:p>
      <w:pPr>
        <w:jc w:val="both"/>
        <w:ind w:left="700"/>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“Forest Management System” </w:t>
      </w:r>
      <w:r>
        <w:rPr>
          <w:rFonts w:ascii="Times New Roman" w:cs="Times New Roman" w:eastAsia="Times New Roman" w:hAnsi="Times New Roman"/>
          <w:sz w:val="22"/>
          <w:szCs w:val="22"/>
          <w:color w:val="auto"/>
        </w:rPr>
        <w:t>means the State’s suite of legislation, policies, codes, plans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practices and processes, as amended from time to time, being as generally described in the ‘</w:t>
      </w:r>
      <w:r>
        <w:rPr>
          <w:rFonts w:ascii="Times New Roman" w:cs="Times New Roman" w:eastAsia="Times New Roman" w:hAnsi="Times New Roman"/>
          <w:sz w:val="22"/>
          <w:szCs w:val="22"/>
          <w:i w:val="1"/>
          <w:iCs w:val="1"/>
          <w:color w:val="auto"/>
        </w:rPr>
        <w:t>Overview of the Victorian Forest Management System’</w:t>
      </w:r>
      <w:r>
        <w:rPr>
          <w:rFonts w:ascii="Times New Roman" w:cs="Times New Roman" w:eastAsia="Times New Roman" w:hAnsi="Times New Roman"/>
          <w:sz w:val="22"/>
          <w:szCs w:val="22"/>
          <w:color w:val="auto"/>
        </w:rPr>
        <w:t xml:space="preserve"> published by the State (which is to be maintained by the State, and updated from time to time to reflect amendments in legislation, policies, codes, plans and management practices and processes);</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“Forest Products” </w:t>
      </w:r>
      <w:r>
        <w:rPr>
          <w:rFonts w:ascii="Times New Roman" w:cs="Times New Roman" w:eastAsia="Times New Roman" w:hAnsi="Times New Roman"/>
          <w:sz w:val="22"/>
          <w:szCs w:val="22"/>
          <w:color w:val="auto"/>
        </w:rPr>
        <w:t>means all live and dead trees, ferns or shrubs or parts thereof;</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“Forestry Operations” </w:t>
      </w:r>
      <w:r>
        <w:rPr>
          <w:rFonts w:ascii="Times New Roman" w:cs="Times New Roman" w:eastAsia="Times New Roman" w:hAnsi="Times New Roman"/>
          <w:sz w:val="22"/>
          <w:szCs w:val="22"/>
          <w:color w:val="auto"/>
        </w:rPr>
        <w:t>means -</w:t>
      </w:r>
    </w:p>
    <w:p>
      <w:pPr>
        <w:spacing w:after="0" w:line="241" w:lineRule="exact"/>
        <w:rPr>
          <w:sz w:val="20"/>
          <w:szCs w:val="20"/>
          <w:color w:val="auto"/>
        </w:rPr>
      </w:pPr>
    </w:p>
    <w:p>
      <w:pPr>
        <w:ind w:left="1440" w:hanging="720"/>
        <w:spacing w:after="0"/>
        <w:tabs>
          <w:tab w:leader="none" w:pos="1440"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planting of trees; or</w:t>
      </w:r>
    </w:p>
    <w:p>
      <w:pPr>
        <w:spacing w:after="0" w:line="239" w:lineRule="exact"/>
        <w:rPr>
          <w:rFonts w:ascii="Times New Roman" w:cs="Times New Roman" w:eastAsia="Times New Roman" w:hAnsi="Times New Roman"/>
          <w:sz w:val="22"/>
          <w:szCs w:val="22"/>
          <w:color w:val="auto"/>
        </w:rPr>
      </w:pPr>
    </w:p>
    <w:p>
      <w:pPr>
        <w:ind w:left="1440" w:hanging="720"/>
        <w:spacing w:after="0"/>
        <w:tabs>
          <w:tab w:leader="none" w:pos="1440"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managing of trees before they are harvested; or</w:t>
      </w:r>
    </w:p>
    <w:p>
      <w:pPr>
        <w:spacing w:after="0" w:line="241" w:lineRule="exact"/>
        <w:rPr>
          <w:rFonts w:ascii="Times New Roman" w:cs="Times New Roman" w:eastAsia="Times New Roman" w:hAnsi="Times New Roman"/>
          <w:sz w:val="22"/>
          <w:szCs w:val="22"/>
          <w:color w:val="auto"/>
        </w:rPr>
      </w:pPr>
    </w:p>
    <w:p>
      <w:pPr>
        <w:ind w:left="1440" w:hanging="720"/>
        <w:spacing w:after="0"/>
        <w:tabs>
          <w:tab w:leader="none" w:pos="1440" w:val="left"/>
        </w:tabs>
        <w:numPr>
          <w:ilvl w:val="0"/>
          <w:numId w:val="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harvesting of Forest Products</w:t>
      </w:r>
    </w:p>
    <w:p>
      <w:pPr>
        <w:spacing w:after="0" w:line="251" w:lineRule="exact"/>
        <w:rPr>
          <w:sz w:val="20"/>
          <w:szCs w:val="20"/>
          <w:color w:val="auto"/>
        </w:rPr>
      </w:pPr>
    </w:p>
    <w:p>
      <w:pPr>
        <w:jc w:val="both"/>
        <w:ind w:left="700"/>
        <w:spacing w:after="0" w:line="234" w:lineRule="auto"/>
        <w:rPr>
          <w:sz w:val="20"/>
          <w:szCs w:val="20"/>
          <w:color w:val="auto"/>
        </w:rPr>
      </w:pPr>
      <w:r>
        <w:rPr>
          <w:rFonts w:ascii="Times New Roman" w:cs="Times New Roman" w:eastAsia="Times New Roman" w:hAnsi="Times New Roman"/>
          <w:sz w:val="22"/>
          <w:szCs w:val="22"/>
          <w:color w:val="auto"/>
        </w:rPr>
        <w:t>for commercial purposes and includes any related land clearing, land preparation and regeneration (including burning), and transport operations;</w:t>
      </w:r>
    </w:p>
    <w:p>
      <w:pPr>
        <w:spacing w:after="0" w:line="253"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“Further Assessment of Matters Report” </w:t>
      </w:r>
      <w:r>
        <w:rPr>
          <w:rFonts w:ascii="Times New Roman" w:cs="Times New Roman" w:eastAsia="Times New Roman" w:hAnsi="Times New Roman"/>
          <w:sz w:val="22"/>
          <w:szCs w:val="22"/>
          <w:color w:val="auto"/>
        </w:rPr>
        <w:t>means the joint report prepared by the Parties that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summarises the findings of the further assessments of forest values undertaken to inform the 2020 variation of this Agreement;</w:t>
      </w:r>
    </w:p>
    <w:p>
      <w:pPr>
        <w:spacing w:after="0" w:line="252" w:lineRule="exact"/>
        <w:rPr>
          <w:sz w:val="20"/>
          <w:szCs w:val="20"/>
          <w:color w:val="auto"/>
        </w:rPr>
      </w:pPr>
    </w:p>
    <w:p>
      <w:pPr>
        <w:jc w:val="both"/>
        <w:ind w:left="700" w:right="2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“General Management Zone”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“GMZ” </w:t>
      </w:r>
      <w:r>
        <w:rPr>
          <w:rFonts w:ascii="Times New Roman" w:cs="Times New Roman" w:eastAsia="Times New Roman" w:hAnsi="Times New Roman"/>
          <w:sz w:val="22"/>
          <w:szCs w:val="22"/>
          <w:color w:val="auto"/>
        </w:rPr>
        <w:t>means the zone of the same name described in 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Forest Management Plan that applies, either in part or wholly, to land within the RFA Region;</w:t>
      </w:r>
    </w:p>
    <w:p>
      <w:pPr>
        <w:spacing w:after="0" w:line="253"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“Harvest Level” </w:t>
      </w:r>
      <w:r>
        <w:rPr>
          <w:rFonts w:ascii="Times New Roman" w:cs="Times New Roman" w:eastAsia="Times New Roman" w:hAnsi="Times New Roman"/>
          <w:sz w:val="22"/>
          <w:szCs w:val="22"/>
          <w:color w:val="auto"/>
        </w:rPr>
        <w:t>means the volume of Timber Resources that can be harvested from Native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Forests in the RFA Region in any financial year, consistent with ESFM, until Native Forest harvesting ceases on 30 June 2030;</w:t>
      </w:r>
    </w:p>
    <w:p>
      <w:pPr>
        <w:spacing w:after="0" w:line="253"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Indigenous</w:t>
      </w:r>
      <w:r>
        <w:rPr>
          <w:rFonts w:ascii="Times New Roman" w:cs="Times New Roman" w:eastAsia="Times New Roman" w:hAnsi="Times New Roman"/>
          <w:sz w:val="22"/>
          <w:szCs w:val="22"/>
          <w:color w:val="auto"/>
        </w:rPr>
        <w:t>” means the Aboriginal and Torres Strait Islander peoples of Australia and includes those persons who are descendants of the Aboriginal and Torres Strait Islander peoples of Australia;</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1" w:lineRule="exact"/>
        <w:rPr>
          <w:sz w:val="20"/>
          <w:szCs w:val="20"/>
          <w:color w:val="auto"/>
        </w:rPr>
      </w:pPr>
    </w:p>
    <w:p>
      <w:pPr>
        <w:ind w:left="9100"/>
        <w:spacing w:after="0"/>
        <w:rPr>
          <w:sz w:val="20"/>
          <w:szCs w:val="20"/>
          <w:color w:val="auto"/>
        </w:rPr>
      </w:pPr>
      <w:r>
        <w:rPr>
          <w:rFonts w:ascii="Times New Roman" w:cs="Times New Roman" w:eastAsia="Times New Roman" w:hAnsi="Times New Roman"/>
          <w:sz w:val="18"/>
          <w:szCs w:val="18"/>
          <w:color w:val="auto"/>
        </w:rPr>
        <w:t>6</w:t>
      </w:r>
    </w:p>
    <w:p>
      <w:pPr>
        <w:sectPr>
          <w:pgSz w:w="11900" w:h="16838" w:orient="portrait"/>
          <w:cols w:equalWidth="0" w:num="1">
            <w:col w:w="9200"/>
          </w:cols>
          <w:pgMar w:left="1440" w:top="1432" w:right="1266" w:bottom="149" w:gutter="0" w:footer="0" w:header="0"/>
        </w:sectPr>
      </w:pPr>
    </w:p>
    <w:bookmarkStart w:id="6" w:name="page7"/>
    <w:bookmarkEnd w:id="6"/>
    <w:p>
      <w:pPr>
        <w:spacing w:after="0" w:line="4" w:lineRule="exact"/>
        <w:rPr>
          <w:sz w:val="20"/>
          <w:szCs w:val="20"/>
          <w:color w:val="auto"/>
        </w:rPr>
      </w:pPr>
    </w:p>
    <w:p>
      <w:pPr>
        <w:jc w:val="both"/>
        <w:ind w:left="700" w:right="4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“Informal Reserve” </w:t>
      </w:r>
      <w:r>
        <w:rPr>
          <w:rFonts w:ascii="Times New Roman" w:cs="Times New Roman" w:eastAsia="Times New Roman" w:hAnsi="Times New Roman"/>
          <w:sz w:val="22"/>
          <w:szCs w:val="22"/>
          <w:color w:val="auto"/>
        </w:rPr>
        <w:t>means a reserve that contains and is managed for conservation values which</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unequivocally contribute to the CAR Reserve System and meets the principles for Informal Reserves as described in the JANIS Report. In Victoria, it includes, but is not limited to, the State Forest Special Protection Zone;</w:t>
      </w:r>
    </w:p>
    <w:p>
      <w:pPr>
        <w:spacing w:after="0" w:line="254" w:lineRule="exact"/>
        <w:rPr>
          <w:sz w:val="20"/>
          <w:szCs w:val="20"/>
          <w:color w:val="auto"/>
        </w:rPr>
      </w:pPr>
    </w:p>
    <w:p>
      <w:pPr>
        <w:jc w:val="both"/>
        <w:ind w:left="700" w:right="4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“Interim Forest Agreement” </w:t>
      </w:r>
      <w:r>
        <w:rPr>
          <w:rFonts w:ascii="Times New Roman" w:cs="Times New Roman" w:eastAsia="Times New Roman" w:hAnsi="Times New Roman"/>
          <w:sz w:val="22"/>
          <w:szCs w:val="22"/>
          <w:color w:val="auto"/>
        </w:rPr>
        <w:t>means the Interim Agreement between the Commonwealth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Australia and the State of Victoria signed in January 1996;</w:t>
      </w:r>
    </w:p>
    <w:p>
      <w:pPr>
        <w:spacing w:after="0" w:line="251" w:lineRule="exact"/>
        <w:rPr>
          <w:sz w:val="20"/>
          <w:szCs w:val="20"/>
          <w:color w:val="auto"/>
        </w:rPr>
      </w:pPr>
    </w:p>
    <w:p>
      <w:pPr>
        <w:jc w:val="both"/>
        <w:ind w:left="700" w:right="40"/>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“JANIS Report” </w:t>
      </w:r>
      <w:r>
        <w:rPr>
          <w:rFonts w:ascii="Times New Roman" w:cs="Times New Roman" w:eastAsia="Times New Roman" w:hAnsi="Times New Roman"/>
          <w:sz w:val="22"/>
          <w:szCs w:val="22"/>
          <w:color w:val="auto"/>
        </w:rPr>
        <w:t>means the report by the Joint Australian and New Zealand Environment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Conservation Council (ANZECC) / Ministerial Council on Forestry, Fisheries and Aquaculture (MCFFA) National Forests Policy Statement Implementation Sub-committee, titled ‘Nationally Agreed Criteria for the Establishment of a Comprehensive, Adequate and Representative Reserve System for Forests in Australia’, published by the Commonwealth of Australia in 1997;</w:t>
      </w:r>
    </w:p>
    <w:p>
      <w:pPr>
        <w:spacing w:after="0" w:line="251" w:lineRule="exact"/>
        <w:rPr>
          <w:sz w:val="20"/>
          <w:szCs w:val="20"/>
          <w:color w:val="auto"/>
        </w:rPr>
      </w:pPr>
    </w:p>
    <w:p>
      <w:pPr>
        <w:jc w:val="both"/>
        <w:ind w:left="700" w:right="4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“JANIS Reserve Criteria” </w:t>
      </w:r>
      <w:r>
        <w:rPr>
          <w:rFonts w:ascii="Times New Roman" w:cs="Times New Roman" w:eastAsia="Times New Roman" w:hAnsi="Times New Roman"/>
          <w:sz w:val="22"/>
          <w:szCs w:val="22"/>
          <w:color w:val="auto"/>
        </w:rPr>
        <w:t>means the criteria as described in the JANIS Report for establishing</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CAR Reserve System addressing Biodiversity, Old Growth Forest and Wilderness, taking account of reserve design and management and social and economic considerations;</w:t>
      </w:r>
    </w:p>
    <w:p>
      <w:pPr>
        <w:spacing w:after="0" w:line="255" w:lineRule="exact"/>
        <w:rPr>
          <w:sz w:val="20"/>
          <w:szCs w:val="20"/>
          <w:color w:val="auto"/>
        </w:rPr>
      </w:pPr>
    </w:p>
    <w:p>
      <w:pPr>
        <w:jc w:val="both"/>
        <w:ind w:left="700" w:right="4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“Land Conservation Council” </w:t>
      </w:r>
      <w:r>
        <w:rPr>
          <w:rFonts w:ascii="Times New Roman" w:cs="Times New Roman" w:eastAsia="Times New Roman" w:hAnsi="Times New Roman"/>
          <w:sz w:val="22"/>
          <w:szCs w:val="22"/>
          <w:color w:val="auto"/>
        </w:rPr>
        <w:t>means the Council established under the former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Land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Conservation Act 1970 </w:t>
      </w:r>
      <w:r>
        <w:rPr>
          <w:rFonts w:ascii="Times New Roman" w:cs="Times New Roman" w:eastAsia="Times New Roman" w:hAnsi="Times New Roman"/>
          <w:sz w:val="22"/>
          <w:szCs w:val="22"/>
          <w:color w:val="auto"/>
        </w:rPr>
        <w:t>(Vic);</w:t>
      </w:r>
    </w:p>
    <w:p>
      <w:pPr>
        <w:spacing w:after="0" w:line="253" w:lineRule="exact"/>
        <w:rPr>
          <w:sz w:val="20"/>
          <w:szCs w:val="20"/>
          <w:color w:val="auto"/>
        </w:rPr>
      </w:pPr>
    </w:p>
    <w:p>
      <w:pPr>
        <w:jc w:val="both"/>
        <w:ind w:left="700" w:right="4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“Licence, Consent or Authority” </w:t>
      </w:r>
      <w:r>
        <w:rPr>
          <w:rFonts w:ascii="Times New Roman" w:cs="Times New Roman" w:eastAsia="Times New Roman" w:hAnsi="Times New Roman"/>
          <w:sz w:val="22"/>
          <w:szCs w:val="22"/>
          <w:color w:val="auto"/>
        </w:rPr>
        <w:t>in clause 90 means any licence, consent or authority pursuant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to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w:t>
      </w:r>
    </w:p>
    <w:p>
      <w:pPr>
        <w:spacing w:after="0" w:line="251" w:lineRule="exact"/>
        <w:rPr>
          <w:sz w:val="20"/>
          <w:szCs w:val="20"/>
          <w:color w:val="auto"/>
        </w:rPr>
      </w:pPr>
    </w:p>
    <w:p>
      <w:pPr>
        <w:ind w:left="70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“Listed Species and Communities”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“Listed Species or Community” </w:t>
      </w:r>
      <w:r>
        <w:rPr>
          <w:rFonts w:ascii="Times New Roman" w:cs="Times New Roman" w:eastAsia="Times New Roman" w:hAnsi="Times New Roman"/>
          <w:sz w:val="22"/>
          <w:szCs w:val="22"/>
          <w:color w:val="auto"/>
        </w:rPr>
        <w:t>means, for the purposes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of this Agreement, a species, taxon, or community:</w:t>
      </w:r>
    </w:p>
    <w:p>
      <w:pPr>
        <w:spacing w:after="0" w:line="240" w:lineRule="exact"/>
        <w:rPr>
          <w:sz w:val="20"/>
          <w:szCs w:val="20"/>
          <w:color w:val="auto"/>
        </w:rPr>
      </w:pPr>
    </w:p>
    <w:p>
      <w:pPr>
        <w:ind w:left="1180" w:hanging="472"/>
        <w:spacing w:after="0"/>
        <w:tabs>
          <w:tab w:leader="none" w:pos="118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listed under:</w:t>
      </w:r>
    </w:p>
    <w:p>
      <w:pPr>
        <w:spacing w:after="0" w:line="241" w:lineRule="exact"/>
        <w:rPr>
          <w:rFonts w:ascii="Times New Roman" w:cs="Times New Roman" w:eastAsia="Times New Roman" w:hAnsi="Times New Roman"/>
          <w:sz w:val="22"/>
          <w:szCs w:val="22"/>
          <w:color w:val="auto"/>
        </w:rPr>
      </w:pPr>
    </w:p>
    <w:p>
      <w:pPr>
        <w:ind w:left="1840" w:hanging="707"/>
        <w:spacing w:after="0"/>
        <w:tabs>
          <w:tab w:leader="none" w:pos="1840"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 13 of the EPBC Act; or</w:t>
      </w:r>
    </w:p>
    <w:p>
      <w:pPr>
        <w:spacing w:after="0" w:line="239" w:lineRule="exact"/>
        <w:rPr>
          <w:rFonts w:ascii="Times New Roman" w:cs="Times New Roman" w:eastAsia="Times New Roman" w:hAnsi="Times New Roman"/>
          <w:sz w:val="22"/>
          <w:szCs w:val="22"/>
          <w:color w:val="auto"/>
        </w:rPr>
      </w:pPr>
    </w:p>
    <w:p>
      <w:pPr>
        <w:ind w:left="1840" w:hanging="707"/>
        <w:spacing w:after="0"/>
        <w:tabs>
          <w:tab w:leader="none" w:pos="1840" w:val="left"/>
        </w:tabs>
        <w:numPr>
          <w:ilvl w:val="1"/>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Part 3 of the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color w:val="auto"/>
        </w:rPr>
        <w:t xml:space="preserve"> (Vic); and</w:t>
      </w:r>
    </w:p>
    <w:p>
      <w:pPr>
        <w:spacing w:after="0" w:line="239" w:lineRule="exact"/>
        <w:rPr>
          <w:rFonts w:ascii="Times New Roman" w:cs="Times New Roman" w:eastAsia="Times New Roman" w:hAnsi="Times New Roman"/>
          <w:sz w:val="22"/>
          <w:szCs w:val="22"/>
          <w:color w:val="auto"/>
        </w:rPr>
      </w:pPr>
    </w:p>
    <w:p>
      <w:pPr>
        <w:ind w:left="1140" w:hanging="432"/>
        <w:spacing w:after="0"/>
        <w:tabs>
          <w:tab w:leader="none" w:pos="1140" w:val="left"/>
        </w:tabs>
        <w:numPr>
          <w:ilvl w:val="0"/>
          <w:numId w:val="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is, or has the potential to be, impacted by Forestry Operations;</w:t>
      </w:r>
    </w:p>
    <w:p>
      <w:pPr>
        <w:spacing w:after="0" w:line="253" w:lineRule="exact"/>
        <w:rPr>
          <w:sz w:val="20"/>
          <w:szCs w:val="20"/>
          <w:color w:val="auto"/>
        </w:rPr>
      </w:pPr>
    </w:p>
    <w:p>
      <w:pPr>
        <w:ind w:left="70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“Major Event” </w:t>
      </w:r>
      <w:r>
        <w:rPr>
          <w:rFonts w:ascii="Times New Roman" w:cs="Times New Roman" w:eastAsia="Times New Roman" w:hAnsi="Times New Roman"/>
          <w:sz w:val="22"/>
          <w:szCs w:val="22"/>
          <w:color w:val="auto"/>
        </w:rPr>
        <w:t>means a substantial change in circumstances that has the potential to significantly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impact upon:</w:t>
      </w:r>
    </w:p>
    <w:p>
      <w:pPr>
        <w:spacing w:after="0" w:line="242" w:lineRule="exact"/>
        <w:rPr>
          <w:sz w:val="20"/>
          <w:szCs w:val="20"/>
          <w:color w:val="auto"/>
        </w:rPr>
      </w:pPr>
    </w:p>
    <w:p>
      <w:pPr>
        <w:ind w:left="1420" w:hanging="712"/>
        <w:spacing w:after="0"/>
        <w:tabs>
          <w:tab w:leader="none" w:pos="142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objectives and operation of this Agreement;</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comprehensiveness, adequacy or representativeness of the CAR Reserve System;</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ESFM;</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one or more MNES; or</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stability of Forest Industries,</w:t>
      </w:r>
    </w:p>
    <w:p>
      <w:pPr>
        <w:spacing w:after="0" w:line="253" w:lineRule="exact"/>
        <w:rPr>
          <w:sz w:val="20"/>
          <w:szCs w:val="20"/>
          <w:color w:val="auto"/>
        </w:rPr>
      </w:pPr>
    </w:p>
    <w:p>
      <w:pPr>
        <w:ind w:left="700"/>
        <w:spacing w:after="0" w:line="234" w:lineRule="auto"/>
        <w:rPr>
          <w:sz w:val="20"/>
          <w:szCs w:val="20"/>
          <w:color w:val="auto"/>
        </w:rPr>
      </w:pPr>
      <w:r>
        <w:rPr>
          <w:rFonts w:ascii="Times New Roman" w:cs="Times New Roman" w:eastAsia="Times New Roman" w:hAnsi="Times New Roman"/>
          <w:sz w:val="22"/>
          <w:szCs w:val="22"/>
          <w:color w:val="auto"/>
        </w:rPr>
        <w:t>within the RFA Region, and includes (but is not limited to) natural events such as bushfires, floods and disease;</w:t>
      </w:r>
    </w:p>
    <w:p>
      <w:pPr>
        <w:spacing w:after="0" w:line="251" w:lineRule="exact"/>
        <w:rPr>
          <w:sz w:val="20"/>
          <w:szCs w:val="20"/>
          <w:color w:val="auto"/>
        </w:rPr>
      </w:pPr>
    </w:p>
    <w:p>
      <w:pPr>
        <w:ind w:left="70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“Major Event Review” </w:t>
      </w:r>
      <w:r>
        <w:rPr>
          <w:rFonts w:ascii="Times New Roman" w:cs="Times New Roman" w:eastAsia="Times New Roman" w:hAnsi="Times New Roman"/>
          <w:sz w:val="22"/>
          <w:szCs w:val="22"/>
          <w:color w:val="auto"/>
        </w:rPr>
        <w:t>means a review of the same name undertaken pursuant to clause 38F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this Agreement;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9100"/>
        <w:spacing w:after="0"/>
        <w:rPr>
          <w:sz w:val="20"/>
          <w:szCs w:val="20"/>
          <w:color w:val="auto"/>
        </w:rPr>
      </w:pPr>
      <w:r>
        <w:rPr>
          <w:rFonts w:ascii="Times New Roman" w:cs="Times New Roman" w:eastAsia="Times New Roman" w:hAnsi="Times New Roman"/>
          <w:sz w:val="18"/>
          <w:szCs w:val="18"/>
          <w:color w:val="auto"/>
        </w:rPr>
        <w:t>7</w:t>
      </w:r>
    </w:p>
    <w:p>
      <w:pPr>
        <w:sectPr>
          <w:pgSz w:w="11900" w:h="16838" w:orient="portrait"/>
          <w:cols w:equalWidth="0" w:num="1">
            <w:col w:w="9240"/>
          </w:cols>
          <w:pgMar w:left="1440" w:top="1440" w:right="1226" w:bottom="149" w:gutter="0" w:footer="0" w:header="0"/>
        </w:sectPr>
      </w:pPr>
    </w:p>
    <w:bookmarkStart w:id="7" w:name="page8"/>
    <w:bookmarkEnd w:id="7"/>
    <w:p>
      <w:pPr>
        <w:spacing w:after="0" w:line="4"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“Matters of National Environmental Significance”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“MNES” </w:t>
      </w:r>
      <w:r>
        <w:rPr>
          <w:rFonts w:ascii="Times New Roman" w:cs="Times New Roman" w:eastAsia="Times New Roman" w:hAnsi="Times New Roman"/>
          <w:sz w:val="22"/>
          <w:szCs w:val="22"/>
          <w:color w:val="auto"/>
        </w:rPr>
        <w:t>means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 the purpose of this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Agreement, those matters protected by Part 3 of the EPBC Act as matters of national environmental significance that are potentially impacted by Forestry Operations, including:</w:t>
      </w:r>
    </w:p>
    <w:p>
      <w:pPr>
        <w:spacing w:after="0" w:line="241" w:lineRule="exact"/>
        <w:rPr>
          <w:sz w:val="20"/>
          <w:szCs w:val="20"/>
          <w:color w:val="auto"/>
        </w:rPr>
      </w:pPr>
    </w:p>
    <w:p>
      <w:pPr>
        <w:ind w:left="1420" w:hanging="712"/>
        <w:spacing w:after="0"/>
        <w:tabs>
          <w:tab w:leader="none" w:pos="142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World Heritage Values of declared World Heritage Places;</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National Heritage Values of National Heritage Places;</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ecological character of Ramsar Wetlands; and</w:t>
      </w:r>
    </w:p>
    <w:p>
      <w:pPr>
        <w:spacing w:after="0" w:line="250" w:lineRule="exact"/>
        <w:rPr>
          <w:rFonts w:ascii="Times New Roman" w:cs="Times New Roman" w:eastAsia="Times New Roman" w:hAnsi="Times New Roman"/>
          <w:sz w:val="22"/>
          <w:szCs w:val="22"/>
          <w:color w:val="auto"/>
        </w:rPr>
      </w:pPr>
    </w:p>
    <w:p>
      <w:pPr>
        <w:jc w:val="both"/>
        <w:ind w:left="1420" w:right="40" w:hanging="712"/>
        <w:spacing w:after="0" w:line="236" w:lineRule="auto"/>
        <w:tabs>
          <w:tab w:leader="none" w:pos="1420" w:val="left"/>
        </w:tabs>
        <w:numPr>
          <w:ilvl w:val="0"/>
          <w:numId w:val="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species and communities listed in accordance with Part 13 of the EPBC Act (excluding those categories referred to in paragraphs 178(1)(a) and (f), and paragraph 181(1)(c) of the EPBC Act);</w:t>
      </w:r>
    </w:p>
    <w:p>
      <w:pPr>
        <w:spacing w:after="0" w:line="255" w:lineRule="exact"/>
        <w:rPr>
          <w:sz w:val="20"/>
          <w:szCs w:val="20"/>
          <w:color w:val="auto"/>
        </w:rPr>
      </w:pPr>
    </w:p>
    <w:p>
      <w:pPr>
        <w:jc w:val="both"/>
        <w:ind w:left="700" w:right="4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“Matters of Traditional Owner Significance” </w:t>
      </w:r>
      <w:r>
        <w:rPr>
          <w:rFonts w:ascii="Times New Roman" w:cs="Times New Roman" w:eastAsia="Times New Roman" w:hAnsi="Times New Roman"/>
          <w:sz w:val="22"/>
          <w:szCs w:val="22"/>
          <w:color w:val="auto"/>
        </w:rPr>
        <w:t>or “</w:t>
      </w:r>
      <w:r>
        <w:rPr>
          <w:rFonts w:ascii="Times New Roman" w:cs="Times New Roman" w:eastAsia="Times New Roman" w:hAnsi="Times New Roman"/>
          <w:sz w:val="22"/>
          <w:szCs w:val="22"/>
          <w:b w:val="1"/>
          <w:bCs w:val="1"/>
          <w:color w:val="auto"/>
        </w:rPr>
        <w:t>MTOS</w:t>
      </w:r>
      <w:r>
        <w:rPr>
          <w:rFonts w:ascii="Times New Roman" w:cs="Times New Roman" w:eastAsia="Times New Roman" w:hAnsi="Times New Roman"/>
          <w:sz w:val="22"/>
          <w:szCs w:val="22"/>
          <w:color w:val="auto"/>
        </w:rPr>
        <w:t>” means matters of high importance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to Traditional Owners as identified through the development and operation of Traditional Owner knowledge management systems. For the purposes of this Agreement, MTOS means only those matters related to Forests and their management and use;</w:t>
      </w:r>
    </w:p>
    <w:p>
      <w:pPr>
        <w:spacing w:after="0" w:line="251" w:lineRule="exact"/>
        <w:rPr>
          <w:sz w:val="20"/>
          <w:szCs w:val="20"/>
          <w:color w:val="auto"/>
        </w:rPr>
      </w:pPr>
    </w:p>
    <w:p>
      <w:pPr>
        <w:jc w:val="both"/>
        <w:ind w:left="700" w:right="6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“Milestone” </w:t>
      </w:r>
      <w:r>
        <w:rPr>
          <w:rFonts w:ascii="Times New Roman" w:cs="Times New Roman" w:eastAsia="Times New Roman" w:hAnsi="Times New Roman"/>
          <w:sz w:val="22"/>
          <w:szCs w:val="22"/>
          <w:color w:val="auto"/>
        </w:rPr>
        <w:t>means, for the purposes of this Agreement, an obligation under this Agreement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which contains a temporal commitment;</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“Mineral” </w:t>
      </w:r>
      <w:r>
        <w:rPr>
          <w:rFonts w:ascii="Times New Roman" w:cs="Times New Roman" w:eastAsia="Times New Roman" w:hAnsi="Times New Roman"/>
          <w:sz w:val="22"/>
          <w:szCs w:val="22"/>
          <w:color w:val="auto"/>
        </w:rPr>
        <w:t>means:</w:t>
      </w:r>
    </w:p>
    <w:p>
      <w:pPr>
        <w:spacing w:after="0" w:line="121" w:lineRule="exact"/>
        <w:rPr>
          <w:sz w:val="20"/>
          <w:szCs w:val="20"/>
          <w:color w:val="auto"/>
        </w:rPr>
      </w:pPr>
    </w:p>
    <w:p>
      <w:pPr>
        <w:ind w:left="1420" w:hanging="712"/>
        <w:spacing w:after="0"/>
        <w:tabs>
          <w:tab w:leader="none" w:pos="142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mineral; and</w:t>
      </w:r>
    </w:p>
    <w:p>
      <w:pPr>
        <w:spacing w:after="0" w:line="11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stone,</w:t>
      </w:r>
    </w:p>
    <w:p>
      <w:pPr>
        <w:spacing w:after="0" w:line="131"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color w:val="auto"/>
        </w:rPr>
        <w:t xml:space="preserve">as defined in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 excluding stone on private land for the private use of the owner and mineral or stone obtained for non-commercial purposes;</w:t>
      </w:r>
    </w:p>
    <w:p>
      <w:pPr>
        <w:spacing w:after="0" w:line="243"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“Mining” </w:t>
      </w:r>
      <w:r>
        <w:rPr>
          <w:rFonts w:ascii="Times New Roman" w:cs="Times New Roman" w:eastAsia="Times New Roman" w:hAnsi="Times New Roman"/>
          <w:sz w:val="22"/>
          <w:szCs w:val="22"/>
          <w:color w:val="auto"/>
        </w:rPr>
        <w:t>means any operation or work carried out to remove or extract Minerals;</w:t>
      </w:r>
    </w:p>
    <w:p>
      <w:pPr>
        <w:spacing w:after="0" w:line="249" w:lineRule="exact"/>
        <w:rPr>
          <w:sz w:val="20"/>
          <w:szCs w:val="20"/>
          <w:color w:val="auto"/>
        </w:rPr>
      </w:pPr>
    </w:p>
    <w:p>
      <w:pPr>
        <w:jc w:val="both"/>
        <w:ind w:left="700" w:right="4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“Mining Operations” </w:t>
      </w:r>
      <w:r>
        <w:rPr>
          <w:rFonts w:ascii="Times New Roman" w:cs="Times New Roman" w:eastAsia="Times New Roman" w:hAnsi="Times New Roman"/>
          <w:sz w:val="22"/>
          <w:szCs w:val="22"/>
          <w:color w:val="auto"/>
        </w:rPr>
        <w:t>means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4"/>
          <w:szCs w:val="24"/>
          <w:color w:val="auto"/>
        </w:rPr>
        <w:t>any work carried out under a licence, consent to search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4"/>
          <w:szCs w:val="24"/>
          <w:color w:val="auto"/>
        </w:rPr>
        <w:t xml:space="preserve">stone or extractive industry work authority granted under the </w:t>
      </w:r>
      <w:r>
        <w:rPr>
          <w:rFonts w:ascii="Times New Roman" w:cs="Times New Roman" w:eastAsia="Times New Roman" w:hAnsi="Times New Roman"/>
          <w:sz w:val="24"/>
          <w:szCs w:val="24"/>
          <w:i w:val="1"/>
          <w:iCs w:val="1"/>
          <w:color w:val="auto"/>
        </w:rPr>
        <w:t>Mineral Resources</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 xml:space="preserve">(Sustainable Development) Act 1990 </w:t>
      </w:r>
      <w:r>
        <w:rPr>
          <w:rFonts w:ascii="Times New Roman" w:cs="Times New Roman" w:eastAsia="Times New Roman" w:hAnsi="Times New Roman"/>
          <w:sz w:val="24"/>
          <w:szCs w:val="24"/>
          <w:color w:val="auto"/>
        </w:rPr>
        <w:t>(Vic) with a view to obtaining or treating Minerals</w:t>
      </w:r>
      <w:r>
        <w:rPr>
          <w:rFonts w:ascii="Times New Roman" w:cs="Times New Roman" w:eastAsia="Times New Roman" w:hAnsi="Times New Roman"/>
          <w:sz w:val="24"/>
          <w:szCs w:val="24"/>
          <w:i w:val="1"/>
          <w:iCs w:val="1"/>
          <w:color w:val="auto"/>
        </w:rPr>
        <w:t xml:space="preserve"> </w:t>
      </w:r>
      <w:r>
        <w:rPr>
          <w:rFonts w:ascii="Times New Roman" w:cs="Times New Roman" w:eastAsia="Times New Roman" w:hAnsi="Times New Roman"/>
          <w:sz w:val="24"/>
          <w:szCs w:val="24"/>
          <w:color w:val="auto"/>
        </w:rPr>
        <w:t>including the removal or extraction of a Mineral and the treatment of a Mineral;</w:t>
      </w:r>
    </w:p>
    <w:p>
      <w:pPr>
        <w:spacing w:after="0" w:line="244"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“Mining Product” </w:t>
      </w:r>
      <w:r>
        <w:rPr>
          <w:rFonts w:ascii="Times New Roman" w:cs="Times New Roman" w:eastAsia="Times New Roman" w:hAnsi="Times New Roman"/>
          <w:sz w:val="22"/>
          <w:szCs w:val="22"/>
          <w:color w:val="auto"/>
        </w:rPr>
        <w:t>means any Mineral obtained by Mining;</w:t>
      </w:r>
    </w:p>
    <w:p>
      <w:pPr>
        <w:spacing w:after="0" w:line="251" w:lineRule="exact"/>
        <w:rPr>
          <w:sz w:val="20"/>
          <w:szCs w:val="20"/>
          <w:color w:val="auto"/>
        </w:rPr>
      </w:pPr>
    </w:p>
    <w:p>
      <w:pPr>
        <w:jc w:val="both"/>
        <w:ind w:left="700" w:right="6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“Montreal Process Criteria” </w:t>
      </w:r>
      <w:r>
        <w:rPr>
          <w:rFonts w:ascii="Times New Roman" w:cs="Times New Roman" w:eastAsia="Times New Roman" w:hAnsi="Times New Roman"/>
          <w:sz w:val="22"/>
          <w:szCs w:val="22"/>
          <w:color w:val="auto"/>
        </w:rPr>
        <w:t>means the Montreal Process criteria for the conservation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sustainable management of temperate and boreal forests;</w:t>
      </w:r>
    </w:p>
    <w:p>
      <w:pPr>
        <w:spacing w:after="0" w:line="251" w:lineRule="exact"/>
        <w:rPr>
          <w:sz w:val="20"/>
          <w:szCs w:val="20"/>
          <w:color w:val="auto"/>
        </w:rPr>
      </w:pPr>
    </w:p>
    <w:p>
      <w:pPr>
        <w:jc w:val="both"/>
        <w:ind w:left="700" w:right="4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“Montreal Process Implementation Group for Australia”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“MIG” </w:t>
      </w:r>
      <w:r>
        <w:rPr>
          <w:rFonts w:ascii="Times New Roman" w:cs="Times New Roman" w:eastAsia="Times New Roman" w:hAnsi="Times New Roman"/>
          <w:sz w:val="22"/>
          <w:szCs w:val="22"/>
          <w:color w:val="auto"/>
        </w:rPr>
        <w:t>means the Montreal</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Process Implementation Group established by the Commonwealth and all State and Territory Governments;</w:t>
      </w:r>
    </w:p>
    <w:p>
      <w:pPr>
        <w:spacing w:after="0" w:line="252" w:lineRule="exact"/>
        <w:rPr>
          <w:sz w:val="20"/>
          <w:szCs w:val="20"/>
          <w:color w:val="auto"/>
        </w:rPr>
      </w:pPr>
    </w:p>
    <w:p>
      <w:pPr>
        <w:jc w:val="both"/>
        <w:ind w:left="700" w:right="4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“National Estate” </w:t>
      </w:r>
      <w:r>
        <w:rPr>
          <w:rFonts w:ascii="Times New Roman" w:cs="Times New Roman" w:eastAsia="Times New Roman" w:hAnsi="Times New Roman"/>
          <w:sz w:val="22"/>
          <w:szCs w:val="22"/>
          <w:color w:val="auto"/>
        </w:rPr>
        <w:t>means those places as defined under section 4 of the repealed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Australian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Heritage Commission Act 1975 </w:t>
      </w:r>
      <w:r>
        <w:rPr>
          <w:rFonts w:ascii="Times New Roman" w:cs="Times New Roman" w:eastAsia="Times New Roman" w:hAnsi="Times New Roman"/>
          <w:sz w:val="22"/>
          <w:szCs w:val="22"/>
          <w:color w:val="auto"/>
        </w:rPr>
        <w:t>(Cth);</w:t>
      </w:r>
    </w:p>
    <w:p>
      <w:pPr>
        <w:spacing w:after="0" w:line="251" w:lineRule="exact"/>
        <w:rPr>
          <w:sz w:val="20"/>
          <w:szCs w:val="20"/>
          <w:color w:val="auto"/>
        </w:rPr>
      </w:pPr>
    </w:p>
    <w:p>
      <w:pPr>
        <w:jc w:val="both"/>
        <w:ind w:left="700" w:right="4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“National Estate Values” </w:t>
      </w:r>
      <w:r>
        <w:rPr>
          <w:rFonts w:ascii="Times New Roman" w:cs="Times New Roman" w:eastAsia="Times New Roman" w:hAnsi="Times New Roman"/>
          <w:sz w:val="22"/>
          <w:szCs w:val="22"/>
          <w:color w:val="auto"/>
        </w:rPr>
        <w:t>means values attributed by the former Australian Heritage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Commission to National Estate places;</w:t>
      </w:r>
    </w:p>
    <w:p>
      <w:pPr>
        <w:spacing w:after="0" w:line="251" w:lineRule="exact"/>
        <w:rPr>
          <w:sz w:val="20"/>
          <w:szCs w:val="20"/>
          <w:color w:val="auto"/>
        </w:rPr>
      </w:pPr>
    </w:p>
    <w:p>
      <w:pPr>
        <w:jc w:val="both"/>
        <w:ind w:left="700" w:right="4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“National Forest Policy Statement”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“NFPS” </w:t>
      </w:r>
      <w:r>
        <w:rPr>
          <w:rFonts w:ascii="Times New Roman" w:cs="Times New Roman" w:eastAsia="Times New Roman" w:hAnsi="Times New Roman"/>
          <w:sz w:val="22"/>
          <w:szCs w:val="22"/>
          <w:color w:val="auto"/>
        </w:rPr>
        <w:t>means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National Forest Policy Statement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1992 </w:t>
      </w:r>
      <w:r>
        <w:rPr>
          <w:rFonts w:ascii="Times New Roman" w:cs="Times New Roman" w:eastAsia="Times New Roman" w:hAnsi="Times New Roman"/>
          <w:sz w:val="22"/>
          <w:szCs w:val="22"/>
          <w:color w:val="auto"/>
        </w:rPr>
        <w:t>endorsed by the Commonwealth and all State and Territory Governments;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0" w:lineRule="exact"/>
        <w:rPr>
          <w:sz w:val="20"/>
          <w:szCs w:val="20"/>
          <w:color w:val="auto"/>
        </w:rPr>
      </w:pPr>
    </w:p>
    <w:p>
      <w:pPr>
        <w:ind w:left="9100"/>
        <w:spacing w:after="0"/>
        <w:rPr>
          <w:sz w:val="20"/>
          <w:szCs w:val="20"/>
          <w:color w:val="auto"/>
        </w:rPr>
      </w:pPr>
      <w:r>
        <w:rPr>
          <w:rFonts w:ascii="Times New Roman" w:cs="Times New Roman" w:eastAsia="Times New Roman" w:hAnsi="Times New Roman"/>
          <w:sz w:val="18"/>
          <w:szCs w:val="18"/>
          <w:color w:val="auto"/>
        </w:rPr>
        <w:t>8</w:t>
      </w:r>
    </w:p>
    <w:p>
      <w:pPr>
        <w:sectPr>
          <w:pgSz w:w="11900" w:h="16838" w:orient="portrait"/>
          <w:cols w:equalWidth="0" w:num="1">
            <w:col w:w="9240"/>
          </w:cols>
          <w:pgMar w:left="1440" w:top="1440" w:right="1226" w:bottom="149" w:gutter="0" w:footer="0" w:header="0"/>
        </w:sectPr>
      </w:pPr>
    </w:p>
    <w:bookmarkStart w:id="8" w:name="page9"/>
    <w:bookmarkEnd w:id="8"/>
    <w:p>
      <w:pPr>
        <w:spacing w:after="0" w:line="4" w:lineRule="exact"/>
        <w:rPr>
          <w:sz w:val="20"/>
          <w:szCs w:val="20"/>
          <w:color w:val="auto"/>
        </w:rPr>
      </w:pPr>
    </w:p>
    <w:p>
      <w:pPr>
        <w:ind w:left="700" w:right="18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“National Heritage Management Principles” </w:t>
      </w:r>
      <w:r>
        <w:rPr>
          <w:rFonts w:ascii="Times New Roman" w:cs="Times New Roman" w:eastAsia="Times New Roman" w:hAnsi="Times New Roman"/>
          <w:sz w:val="22"/>
          <w:szCs w:val="22"/>
          <w:color w:val="auto"/>
        </w:rPr>
        <w:t>has the same meaning as “National Heritage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principles” in section 324Y of the EPBC Act;</w:t>
      </w:r>
    </w:p>
    <w:p>
      <w:pPr>
        <w:spacing w:after="0" w:line="253" w:lineRule="exact"/>
        <w:rPr>
          <w:sz w:val="20"/>
          <w:szCs w:val="20"/>
          <w:color w:val="auto"/>
        </w:rPr>
      </w:pPr>
    </w:p>
    <w:p>
      <w:pPr>
        <w:ind w:left="70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“National Heritage Place” </w:t>
      </w:r>
      <w:r>
        <w:rPr>
          <w:rFonts w:ascii="Times New Roman" w:cs="Times New Roman" w:eastAsia="Times New Roman" w:hAnsi="Times New Roman"/>
          <w:sz w:val="22"/>
          <w:szCs w:val="22"/>
          <w:color w:val="auto"/>
        </w:rPr>
        <w:t>has the same meaning as “National Heritage place” in subsection 324C</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(3) of the EPBC Act;</w:t>
      </w:r>
    </w:p>
    <w:p>
      <w:pPr>
        <w:spacing w:after="0" w:line="253" w:lineRule="exact"/>
        <w:rPr>
          <w:sz w:val="20"/>
          <w:szCs w:val="20"/>
          <w:color w:val="auto"/>
        </w:rPr>
      </w:pPr>
    </w:p>
    <w:p>
      <w:pPr>
        <w:ind w:left="70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“National Heritage Values” </w:t>
      </w:r>
      <w:r>
        <w:rPr>
          <w:rFonts w:ascii="Times New Roman" w:cs="Times New Roman" w:eastAsia="Times New Roman" w:hAnsi="Times New Roman"/>
          <w:sz w:val="22"/>
          <w:szCs w:val="22"/>
          <w:color w:val="auto"/>
        </w:rPr>
        <w:t>has the same meaning as “National Heritage values” in section 324D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EPBC Act;</w:t>
      </w:r>
    </w:p>
    <w:p>
      <w:pPr>
        <w:spacing w:after="0" w:line="251" w:lineRule="exact"/>
        <w:rPr>
          <w:sz w:val="20"/>
          <w:szCs w:val="20"/>
          <w:color w:val="auto"/>
        </w:rPr>
      </w:pPr>
    </w:p>
    <w:p>
      <w:pPr>
        <w:ind w:left="700" w:right="22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“National Sustainability Indicators” </w:t>
      </w:r>
      <w:r>
        <w:rPr>
          <w:rFonts w:ascii="Times New Roman" w:cs="Times New Roman" w:eastAsia="Times New Roman" w:hAnsi="Times New Roman"/>
          <w:sz w:val="22"/>
          <w:szCs w:val="22"/>
          <w:color w:val="auto"/>
        </w:rPr>
        <w:t>means the indicators in the framework used for reporting 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state of Australia's forests, as developed by the Montreal Process Implementation Group for Australia;</w:t>
      </w:r>
    </w:p>
    <w:p>
      <w:pPr>
        <w:spacing w:after="0" w:line="244"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“Native Forest” </w:t>
      </w:r>
      <w:r>
        <w:rPr>
          <w:rFonts w:ascii="Times New Roman" w:cs="Times New Roman" w:eastAsia="Times New Roman" w:hAnsi="Times New Roman"/>
          <w:sz w:val="22"/>
          <w:szCs w:val="22"/>
          <w:color w:val="auto"/>
        </w:rPr>
        <w:t>has the same meaning as in the Code of Practice for Timber Production;</w:t>
      </w:r>
    </w:p>
    <w:p>
      <w:pPr>
        <w:spacing w:after="0" w:line="251" w:lineRule="exact"/>
        <w:rPr>
          <w:sz w:val="20"/>
          <w:szCs w:val="20"/>
          <w:color w:val="auto"/>
        </w:rPr>
      </w:pPr>
    </w:p>
    <w:p>
      <w:pPr>
        <w:ind w:left="700" w:right="18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“Old Growth Forest” </w:t>
      </w:r>
      <w:r>
        <w:rPr>
          <w:rFonts w:ascii="Times New Roman" w:cs="Times New Roman" w:eastAsia="Times New Roman" w:hAnsi="Times New Roman"/>
          <w:sz w:val="22"/>
          <w:szCs w:val="22"/>
          <w:color w:val="auto"/>
        </w:rPr>
        <w:t>has the same meaning as ‘old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growth’</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in the Code of Practice for Timber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Production;</w:t>
      </w:r>
    </w:p>
    <w:p>
      <w:pPr>
        <w:spacing w:after="0" w:line="254" w:lineRule="exact"/>
        <w:rPr>
          <w:sz w:val="20"/>
          <w:szCs w:val="20"/>
          <w:color w:val="auto"/>
        </w:rPr>
      </w:pPr>
    </w:p>
    <w:p>
      <w:pPr>
        <w:jc w:val="both"/>
        <w:ind w:left="1440" w:right="180"/>
        <w:spacing w:after="0" w:line="235" w:lineRule="auto"/>
        <w:rPr>
          <w:sz w:val="20"/>
          <w:szCs w:val="20"/>
          <w:color w:val="auto"/>
        </w:rPr>
      </w:pPr>
      <w:r>
        <w:rPr>
          <w:rFonts w:ascii="Times New Roman" w:cs="Times New Roman" w:eastAsia="Times New Roman" w:hAnsi="Times New Roman"/>
          <w:sz w:val="18"/>
          <w:szCs w:val="18"/>
          <w:i w:val="1"/>
          <w:iCs w:val="1"/>
          <w:color w:val="auto"/>
        </w:rPr>
        <w:t>Note: As at March 2020, the definition of ‘old growth’ appears in the ‘Management Standards and Procedures for timber harvesting operations in Victoria’s State forests’, which is a document that is incorporated into the Code of Practice for Timber Production.</w:t>
      </w:r>
    </w:p>
    <w:p>
      <w:pPr>
        <w:spacing w:after="0" w:line="241"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“Panel” </w:t>
      </w:r>
      <w:r>
        <w:rPr>
          <w:rFonts w:ascii="Times New Roman" w:cs="Times New Roman" w:eastAsia="Times New Roman" w:hAnsi="Times New Roman"/>
          <w:sz w:val="22"/>
          <w:szCs w:val="22"/>
          <w:color w:val="auto"/>
        </w:rPr>
        <w:t>means a Panel constituted in accordance with clause 37D of this Agreement;</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“Parties” </w:t>
      </w:r>
      <w:r>
        <w:rPr>
          <w:rFonts w:ascii="Times New Roman" w:cs="Times New Roman" w:eastAsia="Times New Roman" w:hAnsi="Times New Roman"/>
          <w:sz w:val="22"/>
          <w:szCs w:val="22"/>
          <w:color w:val="auto"/>
        </w:rPr>
        <w:t>means the State of Victoria and the Commonwealth of Australia;</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“Party” </w:t>
      </w:r>
      <w:r>
        <w:rPr>
          <w:rFonts w:ascii="Times New Roman" w:cs="Times New Roman" w:eastAsia="Times New Roman" w:hAnsi="Times New Roman"/>
          <w:sz w:val="22"/>
          <w:szCs w:val="22"/>
          <w:color w:val="auto"/>
        </w:rPr>
        <w:t>means a Party to this Agreement;</w:t>
      </w:r>
    </w:p>
    <w:p>
      <w:pPr>
        <w:spacing w:after="0" w:line="253" w:lineRule="exact"/>
        <w:rPr>
          <w:sz w:val="20"/>
          <w:szCs w:val="20"/>
          <w:color w:val="auto"/>
        </w:rPr>
      </w:pPr>
    </w:p>
    <w:p>
      <w:pPr>
        <w:ind w:left="700" w:right="180"/>
        <w:spacing w:after="0" w:line="234" w:lineRule="auto"/>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b w:val="1"/>
          <w:bCs w:val="1"/>
          <w:color w:val="auto"/>
        </w:rPr>
        <w:t>Plantation</w:t>
      </w:r>
      <w:r>
        <w:rPr>
          <w:rFonts w:ascii="Times New Roman" w:cs="Times New Roman" w:eastAsia="Times New Roman" w:hAnsi="Times New Roman"/>
          <w:sz w:val="22"/>
          <w:szCs w:val="22"/>
          <w:color w:val="auto"/>
        </w:rPr>
        <w:t>” means an intensively managed stand of trees of either native or exotic species that is created by the regular placement of seedlings or seeds;</w:t>
      </w:r>
    </w:p>
    <w:p>
      <w:pPr>
        <w:spacing w:after="0" w:line="253" w:lineRule="exact"/>
        <w:rPr>
          <w:sz w:val="20"/>
          <w:szCs w:val="20"/>
          <w:color w:val="auto"/>
        </w:rPr>
      </w:pPr>
    </w:p>
    <w:p>
      <w:pPr>
        <w:ind w:left="700" w:right="18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“Private Land” </w:t>
      </w:r>
      <w:r>
        <w:rPr>
          <w:rFonts w:ascii="Times New Roman" w:cs="Times New Roman" w:eastAsia="Times New Roman" w:hAnsi="Times New Roman"/>
          <w:sz w:val="22"/>
          <w:szCs w:val="22"/>
          <w:color w:val="auto"/>
        </w:rPr>
        <w:t>means lands other than Public Land and land owned or leased by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Commonwealth;</w:t>
      </w:r>
    </w:p>
    <w:p>
      <w:pPr>
        <w:spacing w:after="0" w:line="251" w:lineRule="exact"/>
        <w:rPr>
          <w:sz w:val="20"/>
          <w:szCs w:val="20"/>
          <w:color w:val="auto"/>
        </w:rPr>
      </w:pPr>
    </w:p>
    <w:p>
      <w:pPr>
        <w:ind w:left="700" w:right="18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“Processed and Unprocessed Wood” </w:t>
      </w:r>
      <w:r>
        <w:rPr>
          <w:rFonts w:ascii="Times New Roman" w:cs="Times New Roman" w:eastAsia="Times New Roman" w:hAnsi="Times New Roman"/>
          <w:sz w:val="22"/>
          <w:szCs w:val="22"/>
          <w:color w:val="auto"/>
        </w:rPr>
        <w:t>means, for the purposes of this Agreement, processed 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unprocessed wood (including woodchips) sourced from a region covered by an RFA;</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“Public Land” </w:t>
      </w:r>
      <w:r>
        <w:rPr>
          <w:rFonts w:ascii="Times New Roman" w:cs="Times New Roman" w:eastAsia="Times New Roman" w:hAnsi="Times New Roman"/>
          <w:sz w:val="22"/>
          <w:szCs w:val="22"/>
          <w:color w:val="auto"/>
        </w:rPr>
        <w:t>means:</w:t>
      </w:r>
    </w:p>
    <w:p>
      <w:pPr>
        <w:spacing w:after="0" w:line="122" w:lineRule="exact"/>
        <w:rPr>
          <w:sz w:val="20"/>
          <w:szCs w:val="20"/>
          <w:color w:val="auto"/>
        </w:rPr>
      </w:pPr>
    </w:p>
    <w:p>
      <w:pPr>
        <w:ind w:left="1420" w:hanging="712"/>
        <w:spacing w:after="0"/>
        <w:tabs>
          <w:tab w:leader="none" w:pos="142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Crown land;</w:t>
      </w:r>
    </w:p>
    <w:p>
      <w:pPr>
        <w:spacing w:after="0" w:line="11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Forest;</w:t>
      </w:r>
    </w:p>
    <w:p>
      <w:pPr>
        <w:spacing w:after="0" w:line="12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park, within the meaning of the </w:t>
      </w:r>
      <w:r>
        <w:rPr>
          <w:rFonts w:ascii="Times New Roman" w:cs="Times New Roman" w:eastAsia="Times New Roman" w:hAnsi="Times New Roman"/>
          <w:sz w:val="22"/>
          <w:szCs w:val="22"/>
          <w:i w:val="1"/>
          <w:iCs w:val="1"/>
          <w:color w:val="auto"/>
        </w:rPr>
        <w:t>National Parks Act 1975</w:t>
      </w:r>
      <w:r>
        <w:rPr>
          <w:rFonts w:ascii="Times New Roman" w:cs="Times New Roman" w:eastAsia="Times New Roman" w:hAnsi="Times New Roman"/>
          <w:sz w:val="22"/>
          <w:szCs w:val="22"/>
          <w:color w:val="auto"/>
        </w:rPr>
        <w:t xml:space="preserve"> (Vic); and</w:t>
      </w:r>
    </w:p>
    <w:p>
      <w:pPr>
        <w:spacing w:after="0" w:line="11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land vested in any public authority, other than a municipal council;</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“Rainforest” </w:t>
      </w:r>
      <w:r>
        <w:rPr>
          <w:rFonts w:ascii="Times New Roman" w:cs="Times New Roman" w:eastAsia="Times New Roman" w:hAnsi="Times New Roman"/>
          <w:sz w:val="22"/>
          <w:szCs w:val="22"/>
          <w:color w:val="auto"/>
        </w:rPr>
        <w:t>has the same meaning as in the Code of Practice for Timber Production;</w:t>
      </w:r>
    </w:p>
    <w:p>
      <w:pPr>
        <w:spacing w:after="0" w:line="253" w:lineRule="exact"/>
        <w:rPr>
          <w:sz w:val="20"/>
          <w:szCs w:val="20"/>
          <w:color w:val="auto"/>
        </w:rPr>
      </w:pPr>
    </w:p>
    <w:p>
      <w:pPr>
        <w:ind w:left="700" w:right="14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“Ramsar Convention” </w:t>
      </w:r>
      <w:r>
        <w:rPr>
          <w:rFonts w:ascii="Times New Roman" w:cs="Times New Roman" w:eastAsia="Times New Roman" w:hAnsi="Times New Roman"/>
          <w:sz w:val="22"/>
          <w:szCs w:val="22"/>
          <w:color w:val="auto"/>
        </w:rPr>
        <w:t>means the Convention on Wetlands of International Importance especially</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as Waterfowl Habitat 1971;</w:t>
      </w:r>
    </w:p>
    <w:p>
      <w:pPr>
        <w:spacing w:after="0" w:line="253" w:lineRule="exact"/>
        <w:rPr>
          <w:sz w:val="20"/>
          <w:szCs w:val="20"/>
          <w:color w:val="auto"/>
        </w:rPr>
      </w:pPr>
    </w:p>
    <w:p>
      <w:pPr>
        <w:ind w:left="700" w:right="18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“Ramsar Wetlands” </w:t>
      </w:r>
      <w:r>
        <w:rPr>
          <w:rFonts w:ascii="Times New Roman" w:cs="Times New Roman" w:eastAsia="Times New Roman" w:hAnsi="Times New Roman"/>
          <w:sz w:val="22"/>
          <w:szCs w:val="22"/>
          <w:color w:val="auto"/>
        </w:rPr>
        <w:t>means a declared Ramsar Wetland as defined under section 17 of the EPBC</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Act;</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“Recovery Plan” </w:t>
      </w:r>
      <w:r>
        <w:rPr>
          <w:rFonts w:ascii="Times New Roman" w:cs="Times New Roman" w:eastAsia="Times New Roman" w:hAnsi="Times New Roman"/>
          <w:sz w:val="22"/>
          <w:szCs w:val="22"/>
          <w:color w:val="auto"/>
        </w:rPr>
        <w:t>means a recovery plan made or adopted under the EPBC Act;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ind w:left="9100"/>
        <w:spacing w:after="0"/>
        <w:rPr>
          <w:sz w:val="20"/>
          <w:szCs w:val="20"/>
          <w:color w:val="auto"/>
        </w:rPr>
      </w:pPr>
      <w:r>
        <w:rPr>
          <w:rFonts w:ascii="Times New Roman" w:cs="Times New Roman" w:eastAsia="Times New Roman" w:hAnsi="Times New Roman"/>
          <w:sz w:val="18"/>
          <w:szCs w:val="18"/>
          <w:color w:val="auto"/>
        </w:rPr>
        <w:t>9</w:t>
      </w:r>
    </w:p>
    <w:p>
      <w:pPr>
        <w:sectPr>
          <w:pgSz w:w="11900" w:h="16838" w:orient="portrait"/>
          <w:cols w:equalWidth="0" w:num="1">
            <w:col w:w="9380"/>
          </w:cols>
          <w:pgMar w:left="1440" w:top="1440" w:right="1086" w:bottom="149" w:gutter="0" w:footer="0" w:header="0"/>
        </w:sectPr>
      </w:pPr>
    </w:p>
    <w:bookmarkStart w:id="9" w:name="page10"/>
    <w:bookmarkEnd w:id="9"/>
    <w:p>
      <w:pPr>
        <w:spacing w:after="0" w:line="4" w:lineRule="exact"/>
        <w:rPr>
          <w:sz w:val="20"/>
          <w:szCs w:val="20"/>
          <w:color w:val="auto"/>
        </w:rPr>
      </w:pPr>
    </w:p>
    <w:p>
      <w:pPr>
        <w:ind w:left="700" w:right="4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“Regional Forest Agreement”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“RFA” </w:t>
      </w:r>
      <w:r>
        <w:rPr>
          <w:rFonts w:ascii="Times New Roman" w:cs="Times New Roman" w:eastAsia="Times New Roman" w:hAnsi="Times New Roman"/>
          <w:sz w:val="22"/>
          <w:szCs w:val="22"/>
          <w:color w:val="auto"/>
        </w:rPr>
        <w:t>means a Regional Forest Agreement within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meaning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w:t>
      </w:r>
    </w:p>
    <w:p>
      <w:pPr>
        <w:spacing w:after="0" w:line="242"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“Refugia” </w:t>
      </w:r>
      <w:r>
        <w:rPr>
          <w:rFonts w:ascii="Times New Roman" w:cs="Times New Roman" w:eastAsia="Times New Roman" w:hAnsi="Times New Roman"/>
          <w:sz w:val="22"/>
          <w:szCs w:val="22"/>
          <w:color w:val="auto"/>
        </w:rPr>
        <w:t>has the same meaning as in the JANIS Report;</w:t>
      </w:r>
    </w:p>
    <w:p>
      <w:pPr>
        <w:spacing w:after="0" w:line="251" w:lineRule="exact"/>
        <w:rPr>
          <w:sz w:val="20"/>
          <w:szCs w:val="20"/>
          <w:color w:val="auto"/>
        </w:rPr>
      </w:pPr>
    </w:p>
    <w:p>
      <w:pPr>
        <w:ind w:left="700" w:right="4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“RFA Forestry Operations” </w:t>
      </w:r>
      <w:r>
        <w:rPr>
          <w:rFonts w:ascii="Times New Roman" w:cs="Times New Roman" w:eastAsia="Times New Roman" w:hAnsi="Times New Roman"/>
          <w:sz w:val="22"/>
          <w:szCs w:val="22"/>
          <w:color w:val="auto"/>
        </w:rPr>
        <w:t>has the same meaning as in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Regional Forest Agreements Act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2002 </w:t>
      </w:r>
      <w:r>
        <w:rPr>
          <w:rFonts w:ascii="Times New Roman" w:cs="Times New Roman" w:eastAsia="Times New Roman" w:hAnsi="Times New Roman"/>
          <w:sz w:val="22"/>
          <w:szCs w:val="22"/>
          <w:color w:val="auto"/>
        </w:rPr>
        <w:t>(Cth);</w:t>
      </w:r>
    </w:p>
    <w:p>
      <w:pPr>
        <w:spacing w:after="0" w:line="239"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2"/>
          <w:szCs w:val="22"/>
          <w:b w:val="1"/>
          <w:bCs w:val="1"/>
          <w:color w:val="auto"/>
        </w:rPr>
        <w:t xml:space="preserve">“RFA Region” </w:t>
      </w:r>
      <w:r>
        <w:rPr>
          <w:rFonts w:ascii="Times New Roman" w:cs="Times New Roman" w:eastAsia="Times New Roman" w:hAnsi="Times New Roman"/>
          <w:sz w:val="22"/>
          <w:szCs w:val="22"/>
          <w:color w:val="auto"/>
        </w:rPr>
        <w:t>has the same meaning as Central Highlands RFA Region;</w:t>
      </w:r>
    </w:p>
    <w:p>
      <w:pPr>
        <w:spacing w:after="0" w:line="251" w:lineRule="exact"/>
        <w:rPr>
          <w:sz w:val="20"/>
          <w:szCs w:val="20"/>
          <w:color w:val="auto"/>
        </w:rPr>
      </w:pPr>
    </w:p>
    <w:p>
      <w:pPr>
        <w:ind w:left="700" w:right="4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“Special Management Zone” or “SMZ” </w:t>
      </w:r>
      <w:r>
        <w:rPr>
          <w:rFonts w:ascii="Times New Roman" w:cs="Times New Roman" w:eastAsia="Times New Roman" w:hAnsi="Times New Roman"/>
          <w:sz w:val="22"/>
          <w:szCs w:val="22"/>
          <w:color w:val="auto"/>
        </w:rPr>
        <w:t>means the zone of the same name described in a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Plan that applies, either in part or wholly, to land within the RFA Region;</w:t>
      </w:r>
    </w:p>
    <w:p>
      <w:pPr>
        <w:spacing w:after="0" w:line="252" w:lineRule="exact"/>
        <w:rPr>
          <w:sz w:val="20"/>
          <w:szCs w:val="20"/>
          <w:color w:val="auto"/>
        </w:rPr>
      </w:pPr>
    </w:p>
    <w:p>
      <w:pPr>
        <w:ind w:left="700" w:right="4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“Special Protection Zone”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“SPZ” </w:t>
      </w:r>
      <w:r>
        <w:rPr>
          <w:rFonts w:ascii="Times New Roman" w:cs="Times New Roman" w:eastAsia="Times New Roman" w:hAnsi="Times New Roman"/>
          <w:sz w:val="22"/>
          <w:szCs w:val="22"/>
          <w:color w:val="auto"/>
        </w:rPr>
        <w:t>means the zone of the same name described in a Forest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Plan that applies, either in part or wholly, to land within the RFA Region;</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“State Forest” </w:t>
      </w:r>
      <w:r>
        <w:rPr>
          <w:rFonts w:ascii="Times New Roman" w:cs="Times New Roman" w:eastAsia="Times New Roman" w:hAnsi="Times New Roman"/>
          <w:sz w:val="22"/>
          <w:szCs w:val="22"/>
          <w:color w:val="auto"/>
        </w:rPr>
        <w:t>has the same meaning as in section 3 of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Forests Act 1958</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w:t>
      </w:r>
    </w:p>
    <w:p>
      <w:pPr>
        <w:spacing w:after="0" w:line="251" w:lineRule="exact"/>
        <w:rPr>
          <w:sz w:val="20"/>
          <w:szCs w:val="20"/>
          <w:color w:val="auto"/>
        </w:rPr>
      </w:pPr>
    </w:p>
    <w:p>
      <w:pPr>
        <w:ind w:left="720" w:right="14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“Statement of Regulatory Intent” </w:t>
      </w:r>
      <w:r>
        <w:rPr>
          <w:rFonts w:ascii="Times New Roman" w:cs="Times New Roman" w:eastAsia="Times New Roman" w:hAnsi="Times New Roman"/>
          <w:sz w:val="22"/>
          <w:szCs w:val="22"/>
          <w:color w:val="auto"/>
        </w:rPr>
        <w:t>means a statement of the same name published by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Victorian Office of the Conservation Regulator, which provides a detailed explanation of the law in a specified area and guidance on how the regulator will exercise its powers;</w:t>
      </w:r>
    </w:p>
    <w:p>
      <w:pPr>
        <w:spacing w:after="0" w:line="243"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“Statutory Conservation Planning Document” </w:t>
      </w:r>
      <w:r>
        <w:rPr>
          <w:rFonts w:ascii="Times New Roman" w:cs="Times New Roman" w:eastAsia="Times New Roman" w:hAnsi="Times New Roman"/>
          <w:sz w:val="22"/>
          <w:szCs w:val="22"/>
          <w:color w:val="auto"/>
        </w:rPr>
        <w:t>means:</w:t>
      </w:r>
    </w:p>
    <w:p>
      <w:pPr>
        <w:spacing w:after="0" w:line="251" w:lineRule="exact"/>
        <w:rPr>
          <w:sz w:val="20"/>
          <w:szCs w:val="20"/>
          <w:color w:val="auto"/>
        </w:rPr>
      </w:pPr>
    </w:p>
    <w:p>
      <w:pPr>
        <w:ind w:left="1420" w:hanging="712"/>
        <w:spacing w:after="0" w:line="235" w:lineRule="auto"/>
        <w:tabs>
          <w:tab w:leader="none" w:pos="1420"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approved conservation advice, recovery plan, threat abatement plan or wildlife conservation plan as defined under the EPBC Act; and</w:t>
      </w:r>
    </w:p>
    <w:p>
      <w:pPr>
        <w:spacing w:after="0" w:line="251"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0"/>
          <w:numId w:val="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an Action Statement or Interim Conservation Order as defined under </w:t>
      </w:r>
      <w:r>
        <w:rPr>
          <w:rFonts w:ascii="Times New Roman" w:cs="Times New Roman" w:eastAsia="Times New Roman" w:hAnsi="Times New Roman"/>
          <w:sz w:val="22"/>
          <w:szCs w:val="22"/>
          <w:i w:val="1"/>
          <w:iCs w:val="1"/>
          <w:color w:val="auto"/>
        </w:rPr>
        <w:t>the Flora and Fauna</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Guarantee Act 1988 </w:t>
      </w:r>
      <w:r>
        <w:rPr>
          <w:rFonts w:ascii="Times New Roman" w:cs="Times New Roman" w:eastAsia="Times New Roman" w:hAnsi="Times New Roman"/>
          <w:sz w:val="22"/>
          <w:szCs w:val="22"/>
          <w:color w:val="auto"/>
        </w:rPr>
        <w:t>(Vic);</w:t>
      </w:r>
    </w:p>
    <w:p>
      <w:pPr>
        <w:spacing w:after="0" w:line="253" w:lineRule="exact"/>
        <w:rPr>
          <w:sz w:val="20"/>
          <w:szCs w:val="20"/>
          <w:color w:val="auto"/>
        </w:rPr>
      </w:pPr>
    </w:p>
    <w:p>
      <w:pPr>
        <w:jc w:val="both"/>
        <w:ind w:left="700" w:right="4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"Supplementary Report” </w:t>
      </w:r>
      <w:r>
        <w:rPr>
          <w:rFonts w:ascii="Times New Roman" w:cs="Times New Roman" w:eastAsia="Times New Roman" w:hAnsi="Times New Roman"/>
          <w:sz w:val="22"/>
          <w:szCs w:val="22"/>
          <w:color w:val="auto"/>
        </w:rPr>
        <w:t>means the report prepared by the Parties pursuant to clause 37H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this Agreement;</w:t>
      </w:r>
    </w:p>
    <w:p>
      <w:pPr>
        <w:spacing w:after="0" w:line="253" w:lineRule="exact"/>
        <w:rPr>
          <w:sz w:val="20"/>
          <w:szCs w:val="20"/>
          <w:color w:val="auto"/>
        </w:rPr>
      </w:pPr>
    </w:p>
    <w:p>
      <w:pPr>
        <w:jc w:val="both"/>
        <w:ind w:left="700" w:right="40"/>
        <w:spacing w:after="0" w:line="251" w:lineRule="auto"/>
        <w:rPr>
          <w:sz w:val="20"/>
          <w:szCs w:val="20"/>
          <w:color w:val="auto"/>
        </w:rPr>
      </w:pPr>
      <w:r>
        <w:rPr>
          <w:rFonts w:ascii="Times New Roman" w:cs="Times New Roman" w:eastAsia="Times New Roman" w:hAnsi="Times New Roman"/>
          <w:sz w:val="21"/>
          <w:szCs w:val="21"/>
          <w:b w:val="1"/>
          <w:bCs w:val="1"/>
          <w:color w:val="auto"/>
        </w:rPr>
        <w:t xml:space="preserve">“Sustainability Indicators” </w:t>
      </w:r>
      <w:r>
        <w:rPr>
          <w:rFonts w:ascii="Times New Roman" w:cs="Times New Roman" w:eastAsia="Times New Roman" w:hAnsi="Times New Roman"/>
          <w:sz w:val="21"/>
          <w:szCs w:val="21"/>
          <w:color w:val="auto"/>
        </w:rPr>
        <w:t xml:space="preserve">means qualitative or quantitative measures, at the regional (sub-national) level developed to assess the criteria for sustainable forest management, as described in </w:t>
      </w:r>
      <w:r>
        <w:rPr>
          <w:rFonts w:ascii="Times New Roman" w:cs="Times New Roman" w:eastAsia="Times New Roman" w:hAnsi="Times New Roman"/>
          <w:sz w:val="21"/>
          <w:szCs w:val="21"/>
          <w:i w:val="1"/>
          <w:iCs w:val="1"/>
          <w:color w:val="auto"/>
        </w:rPr>
        <w:t>Criteria and Indicators for Sustainable Forest Management in Victoria – Guidance Document</w:t>
      </w:r>
      <w:r>
        <w:rPr>
          <w:rFonts w:ascii="Times New Roman" w:cs="Times New Roman" w:eastAsia="Times New Roman" w:hAnsi="Times New Roman"/>
          <w:sz w:val="21"/>
          <w:szCs w:val="21"/>
          <w:color w:val="auto"/>
        </w:rPr>
        <w:t>,</w:t>
      </w:r>
      <w:r>
        <w:rPr>
          <w:rFonts w:ascii="Times New Roman" w:cs="Times New Roman" w:eastAsia="Times New Roman" w:hAnsi="Times New Roman"/>
          <w:sz w:val="21"/>
          <w:szCs w:val="21"/>
          <w:i w:val="1"/>
          <w:iCs w:val="1"/>
          <w:color w:val="auto"/>
        </w:rPr>
        <w:t xml:space="preserve"> </w:t>
      </w:r>
      <w:r>
        <w:rPr>
          <w:rFonts w:ascii="Times New Roman" w:cs="Times New Roman" w:eastAsia="Times New Roman" w:hAnsi="Times New Roman"/>
          <w:sz w:val="21"/>
          <w:szCs w:val="21"/>
          <w:color w:val="auto"/>
        </w:rPr>
        <w:t xml:space="preserve">as amended from time to time, under the </w:t>
      </w:r>
      <w:r>
        <w:rPr>
          <w:rFonts w:ascii="Times New Roman" w:cs="Times New Roman" w:eastAsia="Times New Roman" w:hAnsi="Times New Roman"/>
          <w:sz w:val="21"/>
          <w:szCs w:val="21"/>
          <w:i w:val="1"/>
          <w:iCs w:val="1"/>
          <w:color w:val="auto"/>
        </w:rPr>
        <w:t>Sustainable Forests (Timber) Act 2004</w:t>
      </w:r>
      <w:r>
        <w:rPr>
          <w:rFonts w:ascii="Times New Roman" w:cs="Times New Roman" w:eastAsia="Times New Roman" w:hAnsi="Times New Roman"/>
          <w:sz w:val="21"/>
          <w:szCs w:val="21"/>
          <w:color w:val="auto"/>
        </w:rPr>
        <w:t xml:space="preserve"> (Vic);</w:t>
      </w:r>
    </w:p>
    <w:p>
      <w:pPr>
        <w:spacing w:after="0" w:line="241" w:lineRule="exact"/>
        <w:rPr>
          <w:sz w:val="20"/>
          <w:szCs w:val="20"/>
          <w:color w:val="auto"/>
        </w:rPr>
      </w:pPr>
    </w:p>
    <w:p>
      <w:pPr>
        <w:jc w:val="both"/>
        <w:ind w:left="700" w:right="4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“System of Environmental-Economic Accounting Framework”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“SEEA Framework” </w:t>
      </w:r>
      <w:r>
        <w:rPr>
          <w:rFonts w:ascii="Times New Roman" w:cs="Times New Roman" w:eastAsia="Times New Roman" w:hAnsi="Times New Roman"/>
          <w:sz w:val="22"/>
          <w:szCs w:val="22"/>
          <w:color w:val="auto"/>
        </w:rPr>
        <w:t>means the United Nation’s framework of the same name that is a framework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organising and presenting statistics on the environment and its relationship with the economy. It contains the internationally agreed standard concepts, definitions, classifications, accounting rules and tables for producing internationally comparable statistics and accounts;</w:t>
      </w:r>
    </w:p>
    <w:p>
      <w:pPr>
        <w:spacing w:after="0" w:line="256"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1"/>
          <w:szCs w:val="21"/>
          <w:b w:val="1"/>
          <w:bCs w:val="1"/>
          <w:color w:val="auto"/>
        </w:rPr>
        <w:t xml:space="preserve">“Threat Abatement Plan” </w:t>
      </w:r>
      <w:r>
        <w:rPr>
          <w:rFonts w:ascii="Times New Roman" w:cs="Times New Roman" w:eastAsia="Times New Roman" w:hAnsi="Times New Roman"/>
          <w:sz w:val="21"/>
          <w:szCs w:val="21"/>
          <w:color w:val="auto"/>
        </w:rPr>
        <w:t>means a threat abatement plan made or adopted under the EPBC Act;</w:t>
      </w:r>
    </w:p>
    <w:p>
      <w:pPr>
        <w:spacing w:after="0" w:line="241"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“Threatening Process” </w:t>
      </w:r>
      <w:r>
        <w:rPr>
          <w:rFonts w:ascii="Times New Roman" w:cs="Times New Roman" w:eastAsia="Times New Roman" w:hAnsi="Times New Roman"/>
          <w:sz w:val="22"/>
          <w:szCs w:val="22"/>
          <w:color w:val="auto"/>
        </w:rPr>
        <w:t>means a:</w:t>
      </w:r>
    </w:p>
    <w:p>
      <w:pPr>
        <w:spacing w:after="0" w:line="258" w:lineRule="exact"/>
        <w:rPr>
          <w:sz w:val="20"/>
          <w:szCs w:val="20"/>
          <w:color w:val="auto"/>
        </w:rPr>
      </w:pPr>
    </w:p>
    <w:p>
      <w:pPr>
        <w:ind w:left="1420" w:hanging="712"/>
        <w:spacing w:after="0"/>
        <w:tabs>
          <w:tab w:leader="none" w:pos="1420" w:val="left"/>
        </w:tabs>
        <w:numPr>
          <w:ilvl w:val="0"/>
          <w:numId w:val="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threatening process as defined in section 188(3) of the EPBC Act; and</w:t>
      </w:r>
    </w:p>
    <w:p>
      <w:pPr>
        <w:spacing w:after="0" w:line="253"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0"/>
          <w:numId w:val="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potentially threatening process as defined in section 3 of the </w:t>
      </w:r>
      <w:r>
        <w:rPr>
          <w:rFonts w:ascii="Times New Roman" w:cs="Times New Roman" w:eastAsia="Times New Roman" w:hAnsi="Times New Roman"/>
          <w:sz w:val="22"/>
          <w:szCs w:val="22"/>
          <w:i w:val="1"/>
          <w:iCs w:val="1"/>
          <w:color w:val="auto"/>
        </w:rPr>
        <w:t>Flora and Fauna Guarantee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Act 1988 </w:t>
      </w:r>
      <w:r>
        <w:rPr>
          <w:rFonts w:ascii="Times New Roman" w:cs="Times New Roman" w:eastAsia="Times New Roman" w:hAnsi="Times New Roman"/>
          <w:sz w:val="22"/>
          <w:szCs w:val="22"/>
          <w:color w:val="auto"/>
        </w:rPr>
        <w:t>(Vic);</w:t>
      </w:r>
    </w:p>
    <w:p>
      <w:pPr>
        <w:spacing w:after="0" w:line="253" w:lineRule="exact"/>
        <w:rPr>
          <w:sz w:val="20"/>
          <w:szCs w:val="20"/>
          <w:color w:val="auto"/>
        </w:rPr>
      </w:pPr>
    </w:p>
    <w:p>
      <w:pPr>
        <w:jc w:val="both"/>
        <w:ind w:left="700" w:right="4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“Timber and Forestry Products Industries” </w:t>
      </w:r>
      <w:r>
        <w:rPr>
          <w:rFonts w:ascii="Times New Roman" w:cs="Times New Roman" w:eastAsia="Times New Roman" w:hAnsi="Times New Roman"/>
          <w:sz w:val="22"/>
          <w:szCs w:val="22"/>
          <w:color w:val="auto"/>
        </w:rPr>
        <w:t>means industries involved in growing,</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management, harvesting, haulage to mill, milling and processing, importing/exporting, haulage of finished goods to market, and wholesale and retail sales of wood and paper products in</w:t>
      </w:r>
    </w:p>
    <w:p>
      <w:pPr>
        <w:spacing w:after="0" w:line="200" w:lineRule="exact"/>
        <w:rPr>
          <w:sz w:val="20"/>
          <w:szCs w:val="20"/>
          <w:color w:val="auto"/>
        </w:rPr>
      </w:pPr>
    </w:p>
    <w:p>
      <w:pPr>
        <w:spacing w:after="0" w:line="334"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10</w:t>
      </w:r>
    </w:p>
    <w:p>
      <w:pPr>
        <w:sectPr>
          <w:pgSz w:w="11900" w:h="16838" w:orient="portrait"/>
          <w:cols w:equalWidth="0" w:num="1">
            <w:col w:w="9240"/>
          </w:cols>
          <w:pgMar w:left="1440" w:top="1440" w:right="1226" w:bottom="149" w:gutter="0" w:footer="0" w:header="0"/>
        </w:sectPr>
      </w:pPr>
    </w:p>
    <w:bookmarkStart w:id="10" w:name="page11"/>
    <w:bookmarkEnd w:id="10"/>
    <w:p>
      <w:pPr>
        <w:spacing w:after="0" w:line="4" w:lineRule="exact"/>
        <w:rPr>
          <w:sz w:val="20"/>
          <w:szCs w:val="20"/>
          <w:color w:val="auto"/>
        </w:rPr>
      </w:pPr>
    </w:p>
    <w:p>
      <w:pPr>
        <w:ind w:left="700" w:right="40"/>
        <w:spacing w:after="0" w:line="234" w:lineRule="auto"/>
        <w:rPr>
          <w:sz w:val="20"/>
          <w:szCs w:val="20"/>
          <w:color w:val="auto"/>
        </w:rPr>
      </w:pPr>
      <w:r>
        <w:rPr>
          <w:rFonts w:ascii="Times New Roman" w:cs="Times New Roman" w:eastAsia="Times New Roman" w:hAnsi="Times New Roman"/>
          <w:sz w:val="22"/>
          <w:szCs w:val="22"/>
          <w:color w:val="auto"/>
        </w:rPr>
        <w:t>Australia associated with plantations, native forestry and farm forestry. This includes all processing where wood is the dominant component of goods being produced;</w:t>
      </w:r>
    </w:p>
    <w:p>
      <w:pPr>
        <w:spacing w:after="0" w:line="242"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“Timber Resources” </w:t>
      </w:r>
      <w:r>
        <w:rPr>
          <w:rFonts w:ascii="Times New Roman" w:cs="Times New Roman" w:eastAsia="Times New Roman" w:hAnsi="Times New Roman"/>
          <w:sz w:val="22"/>
          <w:szCs w:val="22"/>
          <w:color w:val="auto"/>
        </w:rPr>
        <w:t>means:</w:t>
      </w:r>
    </w:p>
    <w:p>
      <w:pPr>
        <w:spacing w:after="0" w:line="239" w:lineRule="exact"/>
        <w:rPr>
          <w:sz w:val="20"/>
          <w:szCs w:val="20"/>
          <w:color w:val="auto"/>
        </w:rPr>
      </w:pPr>
    </w:p>
    <w:p>
      <w:pPr>
        <w:ind w:left="1420" w:hanging="712"/>
        <w:spacing w:after="0"/>
        <w:tabs>
          <w:tab w:leader="none" w:pos="1420" w:val="left"/>
        </w:tabs>
        <w:numPr>
          <w:ilvl w:val="0"/>
          <w:numId w:val="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“timber resources” as defined in the </w:t>
      </w:r>
      <w:r>
        <w:rPr>
          <w:rFonts w:ascii="Times New Roman" w:cs="Times New Roman" w:eastAsia="Times New Roman" w:hAnsi="Times New Roman"/>
          <w:sz w:val="22"/>
          <w:szCs w:val="22"/>
          <w:i w:val="1"/>
          <w:iCs w:val="1"/>
          <w:color w:val="auto"/>
        </w:rPr>
        <w:t>Sustainable Forests (Timber) Act 2004</w:t>
      </w:r>
      <w:r>
        <w:rPr>
          <w:rFonts w:ascii="Times New Roman" w:cs="Times New Roman" w:eastAsia="Times New Roman" w:hAnsi="Times New Roman"/>
          <w:sz w:val="22"/>
          <w:szCs w:val="22"/>
          <w:color w:val="auto"/>
        </w:rPr>
        <w:t xml:space="preserve"> (Vic); and</w:t>
      </w:r>
    </w:p>
    <w:p>
      <w:pPr>
        <w:spacing w:after="0" w:line="252" w:lineRule="exact"/>
        <w:rPr>
          <w:rFonts w:ascii="Times New Roman" w:cs="Times New Roman" w:eastAsia="Times New Roman" w:hAnsi="Times New Roman"/>
          <w:sz w:val="22"/>
          <w:szCs w:val="22"/>
          <w:color w:val="auto"/>
        </w:rPr>
      </w:pPr>
    </w:p>
    <w:p>
      <w:pPr>
        <w:jc w:val="both"/>
        <w:ind w:left="1420" w:hanging="712"/>
        <w:spacing w:after="0" w:line="250" w:lineRule="auto"/>
        <w:tabs>
          <w:tab w:leader="none" w:pos="1420" w:val="left"/>
        </w:tabs>
        <w:numPr>
          <w:ilvl w:val="0"/>
          <w:numId w:val="17"/>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“timber”, as that term is defined in the </w:t>
      </w:r>
      <w:r>
        <w:rPr>
          <w:rFonts w:ascii="Times New Roman" w:cs="Times New Roman" w:eastAsia="Times New Roman" w:hAnsi="Times New Roman"/>
          <w:sz w:val="21"/>
          <w:szCs w:val="21"/>
          <w:i w:val="1"/>
          <w:iCs w:val="1"/>
          <w:color w:val="auto"/>
        </w:rPr>
        <w:t>Forests Act 1958</w:t>
      </w:r>
      <w:r>
        <w:rPr>
          <w:rFonts w:ascii="Times New Roman" w:cs="Times New Roman" w:eastAsia="Times New Roman" w:hAnsi="Times New Roman"/>
          <w:sz w:val="21"/>
          <w:szCs w:val="21"/>
          <w:color w:val="auto"/>
        </w:rPr>
        <w:t xml:space="preserve"> (Vic), taken pursuant to a licence issued under section 52 of the </w:t>
      </w:r>
      <w:r>
        <w:rPr>
          <w:rFonts w:ascii="Times New Roman" w:cs="Times New Roman" w:eastAsia="Times New Roman" w:hAnsi="Times New Roman"/>
          <w:sz w:val="21"/>
          <w:szCs w:val="21"/>
          <w:i w:val="1"/>
          <w:iCs w:val="1"/>
          <w:color w:val="auto"/>
        </w:rPr>
        <w:t>Forests Act 1958</w:t>
      </w:r>
      <w:r>
        <w:rPr>
          <w:rFonts w:ascii="Times New Roman" w:cs="Times New Roman" w:eastAsia="Times New Roman" w:hAnsi="Times New Roman"/>
          <w:sz w:val="21"/>
          <w:szCs w:val="21"/>
          <w:color w:val="auto"/>
        </w:rPr>
        <w:t xml:space="preserve"> (Vic), but does not include ‘firewood’ (as that term is defined in the </w:t>
      </w:r>
      <w:r>
        <w:rPr>
          <w:rFonts w:ascii="Times New Roman" w:cs="Times New Roman" w:eastAsia="Times New Roman" w:hAnsi="Times New Roman"/>
          <w:sz w:val="21"/>
          <w:szCs w:val="21"/>
          <w:i w:val="1"/>
          <w:iCs w:val="1"/>
          <w:color w:val="auto"/>
        </w:rPr>
        <w:t>Forests Act 1958</w:t>
      </w:r>
      <w:r>
        <w:rPr>
          <w:rFonts w:ascii="Times New Roman" w:cs="Times New Roman" w:eastAsia="Times New Roman" w:hAnsi="Times New Roman"/>
          <w:sz w:val="21"/>
          <w:szCs w:val="21"/>
          <w:color w:val="auto"/>
        </w:rPr>
        <w:t xml:space="preserve"> (Vic)) taken for domestic purposes;</w:t>
      </w:r>
    </w:p>
    <w:p>
      <w:pPr>
        <w:spacing w:after="0" w:line="244" w:lineRule="exact"/>
        <w:rPr>
          <w:sz w:val="20"/>
          <w:szCs w:val="20"/>
          <w:color w:val="auto"/>
        </w:rPr>
      </w:pPr>
    </w:p>
    <w:p>
      <w:pPr>
        <w:jc w:val="both"/>
        <w:ind w:left="72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“Traditional Owner Country Plans” </w:t>
      </w:r>
      <w:r>
        <w:rPr>
          <w:rFonts w:ascii="Times New Roman" w:cs="Times New Roman" w:eastAsia="Times New Roman" w:hAnsi="Times New Roman"/>
          <w:sz w:val="22"/>
          <w:szCs w:val="22"/>
          <w:color w:val="auto"/>
        </w:rPr>
        <w:t>means plans developed by Traditional Owners that</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describe objectives, aspirations and strategies for management of Country;</w:t>
      </w:r>
    </w:p>
    <w:p>
      <w:pPr>
        <w:spacing w:after="0" w:line="254" w:lineRule="exact"/>
        <w:rPr>
          <w:sz w:val="20"/>
          <w:szCs w:val="20"/>
          <w:color w:val="auto"/>
        </w:rPr>
      </w:pPr>
    </w:p>
    <w:p>
      <w:pPr>
        <w:jc w:val="both"/>
        <w:ind w:left="700"/>
        <w:spacing w:after="0" w:line="238" w:lineRule="auto"/>
        <w:rPr>
          <w:sz w:val="20"/>
          <w:szCs w:val="20"/>
          <w:color w:val="auto"/>
        </w:rPr>
      </w:pPr>
      <w:r>
        <w:rPr>
          <w:rFonts w:ascii="Times New Roman" w:cs="Times New Roman" w:eastAsia="Times New Roman" w:hAnsi="Times New Roman"/>
          <w:sz w:val="22"/>
          <w:szCs w:val="22"/>
          <w:b w:val="1"/>
          <w:bCs w:val="1"/>
          <w:color w:val="auto"/>
        </w:rPr>
        <w:t xml:space="preserve">“Traditional Owner Knowledge” </w:t>
      </w:r>
      <w:r>
        <w:rPr>
          <w:rFonts w:ascii="Times New Roman" w:cs="Times New Roman" w:eastAsia="Times New Roman" w:hAnsi="Times New Roman"/>
          <w:sz w:val="22"/>
          <w:szCs w:val="22"/>
          <w:color w:val="auto"/>
        </w:rPr>
        <w:t>means the specialised knowledge that Traditional Owners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have acquired, passed down and adapted through generations. This knowledge may include, but is not limited to, cultural lore, spiritual and religious customs, oral history, cultural practices and knowledge and relationships with land regarding the landscape, the environment, the seasons and species. Traditional Owner Knowledge includes the adapted use of this knowledge as it is translated into culturally specific and appropriate practices today and into the future;</w:t>
      </w:r>
    </w:p>
    <w:p>
      <w:pPr>
        <w:spacing w:after="0" w:line="252"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“Traditional Owners” </w:t>
      </w:r>
      <w:r>
        <w:rPr>
          <w:rFonts w:ascii="Times New Roman" w:cs="Times New Roman" w:eastAsia="Times New Roman" w:hAnsi="Times New Roman"/>
          <w:sz w:val="22"/>
          <w:szCs w:val="22"/>
          <w:color w:val="auto"/>
        </w:rPr>
        <w:t>means Victorian Aboriginal persons or entities recognised under the</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i w:val="1"/>
          <w:iCs w:val="1"/>
          <w:color w:val="auto"/>
        </w:rPr>
        <w:t xml:space="preserve">Native Title Act 1993 </w:t>
      </w:r>
      <w:r>
        <w:rPr>
          <w:rFonts w:ascii="Times New Roman" w:cs="Times New Roman" w:eastAsia="Times New Roman" w:hAnsi="Times New Roman"/>
          <w:sz w:val="22"/>
          <w:szCs w:val="22"/>
          <w:color w:val="auto"/>
        </w:rPr>
        <w:t>(Cth),</w:t>
      </w:r>
      <w:r>
        <w:rPr>
          <w:rFonts w:ascii="Times New Roman" w:cs="Times New Roman" w:eastAsia="Times New Roman" w:hAnsi="Times New Roman"/>
          <w:sz w:val="22"/>
          <w:szCs w:val="22"/>
          <w:i w:val="1"/>
          <w:iCs w:val="1"/>
          <w:color w:val="auto"/>
        </w:rPr>
        <w:t xml:space="preserve"> Traditional Owner Settlement Act 2010 </w:t>
      </w:r>
      <w:r>
        <w:rPr>
          <w:rFonts w:ascii="Times New Roman" w:cs="Times New Roman" w:eastAsia="Times New Roman" w:hAnsi="Times New Roman"/>
          <w:sz w:val="22"/>
          <w:szCs w:val="22"/>
          <w:color w:val="auto"/>
        </w:rPr>
        <w:t>(Vic) or</w:t>
      </w:r>
      <w:r>
        <w:rPr>
          <w:rFonts w:ascii="Times New Roman" w:cs="Times New Roman" w:eastAsia="Times New Roman" w:hAnsi="Times New Roman"/>
          <w:sz w:val="22"/>
          <w:szCs w:val="22"/>
          <w:i w:val="1"/>
          <w:iCs w:val="1"/>
          <w:color w:val="auto"/>
        </w:rPr>
        <w:t xml:space="preserve"> Aboriginal Heritage Act 2006 </w:t>
      </w:r>
      <w:r>
        <w:rPr>
          <w:rFonts w:ascii="Times New Roman" w:cs="Times New Roman" w:eastAsia="Times New Roman" w:hAnsi="Times New Roman"/>
          <w:sz w:val="22"/>
          <w:szCs w:val="22"/>
          <w:color w:val="auto"/>
        </w:rPr>
        <w:t>(Vic);</w:t>
      </w:r>
    </w:p>
    <w:p>
      <w:pPr>
        <w:spacing w:after="0" w:line="253" w:lineRule="exact"/>
        <w:rPr>
          <w:sz w:val="20"/>
          <w:szCs w:val="20"/>
          <w:color w:val="auto"/>
        </w:rPr>
      </w:pPr>
    </w:p>
    <w:p>
      <w:pPr>
        <w:jc w:val="both"/>
        <w:ind w:left="700"/>
        <w:spacing w:after="0" w:line="271" w:lineRule="auto"/>
        <w:rPr>
          <w:sz w:val="20"/>
          <w:szCs w:val="20"/>
          <w:color w:val="auto"/>
        </w:rPr>
      </w:pPr>
      <w:r>
        <w:rPr>
          <w:rFonts w:ascii="Times New Roman" w:cs="Times New Roman" w:eastAsia="Times New Roman" w:hAnsi="Times New Roman"/>
          <w:sz w:val="21"/>
          <w:szCs w:val="21"/>
          <w:b w:val="1"/>
          <w:bCs w:val="1"/>
          <w:color w:val="auto"/>
        </w:rPr>
        <w:t xml:space="preserve">“United Nations Sustainable Development Goals” </w:t>
      </w:r>
      <w:r>
        <w:rPr>
          <w:rFonts w:ascii="Times New Roman" w:cs="Times New Roman" w:eastAsia="Times New Roman" w:hAnsi="Times New Roman"/>
          <w:sz w:val="21"/>
          <w:szCs w:val="21"/>
          <w:color w:val="auto"/>
        </w:rPr>
        <w:t>means the collection of global goals set by the</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color w:val="auto"/>
        </w:rPr>
        <w:t>United Nations General Assembly in 2015 for the year 2030 that form part of Resolution 70/1 of the United Nations General Assembly, or their equivalent, as amended from time to time;</w:t>
      </w:r>
    </w:p>
    <w:p>
      <w:pPr>
        <w:spacing w:after="0" w:line="243" w:lineRule="exact"/>
        <w:rPr>
          <w:sz w:val="20"/>
          <w:szCs w:val="20"/>
          <w:color w:val="auto"/>
        </w:rPr>
      </w:pPr>
    </w:p>
    <w:p>
      <w:pPr>
        <w:jc w:val="both"/>
        <w:ind w:left="700"/>
        <w:spacing w:after="0" w:line="235" w:lineRule="auto"/>
        <w:rPr>
          <w:sz w:val="20"/>
          <w:szCs w:val="20"/>
          <w:color w:val="auto"/>
        </w:rPr>
      </w:pPr>
      <w:r>
        <w:rPr>
          <w:rFonts w:ascii="Times New Roman" w:cs="Times New Roman" w:eastAsia="Times New Roman" w:hAnsi="Times New Roman"/>
          <w:sz w:val="22"/>
          <w:szCs w:val="22"/>
          <w:b w:val="1"/>
          <w:bCs w:val="1"/>
          <w:color w:val="auto"/>
        </w:rPr>
        <w:t xml:space="preserve">“Victorian Environmental Assessment Council” </w:t>
      </w:r>
      <w:r>
        <w:rPr>
          <w:rFonts w:ascii="Times New Roman" w:cs="Times New Roman" w:eastAsia="Times New Roman" w:hAnsi="Times New Roman"/>
          <w:sz w:val="22"/>
          <w:szCs w:val="22"/>
          <w:color w:val="auto"/>
        </w:rPr>
        <w:t>or</w:t>
      </w:r>
      <w:r>
        <w:rPr>
          <w:rFonts w:ascii="Times New Roman" w:cs="Times New Roman" w:eastAsia="Times New Roman" w:hAnsi="Times New Roman"/>
          <w:sz w:val="22"/>
          <w:szCs w:val="22"/>
          <w:b w:val="1"/>
          <w:bCs w:val="1"/>
          <w:color w:val="auto"/>
        </w:rPr>
        <w:t xml:space="preserve"> “VEAC” </w:t>
      </w:r>
      <w:r>
        <w:rPr>
          <w:rFonts w:ascii="Times New Roman" w:cs="Times New Roman" w:eastAsia="Times New Roman" w:hAnsi="Times New Roman"/>
          <w:sz w:val="22"/>
          <w:szCs w:val="22"/>
          <w:color w:val="auto"/>
        </w:rPr>
        <w:t>means the Victorian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Environmental Assessment Council established under the </w:t>
      </w:r>
      <w:r>
        <w:rPr>
          <w:rFonts w:ascii="Times New Roman" w:cs="Times New Roman" w:eastAsia="Times New Roman" w:hAnsi="Times New Roman"/>
          <w:sz w:val="22"/>
          <w:szCs w:val="22"/>
          <w:i w:val="1"/>
          <w:iCs w:val="1"/>
          <w:color w:val="auto"/>
        </w:rPr>
        <w:t>Victorian Environmental Assessment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Council Act 2001 </w:t>
      </w:r>
      <w:r>
        <w:rPr>
          <w:rFonts w:ascii="Times New Roman" w:cs="Times New Roman" w:eastAsia="Times New Roman" w:hAnsi="Times New Roman"/>
          <w:sz w:val="22"/>
          <w:szCs w:val="22"/>
          <w:color w:val="auto"/>
        </w:rPr>
        <w:t>(Vic), or its equivalent;</w:t>
      </w:r>
    </w:p>
    <w:p>
      <w:pPr>
        <w:spacing w:after="0" w:line="255" w:lineRule="exact"/>
        <w:rPr>
          <w:sz w:val="20"/>
          <w:szCs w:val="20"/>
          <w:color w:val="auto"/>
        </w:rPr>
      </w:pPr>
    </w:p>
    <w:p>
      <w:pPr>
        <w:jc w:val="both"/>
        <w:ind w:left="700" w:right="40"/>
        <w:spacing w:after="0" w:line="236" w:lineRule="auto"/>
        <w:rPr>
          <w:sz w:val="20"/>
          <w:szCs w:val="20"/>
          <w:color w:val="auto"/>
        </w:rPr>
      </w:pPr>
      <w:r>
        <w:rPr>
          <w:rFonts w:ascii="Times New Roman" w:cs="Times New Roman" w:eastAsia="Times New Roman" w:hAnsi="Times New Roman"/>
          <w:sz w:val="22"/>
          <w:szCs w:val="22"/>
          <w:b w:val="1"/>
          <w:bCs w:val="1"/>
          <w:color w:val="auto"/>
        </w:rPr>
        <w:t xml:space="preserve">“Victorian Scientific Advisory Committee” </w:t>
      </w:r>
      <w:r>
        <w:rPr>
          <w:rFonts w:ascii="Times New Roman" w:cs="Times New Roman" w:eastAsia="Times New Roman" w:hAnsi="Times New Roman"/>
          <w:sz w:val="22"/>
          <w:szCs w:val="22"/>
          <w:color w:val="auto"/>
        </w:rPr>
        <w:t>means the committee known as the Scientific</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 xml:space="preserve">Advisory Committee established under the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color w:val="auto"/>
        </w:rPr>
        <w:t xml:space="preserve"> (Vic), or its equivalent;</w:t>
      </w:r>
    </w:p>
    <w:p>
      <w:pPr>
        <w:spacing w:after="0" w:line="241"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“Wilderness” </w:t>
      </w:r>
      <w:r>
        <w:rPr>
          <w:rFonts w:ascii="Times New Roman" w:cs="Times New Roman" w:eastAsia="Times New Roman" w:hAnsi="Times New Roman"/>
          <w:sz w:val="22"/>
          <w:szCs w:val="22"/>
          <w:color w:val="auto"/>
        </w:rPr>
        <w:t>means wilderness as defined in the JANIS Report;</w:t>
      </w:r>
    </w:p>
    <w:p>
      <w:pPr>
        <w:spacing w:after="0" w:line="23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“Wilderness Values” </w:t>
      </w:r>
      <w:r>
        <w:rPr>
          <w:rFonts w:ascii="Times New Roman" w:cs="Times New Roman" w:eastAsia="Times New Roman" w:hAnsi="Times New Roman"/>
          <w:sz w:val="22"/>
          <w:szCs w:val="22"/>
          <w:color w:val="auto"/>
        </w:rPr>
        <w:t>means the values of the same name as described in the JANIS Report;</w:t>
      </w:r>
    </w:p>
    <w:p>
      <w:pPr>
        <w:spacing w:after="0" w:line="253" w:lineRule="exact"/>
        <w:rPr>
          <w:sz w:val="20"/>
          <w:szCs w:val="20"/>
          <w:color w:val="auto"/>
        </w:rPr>
      </w:pPr>
    </w:p>
    <w:p>
      <w:pPr>
        <w:jc w:val="both"/>
        <w:ind w:left="700" w:right="40"/>
        <w:spacing w:after="0" w:line="237" w:lineRule="auto"/>
        <w:rPr>
          <w:sz w:val="20"/>
          <w:szCs w:val="20"/>
          <w:color w:val="auto"/>
        </w:rPr>
      </w:pPr>
      <w:r>
        <w:rPr>
          <w:rFonts w:ascii="Times New Roman" w:cs="Times New Roman" w:eastAsia="Times New Roman" w:hAnsi="Times New Roman"/>
          <w:sz w:val="22"/>
          <w:szCs w:val="22"/>
          <w:b w:val="1"/>
          <w:bCs w:val="1"/>
          <w:color w:val="auto"/>
        </w:rPr>
        <w:t xml:space="preserve">“Wild Rivers” </w:t>
      </w:r>
      <w:r>
        <w:rPr>
          <w:rFonts w:ascii="Times New Roman" w:cs="Times New Roman" w:eastAsia="Times New Roman" w:hAnsi="Times New Roman"/>
          <w:sz w:val="22"/>
          <w:szCs w:val="22"/>
          <w:color w:val="auto"/>
        </w:rPr>
        <w:t>means a river of natural origin, in which the biological, hydrological and</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geomorphological processes of river flow, and intimately linked parts of its catchment, have not been significantly altered by modern or colonial society. Wild Rivers may include permanent, seasonal or underground water courses;</w:t>
      </w:r>
    </w:p>
    <w:p>
      <w:pPr>
        <w:spacing w:after="0" w:line="240"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“World Heritage Committee” </w:t>
      </w:r>
      <w:r>
        <w:rPr>
          <w:rFonts w:ascii="Times New Roman" w:cs="Times New Roman" w:eastAsia="Times New Roman" w:hAnsi="Times New Roman"/>
          <w:sz w:val="22"/>
          <w:szCs w:val="22"/>
          <w:color w:val="auto"/>
        </w:rPr>
        <w:t>means the UNESCO World Heritage Committee;</w:t>
      </w:r>
    </w:p>
    <w:p>
      <w:pPr>
        <w:spacing w:after="0" w:line="253" w:lineRule="exact"/>
        <w:rPr>
          <w:sz w:val="20"/>
          <w:szCs w:val="20"/>
          <w:color w:val="auto"/>
        </w:rPr>
      </w:pPr>
    </w:p>
    <w:p>
      <w:pPr>
        <w:jc w:val="both"/>
        <w:ind w:left="720" w:right="6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“World Heritage List” </w:t>
      </w:r>
      <w:r>
        <w:rPr>
          <w:rFonts w:ascii="Times New Roman" w:cs="Times New Roman" w:eastAsia="Times New Roman" w:hAnsi="Times New Roman"/>
          <w:sz w:val="22"/>
          <w:szCs w:val="22"/>
          <w:color w:val="auto"/>
        </w:rPr>
        <w:t>means the list kept under that title under Article 11 of the Convention</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for the Protection of the World Cultural and Natural Heritage;</w:t>
      </w:r>
    </w:p>
    <w:p>
      <w:pPr>
        <w:spacing w:after="0" w:line="253" w:lineRule="exact"/>
        <w:rPr>
          <w:sz w:val="20"/>
          <w:szCs w:val="20"/>
          <w:color w:val="auto"/>
        </w:rPr>
      </w:pPr>
    </w:p>
    <w:p>
      <w:pPr>
        <w:jc w:val="both"/>
        <w:ind w:left="700" w:right="40"/>
        <w:spacing w:after="0" w:line="234" w:lineRule="auto"/>
        <w:rPr>
          <w:sz w:val="20"/>
          <w:szCs w:val="20"/>
          <w:color w:val="auto"/>
        </w:rPr>
      </w:pPr>
      <w:r>
        <w:rPr>
          <w:rFonts w:ascii="Times New Roman" w:cs="Times New Roman" w:eastAsia="Times New Roman" w:hAnsi="Times New Roman"/>
          <w:sz w:val="22"/>
          <w:szCs w:val="22"/>
          <w:b w:val="1"/>
          <w:bCs w:val="1"/>
          <w:color w:val="auto"/>
        </w:rPr>
        <w:t xml:space="preserve">“World Heritage Place” </w:t>
      </w:r>
      <w:r>
        <w:rPr>
          <w:rFonts w:ascii="Times New Roman" w:cs="Times New Roman" w:eastAsia="Times New Roman" w:hAnsi="Times New Roman"/>
          <w:sz w:val="22"/>
          <w:szCs w:val="22"/>
          <w:color w:val="auto"/>
        </w:rPr>
        <w:t>means a declared World Heritage property as defined in section 13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the EPBC Act; and</w:t>
      </w:r>
    </w:p>
    <w:p>
      <w:pPr>
        <w:spacing w:after="0" w:line="242"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b w:val="1"/>
          <w:bCs w:val="1"/>
          <w:color w:val="auto"/>
        </w:rPr>
        <w:t xml:space="preserve">“World Heritage Values” </w:t>
      </w:r>
      <w:r>
        <w:rPr>
          <w:rFonts w:ascii="Times New Roman" w:cs="Times New Roman" w:eastAsia="Times New Roman" w:hAnsi="Times New Roman"/>
          <w:sz w:val="22"/>
          <w:szCs w:val="22"/>
          <w:color w:val="auto"/>
        </w:rPr>
        <w:t>has the same meaning as in subsection 12(3) of the EPBC Act;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11</w:t>
      </w:r>
    </w:p>
    <w:p>
      <w:pPr>
        <w:sectPr>
          <w:pgSz w:w="11900" w:h="16838" w:orient="portrait"/>
          <w:cols w:equalWidth="0" w:num="1">
            <w:col w:w="9240"/>
          </w:cols>
          <w:pgMar w:left="1440" w:top="1440" w:right="1226" w:bottom="149" w:gutter="0" w:footer="0" w:header="0"/>
        </w:sectPr>
      </w:pPr>
    </w:p>
    <w:bookmarkStart w:id="11" w:name="page12"/>
    <w:bookmarkEnd w:id="11"/>
    <w:p>
      <w:pPr>
        <w:ind w:left="700" w:hanging="700"/>
        <w:spacing w:after="0"/>
        <w:tabs>
          <w:tab w:leader="none" w:pos="700" w:val="left"/>
        </w:tabs>
        <w:numPr>
          <w:ilvl w:val="0"/>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this Agreement unless the contrary intention appears:</w:t>
      </w:r>
    </w:p>
    <w:p>
      <w:pPr>
        <w:spacing w:after="0" w:line="250" w:lineRule="exact"/>
        <w:rPr>
          <w:rFonts w:ascii="Times New Roman" w:cs="Times New Roman" w:eastAsia="Times New Roman" w:hAnsi="Times New Roman"/>
          <w:sz w:val="22"/>
          <w:szCs w:val="22"/>
          <w:color w:val="auto"/>
        </w:rPr>
      </w:pPr>
    </w:p>
    <w:p>
      <w:pPr>
        <w:ind w:left="1440" w:right="20" w:hanging="720"/>
        <w:spacing w:after="0" w:line="235" w:lineRule="auto"/>
        <w:tabs>
          <w:tab w:leader="none" w:pos="144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 clause or Attachment is a reference to a clause or Attachment to this Agreement and a reference to this Agreement includes a reference to an Attachment;</w:t>
      </w:r>
    </w:p>
    <w:p>
      <w:pPr>
        <w:spacing w:after="0" w:line="250" w:lineRule="exact"/>
        <w:rPr>
          <w:rFonts w:ascii="Times New Roman" w:cs="Times New Roman" w:eastAsia="Times New Roman" w:hAnsi="Times New Roman"/>
          <w:sz w:val="22"/>
          <w:szCs w:val="22"/>
          <w:color w:val="auto"/>
        </w:rPr>
      </w:pPr>
    </w:p>
    <w:p>
      <w:pPr>
        <w:ind w:left="1440" w:hanging="720"/>
        <w:spacing w:after="0" w:line="235" w:lineRule="auto"/>
        <w:tabs>
          <w:tab w:leader="none" w:pos="144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this Agreement or another instrument is a reference to this Agreement or that other instrument as amended or varied from time to time;</w:t>
      </w:r>
    </w:p>
    <w:p>
      <w:pPr>
        <w:spacing w:after="0" w:line="250" w:lineRule="exact"/>
        <w:rPr>
          <w:rFonts w:ascii="Times New Roman" w:cs="Times New Roman" w:eastAsia="Times New Roman" w:hAnsi="Times New Roman"/>
          <w:sz w:val="22"/>
          <w:szCs w:val="22"/>
          <w:color w:val="auto"/>
        </w:rPr>
      </w:pPr>
    </w:p>
    <w:p>
      <w:pPr>
        <w:jc w:val="both"/>
        <w:ind w:left="1440" w:hanging="720"/>
        <w:spacing w:after="0" w:line="236" w:lineRule="auto"/>
        <w:tabs>
          <w:tab w:leader="none" w:pos="144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 statute or ordinance includes any consolidations, amendments, re-enactments or replacements thereof and also includes regulations and other instruments made under them;</w:t>
      </w:r>
    </w:p>
    <w:p>
      <w:pPr>
        <w:spacing w:after="0" w:line="252" w:lineRule="exact"/>
        <w:rPr>
          <w:rFonts w:ascii="Times New Roman" w:cs="Times New Roman" w:eastAsia="Times New Roman" w:hAnsi="Times New Roman"/>
          <w:sz w:val="22"/>
          <w:szCs w:val="22"/>
          <w:color w:val="auto"/>
        </w:rPr>
      </w:pPr>
    </w:p>
    <w:p>
      <w:pPr>
        <w:jc w:val="both"/>
        <w:ind w:left="1440" w:hanging="720"/>
        <w:spacing w:after="0" w:line="237" w:lineRule="auto"/>
        <w:tabs>
          <w:tab w:leader="none" w:pos="144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 code or other instrument includes any consolidations, amendments, re-enactments or replacements thereof and also includes any consolidations, amendments, re-enactments or replacements of documents incorporated into the code or other instrument;</w:t>
      </w:r>
    </w:p>
    <w:p>
      <w:pPr>
        <w:spacing w:after="0" w:line="253" w:lineRule="exact"/>
        <w:rPr>
          <w:rFonts w:ascii="Times New Roman" w:cs="Times New Roman" w:eastAsia="Times New Roman" w:hAnsi="Times New Roman"/>
          <w:sz w:val="22"/>
          <w:szCs w:val="22"/>
          <w:color w:val="auto"/>
        </w:rPr>
      </w:pPr>
    </w:p>
    <w:p>
      <w:pPr>
        <w:jc w:val="both"/>
        <w:ind w:left="1440" w:hanging="720"/>
        <w:spacing w:after="0" w:line="237" w:lineRule="auto"/>
        <w:tabs>
          <w:tab w:leader="none" w:pos="144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word importing the singular includes the plural and vice versa, a word importing a gender includes each other gender and a reference to a person includes an individual, firm, body corporate, association (whether incorporated or not), government, governmental or semi-governmental body, local authority or agency;</w:t>
      </w:r>
    </w:p>
    <w:p>
      <w:pPr>
        <w:spacing w:after="0" w:line="253" w:lineRule="exact"/>
        <w:rPr>
          <w:rFonts w:ascii="Times New Roman" w:cs="Times New Roman" w:eastAsia="Times New Roman" w:hAnsi="Times New Roman"/>
          <w:sz w:val="22"/>
          <w:szCs w:val="22"/>
          <w:color w:val="auto"/>
        </w:rPr>
      </w:pPr>
    </w:p>
    <w:p>
      <w:pPr>
        <w:jc w:val="both"/>
        <w:ind w:left="1440" w:hanging="720"/>
        <w:spacing w:after="0" w:line="235" w:lineRule="auto"/>
        <w:tabs>
          <w:tab w:leader="none" w:pos="144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reference to an act, matter or thing includes the whole or any part of that act, matter or thing and a reference to a group of acts, matters, things or persons includes each act, matter, thing or person in that group;</w:t>
      </w:r>
    </w:p>
    <w:p>
      <w:pPr>
        <w:spacing w:after="0" w:line="255" w:lineRule="exact"/>
        <w:rPr>
          <w:rFonts w:ascii="Times New Roman" w:cs="Times New Roman" w:eastAsia="Times New Roman" w:hAnsi="Times New Roman"/>
          <w:sz w:val="22"/>
          <w:szCs w:val="22"/>
          <w:color w:val="auto"/>
        </w:rPr>
      </w:pPr>
    </w:p>
    <w:p>
      <w:pPr>
        <w:ind w:left="1440" w:hanging="720"/>
        <w:spacing w:after="0" w:line="234" w:lineRule="auto"/>
        <w:tabs>
          <w:tab w:leader="none" w:pos="144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any terms and conditions are added to an Attachment of this Agreement it is agreed that those terms and conditions will form part of this Agreement;</w:t>
      </w:r>
    </w:p>
    <w:p>
      <w:pPr>
        <w:spacing w:after="0" w:line="253" w:lineRule="exact"/>
        <w:rPr>
          <w:rFonts w:ascii="Times New Roman" w:cs="Times New Roman" w:eastAsia="Times New Roman" w:hAnsi="Times New Roman"/>
          <w:sz w:val="22"/>
          <w:szCs w:val="22"/>
          <w:color w:val="auto"/>
        </w:rPr>
      </w:pPr>
    </w:p>
    <w:p>
      <w:pPr>
        <w:ind w:left="1440" w:hanging="720"/>
        <w:spacing w:after="0" w:line="234" w:lineRule="auto"/>
        <w:tabs>
          <w:tab w:leader="none" w:pos="144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headings are inserted for convenience and do not affect the interpretation of this Agreement; and</w:t>
      </w:r>
    </w:p>
    <w:p>
      <w:pPr>
        <w:spacing w:after="0" w:line="250" w:lineRule="exact"/>
        <w:rPr>
          <w:rFonts w:ascii="Times New Roman" w:cs="Times New Roman" w:eastAsia="Times New Roman" w:hAnsi="Times New Roman"/>
          <w:sz w:val="22"/>
          <w:szCs w:val="22"/>
          <w:color w:val="auto"/>
        </w:rPr>
      </w:pPr>
    </w:p>
    <w:p>
      <w:pPr>
        <w:jc w:val="both"/>
        <w:ind w:left="1440" w:right="20" w:hanging="720"/>
        <w:spacing w:after="0" w:line="236" w:lineRule="auto"/>
        <w:tabs>
          <w:tab w:leader="none" w:pos="1440" w:val="left"/>
        </w:tabs>
        <w:numPr>
          <w:ilvl w:val="1"/>
          <w:numId w:val="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a term is defined by reference to a statute, ordinance, legislative instrument or code, that term has the same meaning as in the relevant statute, ordinance, legislative instrument or code, as amended from time to time.</w:t>
      </w: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Definition of Region</w:t>
      </w:r>
    </w:p>
    <w:p>
      <w:pPr>
        <w:spacing w:after="0" w:line="285" w:lineRule="exact"/>
        <w:rPr>
          <w:sz w:val="20"/>
          <w:szCs w:val="20"/>
          <w:color w:val="auto"/>
        </w:rPr>
      </w:pPr>
    </w:p>
    <w:p>
      <w:pPr>
        <w:ind w:left="700" w:right="20" w:hanging="700"/>
        <w:spacing w:after="0" w:line="234" w:lineRule="auto"/>
        <w:tabs>
          <w:tab w:leader="none" w:pos="700" w:val="left"/>
        </w:tabs>
        <w:numPr>
          <w:ilvl w:val="0"/>
          <w:numId w:val="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area covered by this Agreement is the Central Highlands Region as shown in Map 1 accompanying this Agreement.</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Duration of Agreement</w:t>
      </w:r>
    </w:p>
    <w:p>
      <w:pPr>
        <w:spacing w:after="0" w:line="284" w:lineRule="exact"/>
        <w:rPr>
          <w:sz w:val="20"/>
          <w:szCs w:val="20"/>
          <w:color w:val="auto"/>
        </w:rPr>
      </w:pPr>
    </w:p>
    <w:p>
      <w:pPr>
        <w:ind w:left="700" w:right="540" w:hanging="558"/>
        <w:spacing w:after="0" w:line="234" w:lineRule="auto"/>
        <w:tabs>
          <w:tab w:leader="none" w:pos="700" w:val="left"/>
        </w:tabs>
        <w:numPr>
          <w:ilvl w:val="1"/>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took effect on 27 March 1998 and will remain in force until 30 June 2030 unless:</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2"/>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terminated earlier pursuant to clauses 92 or 93; or</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2"/>
          <w:numId w:val="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extended until a later date by agreement between the Parties.</w:t>
      </w:r>
    </w:p>
    <w:p>
      <w:pPr>
        <w:spacing w:after="0" w:line="250" w:lineRule="exact"/>
        <w:rPr>
          <w:rFonts w:ascii="Times New Roman" w:cs="Times New Roman" w:eastAsia="Times New Roman" w:hAnsi="Times New Roman"/>
          <w:sz w:val="22"/>
          <w:szCs w:val="22"/>
          <w:color w:val="auto"/>
        </w:rPr>
      </w:pPr>
    </w:p>
    <w:p>
      <w:pPr>
        <w:jc w:val="both"/>
        <w:ind w:left="720" w:hanging="720"/>
        <w:spacing w:after="0" w:line="236" w:lineRule="auto"/>
        <w:tabs>
          <w:tab w:leader="none" w:pos="720" w:val="left"/>
        </w:tabs>
        <w:numPr>
          <w:ilvl w:val="0"/>
          <w:numId w:val="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Subject to clause 6A, the process for extending the Agreement for a further period will be determined jointly by the Parties. The Parties agree that it is preferable that any proposed extension be initiated at least 36 months prior to the expiry of the Agreement.</w:t>
      </w:r>
    </w:p>
    <w:p>
      <w:pPr>
        <w:spacing w:after="0" w:line="243"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6A.</w:t>
      </w:r>
      <w:r>
        <w:rPr>
          <w:sz w:val="20"/>
          <w:szCs w:val="20"/>
          <w:color w:val="auto"/>
        </w:rPr>
        <w:tab/>
      </w:r>
      <w:r>
        <w:rPr>
          <w:rFonts w:ascii="Times New Roman" w:cs="Times New Roman" w:eastAsia="Times New Roman" w:hAnsi="Times New Roman"/>
          <w:sz w:val="22"/>
          <w:szCs w:val="22"/>
          <w:color w:val="auto"/>
        </w:rPr>
        <w:t>The Agreement may only be extended for a further period if:</w:t>
      </w: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12</w:t>
      </w:r>
    </w:p>
    <w:p>
      <w:pPr>
        <w:sectPr>
          <w:pgSz w:w="11900" w:h="16838" w:orient="portrait"/>
          <w:cols w:equalWidth="0" w:num="1">
            <w:col w:w="9200"/>
          </w:cols>
          <w:pgMar w:left="1440" w:top="1432" w:right="1266" w:bottom="149" w:gutter="0" w:footer="0" w:header="0"/>
        </w:sectPr>
      </w:pPr>
    </w:p>
    <w:bookmarkStart w:id="12" w:name="page13"/>
    <w:bookmarkEnd w:id="12"/>
    <w:p>
      <w:pPr>
        <w:spacing w:after="0" w:line="4" w:lineRule="exact"/>
        <w:rPr>
          <w:sz w:val="20"/>
          <w:szCs w:val="20"/>
          <w:color w:val="auto"/>
        </w:rPr>
      </w:pPr>
    </w:p>
    <w:p>
      <w:pPr>
        <w:jc w:val="both"/>
        <w:ind w:left="1420" w:hanging="712"/>
        <w:spacing w:after="0" w:line="237" w:lineRule="auto"/>
        <w:tabs>
          <w:tab w:leader="none" w:pos="1420" w:val="left"/>
        </w:tabs>
        <w:numPr>
          <w:ilvl w:val="0"/>
          <w:numId w:val="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findings in respect of the Five-yearly Review most recently required to have been undertaken pursuant to the terms of this Agreement demonstrates that the operation of the Agreement has produced outcomes that contribute to the items listed in clause 36(a); or</w:t>
      </w:r>
    </w:p>
    <w:p>
      <w:pPr>
        <w:spacing w:after="0" w:line="13"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0"/>
          <w:numId w:val="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have taken, or have commenced, remedial action to address any substantive issues identified in the most recent Five-yearly Review Report.</w:t>
      </w:r>
    </w:p>
    <w:p>
      <w:pPr>
        <w:spacing w:after="0" w:line="234" w:lineRule="exact"/>
        <w:rPr>
          <w:sz w:val="20"/>
          <w:szCs w:val="20"/>
          <w:color w:val="auto"/>
        </w:rPr>
      </w:pPr>
    </w:p>
    <w:p>
      <w:pPr>
        <w:spacing w:after="0"/>
        <w:tabs>
          <w:tab w:leader="none" w:pos="2140" w:val="left"/>
        </w:tabs>
        <w:rPr>
          <w:sz w:val="20"/>
          <w:szCs w:val="20"/>
          <w:color w:val="auto"/>
        </w:rPr>
      </w:pPr>
      <w:r>
        <w:rPr>
          <w:rFonts w:ascii="Times New Roman" w:cs="Times New Roman" w:eastAsia="Times New Roman" w:hAnsi="Times New Roman"/>
          <w:sz w:val="22"/>
          <w:szCs w:val="22"/>
          <w:b w:val="1"/>
          <w:bCs w:val="1"/>
          <w:color w:val="auto"/>
        </w:rPr>
        <w:t>Basis of Agreement</w:t>
      </w:r>
      <w:r>
        <w:rPr>
          <w:sz w:val="20"/>
          <w:szCs w:val="20"/>
          <w:color w:val="auto"/>
        </w:rPr>
        <w:tab/>
      </w:r>
      <w:r>
        <w:rPr>
          <w:rFonts w:ascii="Times New Roman" w:cs="Times New Roman" w:eastAsia="Times New Roman" w:hAnsi="Times New Roman"/>
          <w:sz w:val="21"/>
          <w:szCs w:val="21"/>
          <w:b w:val="1"/>
          <w:bCs w:val="1"/>
          <w:color w:val="auto"/>
        </w:rPr>
        <w:t>National Forest Policy Statement</w:t>
      </w:r>
    </w:p>
    <w:p>
      <w:pPr>
        <w:spacing w:after="0" w:line="315" w:lineRule="exact"/>
        <w:rPr>
          <w:sz w:val="20"/>
          <w:szCs w:val="20"/>
          <w:color w:val="auto"/>
        </w:rPr>
      </w:pPr>
    </w:p>
    <w:p>
      <w:pPr>
        <w:ind w:left="720" w:hanging="720"/>
        <w:spacing w:after="0" w:line="234" w:lineRule="auto"/>
        <w:tabs>
          <w:tab w:leader="none" w:pos="720" w:val="left"/>
        </w:tabs>
        <w:numPr>
          <w:ilvl w:val="0"/>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Parties confirm their commitment to the goals, objectives and implementation of the </w:t>
      </w:r>
      <w:r>
        <w:rPr>
          <w:rFonts w:ascii="Times New Roman" w:cs="Times New Roman" w:eastAsia="Times New Roman" w:hAnsi="Times New Roman"/>
          <w:sz w:val="22"/>
          <w:szCs w:val="22"/>
          <w:i w:val="1"/>
          <w:iCs w:val="1"/>
          <w:color w:val="auto"/>
        </w:rPr>
        <w:t>National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Forest Policy Statement </w:t>
      </w:r>
      <w:r>
        <w:rPr>
          <w:rFonts w:ascii="Times New Roman" w:cs="Times New Roman" w:eastAsia="Times New Roman" w:hAnsi="Times New Roman"/>
          <w:sz w:val="22"/>
          <w:szCs w:val="22"/>
          <w:color w:val="auto"/>
        </w:rPr>
        <w:t>(NFPS) by:</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implementing Ecologically Sustainable Forest Management (ESFM);</w:t>
      </w:r>
    </w:p>
    <w:p>
      <w:pPr>
        <w:spacing w:after="0" w:line="252"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1"/>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establishing and maintaining a Comprehensive, Adequate and Representative Reserve System;</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supporting internationally competitive Timber and Forestry Products Industries; and</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promoting the conservation and management of Native Forests.</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Changes to the Agreement</w:t>
      </w:r>
    </w:p>
    <w:p>
      <w:pPr>
        <w:spacing w:after="0" w:line="287" w:lineRule="exact"/>
        <w:rPr>
          <w:sz w:val="20"/>
          <w:szCs w:val="20"/>
          <w:color w:val="auto"/>
        </w:rPr>
      </w:pPr>
    </w:p>
    <w:p>
      <w:pPr>
        <w:jc w:val="both"/>
        <w:ind w:left="720" w:hanging="720"/>
        <w:spacing w:after="0" w:line="235" w:lineRule="auto"/>
        <w:tabs>
          <w:tab w:leader="none" w:pos="720" w:val="left"/>
        </w:tabs>
        <w:numPr>
          <w:ilvl w:val="0"/>
          <w:numId w:val="2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may only be amended with the consent, in writing, of both Parties. Parties agree to work cooperatively to address any differences between them as to the interpretation or implementation of the Agreement.</w:t>
      </w:r>
    </w:p>
    <w:p>
      <w:pPr>
        <w:spacing w:after="0" w:line="24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Dispute Resolution</w:t>
      </w:r>
    </w:p>
    <w:p>
      <w:pPr>
        <w:spacing w:after="0" w:line="284" w:lineRule="exact"/>
        <w:rPr>
          <w:sz w:val="20"/>
          <w:szCs w:val="20"/>
          <w:color w:val="auto"/>
        </w:rPr>
      </w:pPr>
    </w:p>
    <w:p>
      <w:pPr>
        <w:ind w:left="720" w:right="20" w:hanging="720"/>
        <w:spacing w:after="0" w:line="235" w:lineRule="auto"/>
        <w:tabs>
          <w:tab w:leader="none" w:pos="720"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agree that if a dispute arises between the Parties regarding this Agreement it must be resolved expeditiously in accordance with the provisions of clauses </w:t>
      </w:r>
      <w:hyperlink w:anchor="page13">
        <w:r>
          <w:rPr>
            <w:rFonts w:ascii="Times New Roman" w:cs="Times New Roman" w:eastAsia="Times New Roman" w:hAnsi="Times New Roman"/>
            <w:sz w:val="22"/>
            <w:szCs w:val="22"/>
            <w:color w:val="auto"/>
          </w:rPr>
          <w:t xml:space="preserve">10 </w:t>
        </w:r>
      </w:hyperlink>
      <w:r>
        <w:rPr>
          <w:rFonts w:ascii="Times New Roman" w:cs="Times New Roman" w:eastAsia="Times New Roman" w:hAnsi="Times New Roman"/>
          <w:sz w:val="22"/>
          <w:szCs w:val="22"/>
          <w:color w:val="auto"/>
        </w:rPr>
        <w:t xml:space="preserve">to </w:t>
      </w:r>
      <w:hyperlink w:anchor="page13">
        <w:r>
          <w:rPr>
            <w:rFonts w:ascii="Times New Roman" w:cs="Times New Roman" w:eastAsia="Times New Roman" w:hAnsi="Times New Roman"/>
            <w:sz w:val="22"/>
            <w:szCs w:val="22"/>
            <w:color w:val="auto"/>
          </w:rPr>
          <w:t>14.</w:t>
        </w:r>
      </w:hyperlink>
    </w:p>
    <w:p>
      <w:pPr>
        <w:spacing w:after="0" w:line="239" w:lineRule="exact"/>
        <w:rPr>
          <w:rFonts w:ascii="Times New Roman" w:cs="Times New Roman" w:eastAsia="Times New Roman" w:hAnsi="Times New Roman"/>
          <w:sz w:val="22"/>
          <w:szCs w:val="22"/>
          <w:color w:val="auto"/>
        </w:rPr>
      </w:pPr>
    </w:p>
    <w:p>
      <w:pPr>
        <w:ind w:left="700" w:hanging="700"/>
        <w:spacing w:after="0"/>
        <w:tabs>
          <w:tab w:leader="none" w:pos="700"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When a dispute arises, a Party may serve a notice on the other specifying:</w:t>
      </w:r>
    </w:p>
    <w:p>
      <w:pPr>
        <w:spacing w:after="0" w:line="239" w:lineRule="exact"/>
        <w:rPr>
          <w:rFonts w:ascii="Times New Roman" w:cs="Times New Roman" w:eastAsia="Times New Roman" w:hAnsi="Times New Roman"/>
          <w:sz w:val="22"/>
          <w:szCs w:val="22"/>
          <w:color w:val="auto"/>
        </w:rPr>
      </w:pPr>
    </w:p>
    <w:p>
      <w:pPr>
        <w:ind w:left="1440" w:hanging="720"/>
        <w:spacing w:after="0"/>
        <w:tabs>
          <w:tab w:leader="none" w:pos="1440" w:val="left"/>
        </w:tabs>
        <w:numPr>
          <w:ilvl w:val="1"/>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nature and substance of the matter or issue in dispute; and</w:t>
      </w:r>
    </w:p>
    <w:p>
      <w:pPr>
        <w:spacing w:after="0" w:line="279" w:lineRule="exact"/>
        <w:rPr>
          <w:rFonts w:ascii="Times New Roman" w:cs="Times New Roman" w:eastAsia="Times New Roman" w:hAnsi="Times New Roman"/>
          <w:sz w:val="22"/>
          <w:szCs w:val="22"/>
          <w:color w:val="auto"/>
        </w:rPr>
      </w:pPr>
    </w:p>
    <w:p>
      <w:pPr>
        <w:ind w:left="1440" w:hanging="720"/>
        <w:spacing w:after="0"/>
        <w:tabs>
          <w:tab w:leader="none" w:pos="1440" w:val="left"/>
        </w:tabs>
        <w:numPr>
          <w:ilvl w:val="1"/>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it is a dispute to be resolved in accordance with clauses 10 to 14.</w:t>
      </w:r>
    </w:p>
    <w:p>
      <w:pPr>
        <w:spacing w:after="0" w:line="289" w:lineRule="exact"/>
        <w:rPr>
          <w:rFonts w:ascii="Times New Roman" w:cs="Times New Roman" w:eastAsia="Times New Roman" w:hAnsi="Times New Roman"/>
          <w:sz w:val="22"/>
          <w:szCs w:val="22"/>
          <w:color w:val="auto"/>
        </w:rPr>
      </w:pPr>
    </w:p>
    <w:p>
      <w:pPr>
        <w:jc w:val="both"/>
        <w:ind w:left="720" w:hanging="720"/>
        <w:spacing w:after="0" w:line="236" w:lineRule="auto"/>
        <w:tabs>
          <w:tab w:leader="none" w:pos="720"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Within 14 days of the notice under clause 10 being served the Parties must attempt to settle the dispute and, in default of settlement, appoint a mediator to conduct a mediation concerning the matter or issue in dispute.</w:t>
      </w:r>
    </w:p>
    <w:p>
      <w:pPr>
        <w:spacing w:after="0" w:line="252" w:lineRule="exact"/>
        <w:rPr>
          <w:rFonts w:ascii="Times New Roman" w:cs="Times New Roman" w:eastAsia="Times New Roman" w:hAnsi="Times New Roman"/>
          <w:sz w:val="22"/>
          <w:szCs w:val="22"/>
          <w:color w:val="auto"/>
        </w:rPr>
      </w:pPr>
    </w:p>
    <w:p>
      <w:pPr>
        <w:jc w:val="both"/>
        <w:ind w:left="720" w:hanging="720"/>
        <w:spacing w:after="0" w:line="237" w:lineRule="auto"/>
        <w:tabs>
          <w:tab w:leader="none" w:pos="720"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the dispute is not settled under clause 11 and the Parties fail to appoint a mediator, either of them may request the President of the Law Council of Australia, or the equivalent officer of such body as in future may have the functions of the Law Council of Australia, to nominate a mediator to conduct the mediation.</w:t>
      </w:r>
    </w:p>
    <w:p>
      <w:pPr>
        <w:spacing w:after="0" w:line="253" w:lineRule="exact"/>
        <w:rPr>
          <w:rFonts w:ascii="Times New Roman" w:cs="Times New Roman" w:eastAsia="Times New Roman" w:hAnsi="Times New Roman"/>
          <w:sz w:val="22"/>
          <w:szCs w:val="22"/>
          <w:color w:val="auto"/>
        </w:rPr>
      </w:pPr>
    </w:p>
    <w:p>
      <w:pPr>
        <w:ind w:left="720" w:hanging="720"/>
        <w:spacing w:after="0" w:line="234" w:lineRule="auto"/>
        <w:tabs>
          <w:tab w:leader="none" w:pos="720"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costs of a mediator appointed under clauses 11 or 12 are to be shared equally between the Parties.</w:t>
      </w:r>
    </w:p>
    <w:p>
      <w:pPr>
        <w:spacing w:after="0" w:line="268"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Each of the Parties agrees to use its best endeavours to resolve the dispute through mediation.</w:t>
      </w:r>
    </w:p>
    <w:p>
      <w:pPr>
        <w:spacing w:after="0" w:line="200" w:lineRule="exact"/>
        <w:rPr>
          <w:rFonts w:ascii="Times New Roman" w:cs="Times New Roman" w:eastAsia="Times New Roman" w:hAnsi="Times New Roman"/>
          <w:sz w:val="22"/>
          <w:szCs w:val="22"/>
          <w:color w:val="auto"/>
        </w:rPr>
      </w:pPr>
    </w:p>
    <w:p>
      <w:pPr>
        <w:spacing w:after="0" w:line="200" w:lineRule="exact"/>
        <w:rPr>
          <w:rFonts w:ascii="Times New Roman" w:cs="Times New Roman" w:eastAsia="Times New Roman" w:hAnsi="Times New Roman"/>
          <w:sz w:val="22"/>
          <w:szCs w:val="22"/>
          <w:color w:val="auto"/>
        </w:rPr>
      </w:pPr>
    </w:p>
    <w:p>
      <w:pPr>
        <w:spacing w:after="0" w:line="200" w:lineRule="exact"/>
        <w:rPr>
          <w:rFonts w:ascii="Times New Roman" w:cs="Times New Roman" w:eastAsia="Times New Roman" w:hAnsi="Times New Roman"/>
          <w:sz w:val="22"/>
          <w:szCs w:val="22"/>
          <w:color w:val="auto"/>
        </w:rPr>
      </w:pPr>
    </w:p>
    <w:p>
      <w:pPr>
        <w:spacing w:after="0" w:line="200" w:lineRule="exact"/>
        <w:rPr>
          <w:rFonts w:ascii="Times New Roman" w:cs="Times New Roman" w:eastAsia="Times New Roman" w:hAnsi="Times New Roman"/>
          <w:sz w:val="22"/>
          <w:szCs w:val="22"/>
          <w:color w:val="auto"/>
        </w:rPr>
      </w:pPr>
    </w:p>
    <w:p>
      <w:pPr>
        <w:spacing w:after="0" w:line="200" w:lineRule="exact"/>
        <w:rPr>
          <w:rFonts w:ascii="Times New Roman" w:cs="Times New Roman" w:eastAsia="Times New Roman" w:hAnsi="Times New Roman"/>
          <w:sz w:val="22"/>
          <w:szCs w:val="22"/>
          <w:color w:val="auto"/>
        </w:rPr>
      </w:pPr>
    </w:p>
    <w:p>
      <w:pPr>
        <w:spacing w:after="0" w:line="200" w:lineRule="exact"/>
        <w:rPr>
          <w:rFonts w:ascii="Times New Roman" w:cs="Times New Roman" w:eastAsia="Times New Roman" w:hAnsi="Times New Roman"/>
          <w:sz w:val="22"/>
          <w:szCs w:val="22"/>
          <w:color w:val="auto"/>
        </w:rPr>
      </w:pPr>
    </w:p>
    <w:p>
      <w:pPr>
        <w:spacing w:after="0" w:line="366" w:lineRule="exact"/>
        <w:rPr>
          <w:rFonts w:ascii="Times New Roman" w:cs="Times New Roman" w:eastAsia="Times New Roman" w:hAnsi="Times New Roman"/>
          <w:sz w:val="22"/>
          <w:szCs w:val="22"/>
          <w:color w:val="auto"/>
        </w:rPr>
      </w:pPr>
    </w:p>
    <w:p>
      <w:pPr>
        <w:jc w:val="right"/>
        <w:spacing w:after="0"/>
        <w:rPr>
          <w:sz w:val="20"/>
          <w:szCs w:val="20"/>
          <w:color w:val="auto"/>
        </w:rPr>
      </w:pPr>
      <w:r>
        <w:rPr>
          <w:rFonts w:ascii="Times New Roman" w:cs="Times New Roman" w:eastAsia="Times New Roman" w:hAnsi="Times New Roman"/>
          <w:sz w:val="18"/>
          <w:szCs w:val="18"/>
          <w:color w:val="auto"/>
        </w:rPr>
        <w:t>13</w:t>
      </w:r>
    </w:p>
    <w:p>
      <w:pPr>
        <w:sectPr>
          <w:pgSz w:w="11900" w:h="16838" w:orient="portrait"/>
          <w:cols w:equalWidth="0" w:num="1">
            <w:col w:w="9200"/>
          </w:cols>
          <w:pgMar w:left="1440" w:top="1440" w:right="1266" w:bottom="149" w:gutter="0" w:footer="0" w:header="0"/>
        </w:sectPr>
      </w:pPr>
    </w:p>
    <w:bookmarkStart w:id="13" w:name="page14"/>
    <w:bookmarkEnd w:id="13"/>
    <w:p>
      <w:pPr>
        <w:spacing w:after="0"/>
        <w:rPr>
          <w:sz w:val="20"/>
          <w:szCs w:val="20"/>
          <w:color w:val="auto"/>
        </w:rPr>
      </w:pPr>
      <w:r>
        <w:rPr>
          <w:rFonts w:ascii="Times New Roman" w:cs="Times New Roman" w:eastAsia="Times New Roman" w:hAnsi="Times New Roman"/>
          <w:sz w:val="22"/>
          <w:szCs w:val="22"/>
          <w:b w:val="1"/>
          <w:bCs w:val="1"/>
          <w:color w:val="auto"/>
        </w:rPr>
        <w:t>Notices</w:t>
      </w:r>
    </w:p>
    <w:p>
      <w:pPr>
        <w:spacing w:after="0" w:line="164" w:lineRule="exact"/>
        <w:rPr>
          <w:sz w:val="20"/>
          <w:szCs w:val="20"/>
          <w:color w:val="auto"/>
        </w:rPr>
      </w:pPr>
    </w:p>
    <w:p>
      <w:pPr>
        <w:jc w:val="both"/>
        <w:ind w:left="720" w:hanging="720"/>
        <w:spacing w:after="0" w:line="236" w:lineRule="auto"/>
        <w:tabs>
          <w:tab w:leader="none" w:pos="720" w:val="left"/>
        </w:tabs>
        <w:numPr>
          <w:ilvl w:val="0"/>
          <w:numId w:val="2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notice or other communication to be given or made pursuant to this Agreement shall be in writing and addressed as the case may be as follows (or to the successor to the named Department, or such other address as notified in writing by the relevant Party):</w:t>
      </w:r>
    </w:p>
    <w:p>
      <w:pPr>
        <w:spacing w:after="0" w:line="240" w:lineRule="exact"/>
        <w:rPr>
          <w:rFonts w:ascii="Times New Roman" w:cs="Times New Roman" w:eastAsia="Times New Roman" w:hAnsi="Times New Roman"/>
          <w:sz w:val="22"/>
          <w:szCs w:val="22"/>
          <w:color w:val="auto"/>
        </w:rPr>
      </w:pPr>
    </w:p>
    <w:p>
      <w:pPr>
        <w:ind w:left="7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STATE</w:t>
      </w:r>
    </w:p>
    <w:p>
      <w:pPr>
        <w:spacing w:after="0" w:line="330" w:lineRule="exact"/>
        <w:rPr>
          <w:rFonts w:ascii="Times New Roman" w:cs="Times New Roman" w:eastAsia="Times New Roman" w:hAnsi="Times New Roman"/>
          <w:sz w:val="22"/>
          <w:szCs w:val="22"/>
          <w:color w:val="auto"/>
        </w:rPr>
      </w:pPr>
    </w:p>
    <w:p>
      <w:pPr>
        <w:ind w:left="7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Secretary</w:t>
      </w:r>
    </w:p>
    <w:p>
      <w:pPr>
        <w:spacing w:after="0" w:line="48" w:lineRule="exact"/>
        <w:rPr>
          <w:rFonts w:ascii="Times New Roman" w:cs="Times New Roman" w:eastAsia="Times New Roman" w:hAnsi="Times New Roman"/>
          <w:sz w:val="22"/>
          <w:szCs w:val="22"/>
          <w:color w:val="auto"/>
        </w:rPr>
      </w:pPr>
    </w:p>
    <w:p>
      <w:pPr>
        <w:ind w:left="720" w:right="3580"/>
        <w:spacing w:after="0" w:line="288" w:lineRule="auto"/>
        <w:rPr>
          <w:rFonts w:ascii="Times New Roman" w:cs="Times New Roman" w:eastAsia="Times New Roman" w:hAnsi="Times New Roman"/>
          <w:sz w:val="22"/>
          <w:szCs w:val="22"/>
          <w:color w:val="auto"/>
        </w:rPr>
      </w:pPr>
      <w:r>
        <w:rPr>
          <w:rFonts w:ascii="Times New Roman" w:cs="Times New Roman" w:eastAsia="Times New Roman" w:hAnsi="Times New Roman"/>
          <w:sz w:val="21"/>
          <w:szCs w:val="21"/>
          <w:color w:val="auto"/>
        </w:rPr>
        <w:t>Department of Environment, Land, Water and Planning 8 Nicholson Street EAST MELBOURNE VIC 3002</w:t>
      </w:r>
    </w:p>
    <w:p>
      <w:pPr>
        <w:spacing w:after="0" w:line="283" w:lineRule="exact"/>
        <w:rPr>
          <w:rFonts w:ascii="Times New Roman" w:cs="Times New Roman" w:eastAsia="Times New Roman" w:hAnsi="Times New Roman"/>
          <w:sz w:val="22"/>
          <w:szCs w:val="22"/>
          <w:color w:val="auto"/>
        </w:rPr>
      </w:pPr>
    </w:p>
    <w:p>
      <w:pPr>
        <w:ind w:left="7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w:t>
      </w:r>
    </w:p>
    <w:p>
      <w:pPr>
        <w:spacing w:after="0" w:line="327" w:lineRule="exact"/>
        <w:rPr>
          <w:rFonts w:ascii="Times New Roman" w:cs="Times New Roman" w:eastAsia="Times New Roman" w:hAnsi="Times New Roman"/>
          <w:sz w:val="22"/>
          <w:szCs w:val="22"/>
          <w:color w:val="auto"/>
        </w:rPr>
      </w:pPr>
    </w:p>
    <w:p>
      <w:pPr>
        <w:ind w:left="7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Secretary</w:t>
      </w:r>
    </w:p>
    <w:p>
      <w:pPr>
        <w:spacing w:after="0" w:line="48" w:lineRule="exact"/>
        <w:rPr>
          <w:rFonts w:ascii="Times New Roman" w:cs="Times New Roman" w:eastAsia="Times New Roman" w:hAnsi="Times New Roman"/>
          <w:sz w:val="22"/>
          <w:szCs w:val="22"/>
          <w:color w:val="auto"/>
        </w:rPr>
      </w:pPr>
    </w:p>
    <w:p>
      <w:pPr>
        <w:ind w:left="720" w:right="3580"/>
        <w:spacing w:after="0" w:line="26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Department of Agriculture, Water and the Environment 18 Marcus Clarke Street</w:t>
      </w:r>
    </w:p>
    <w:p>
      <w:pPr>
        <w:spacing w:after="0" w:line="10" w:lineRule="exact"/>
        <w:rPr>
          <w:rFonts w:ascii="Times New Roman" w:cs="Times New Roman" w:eastAsia="Times New Roman" w:hAnsi="Times New Roman"/>
          <w:sz w:val="22"/>
          <w:szCs w:val="22"/>
          <w:color w:val="auto"/>
        </w:rPr>
      </w:pPr>
    </w:p>
    <w:p>
      <w:pPr>
        <w:ind w:left="7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CANBERRA ACT  2601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14</w:t>
      </w:r>
    </w:p>
    <w:p>
      <w:pPr>
        <w:sectPr>
          <w:pgSz w:w="11900" w:h="16838" w:orient="portrait"/>
          <w:cols w:equalWidth="0" w:num="1">
            <w:col w:w="9200"/>
          </w:cols>
          <w:pgMar w:left="1440" w:top="1437" w:right="1266" w:bottom="149" w:gutter="0" w:footer="0" w:header="0"/>
        </w:sectPr>
      </w:pPr>
    </w:p>
    <w:bookmarkStart w:id="14" w:name="page15"/>
    <w:bookmarkEnd w:id="14"/>
    <w:p>
      <w:pPr>
        <w:jc w:val="center"/>
        <w:spacing w:after="0"/>
        <w:rPr>
          <w:sz w:val="20"/>
          <w:szCs w:val="20"/>
          <w:color w:val="auto"/>
        </w:rPr>
      </w:pPr>
      <w:r>
        <w:rPr>
          <w:rFonts w:ascii="Times New Roman" w:cs="Times New Roman" w:eastAsia="Times New Roman" w:hAnsi="Times New Roman"/>
          <w:sz w:val="24"/>
          <w:szCs w:val="24"/>
          <w:b w:val="1"/>
          <w:bCs w:val="1"/>
          <w:color w:val="auto"/>
        </w:rPr>
        <w:t>PART 2</w:t>
      </w:r>
    </w:p>
    <w:p>
      <w:pPr>
        <w:spacing w:after="0" w:line="290" w:lineRule="exact"/>
        <w:rPr>
          <w:sz w:val="20"/>
          <w:szCs w:val="20"/>
          <w:color w:val="auto"/>
        </w:rPr>
      </w:pPr>
    </w:p>
    <w:p>
      <w:pPr>
        <w:jc w:val="both"/>
        <w:ind w:left="700" w:hanging="700"/>
        <w:spacing w:after="0" w:line="238" w:lineRule="auto"/>
        <w:tabs>
          <w:tab w:leader="none" w:pos="700" w:val="left"/>
        </w:tabs>
        <w:numPr>
          <w:ilvl w:val="0"/>
          <w:numId w:val="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Part is not intended to create legally binding relations and provisions in Part 1 in so far as they relate to Part 2 are also not binding. Where there are references in this Part to obligations which are referred to in Part 3 and are intended to be legally binding, they are only included in Part 2 insofar as they provide context and for the sake of completeness so that the whole scheme which the Parties wish to implement is set out in this Part. The inclusion of references to these legally binding obligations in Part 2 does not derogate from the Parties intent that they be legally binding in Part 3.</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FUNCTIONING OF THE AGREEMENT</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Relationship to the Interim Forest Agreement</w:t>
      </w:r>
    </w:p>
    <w:p>
      <w:pPr>
        <w:spacing w:after="0" w:line="246" w:lineRule="exact"/>
        <w:rPr>
          <w:sz w:val="20"/>
          <w:szCs w:val="20"/>
          <w:color w:val="auto"/>
        </w:rPr>
      </w:pPr>
    </w:p>
    <w:p>
      <w:pPr>
        <w:ind w:left="720" w:right="20" w:hanging="720"/>
        <w:spacing w:after="0" w:line="235" w:lineRule="auto"/>
        <w:tabs>
          <w:tab w:leader="none" w:pos="720" w:val="left"/>
        </w:tabs>
        <w:numPr>
          <w:ilvl w:val="0"/>
          <w:numId w:val="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replaced the Interim Forest Agreement, signed by the Commonwealth and Victorian governments on 27 January 1996, in relation to the Central Highlands Region.</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Relationship to Statutory Obligations</w:t>
      </w:r>
    </w:p>
    <w:p>
      <w:pPr>
        <w:spacing w:after="0" w:line="248" w:lineRule="exact"/>
        <w:rPr>
          <w:sz w:val="20"/>
          <w:szCs w:val="20"/>
          <w:color w:val="auto"/>
        </w:rPr>
      </w:pPr>
    </w:p>
    <w:p>
      <w:pPr>
        <w:ind w:left="720" w:right="20" w:hanging="720"/>
        <w:spacing w:after="0" w:line="250" w:lineRule="auto"/>
        <w:tabs>
          <w:tab w:leader="none" w:pos="720" w:val="left"/>
        </w:tabs>
        <w:numPr>
          <w:ilvl w:val="0"/>
          <w:numId w:val="29"/>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This Agreement cannot impose on either Party or a third party any obligation that is inconsistent with Australia’s international obligations, or a law of the Commonwealth or of Victoria.</w:t>
      </w:r>
    </w:p>
    <w:p>
      <w:pPr>
        <w:spacing w:after="0" w:line="243" w:lineRule="exact"/>
        <w:rPr>
          <w:rFonts w:ascii="Times New Roman" w:cs="Times New Roman" w:eastAsia="Times New Roman" w:hAnsi="Times New Roman"/>
          <w:sz w:val="21"/>
          <w:szCs w:val="21"/>
          <w:color w:val="auto"/>
        </w:rPr>
      </w:pPr>
    </w:p>
    <w:p>
      <w:pPr>
        <w:ind w:left="720" w:right="20" w:hanging="720"/>
        <w:spacing w:after="0" w:line="234" w:lineRule="auto"/>
        <w:tabs>
          <w:tab w:leader="none" w:pos="72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Neither Party will seek to use existing or future legislation to undermine or impede this Agreement.</w:t>
      </w:r>
    </w:p>
    <w:p>
      <w:pPr>
        <w:spacing w:after="0" w:line="239" w:lineRule="exact"/>
        <w:rPr>
          <w:rFonts w:ascii="Times New Roman" w:cs="Times New Roman" w:eastAsia="Times New Roman" w:hAnsi="Times New Roman"/>
          <w:sz w:val="22"/>
          <w:szCs w:val="22"/>
          <w:color w:val="auto"/>
        </w:rPr>
      </w:pPr>
    </w:p>
    <w:p>
      <w:pPr>
        <w:ind w:left="700" w:hanging="700"/>
        <w:spacing w:after="0"/>
        <w:tabs>
          <w:tab w:leader="none" w:pos="70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1" w:lineRule="exact"/>
        <w:rPr>
          <w:rFonts w:ascii="Times New Roman" w:cs="Times New Roman" w:eastAsia="Times New Roman" w:hAnsi="Times New Roman"/>
          <w:sz w:val="22"/>
          <w:szCs w:val="22"/>
          <w:color w:val="auto"/>
        </w:rPr>
      </w:pPr>
    </w:p>
    <w:p>
      <w:pPr>
        <w:ind w:left="700" w:hanging="700"/>
        <w:spacing w:after="0"/>
        <w:tabs>
          <w:tab w:leader="none" w:pos="70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00" w:hanging="700"/>
        <w:spacing w:after="0"/>
        <w:tabs>
          <w:tab w:leader="none" w:pos="70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1" w:lineRule="exact"/>
        <w:rPr>
          <w:rFonts w:ascii="Times New Roman" w:cs="Times New Roman" w:eastAsia="Times New Roman" w:hAnsi="Times New Roman"/>
          <w:sz w:val="22"/>
          <w:szCs w:val="22"/>
          <w:color w:val="auto"/>
        </w:rPr>
      </w:pPr>
    </w:p>
    <w:p>
      <w:pPr>
        <w:ind w:left="700" w:hanging="700"/>
        <w:spacing w:after="0"/>
        <w:tabs>
          <w:tab w:leader="none" w:pos="70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00" w:hanging="700"/>
        <w:spacing w:after="0"/>
        <w:tabs>
          <w:tab w:leader="none" w:pos="70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0" w:lineRule="exact"/>
        <w:rPr>
          <w:rFonts w:ascii="Times New Roman" w:cs="Times New Roman" w:eastAsia="Times New Roman" w:hAnsi="Times New Roman"/>
          <w:sz w:val="22"/>
          <w:szCs w:val="22"/>
          <w:color w:val="auto"/>
        </w:rPr>
      </w:pPr>
    </w:p>
    <w:p>
      <w:pPr>
        <w:jc w:val="both"/>
        <w:ind w:left="700" w:right="20" w:hanging="700"/>
        <w:spacing w:after="0" w:line="236" w:lineRule="auto"/>
        <w:tabs>
          <w:tab w:leader="none" w:pos="700" w:val="left"/>
        </w:tabs>
        <w:numPr>
          <w:ilvl w:val="0"/>
          <w:numId w:val="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notes that its obligations under the EPBC Act to promote protection of MNES in the RFA Region will involve ongoing cooperative work with Victorian agencies concerning the Central Highlands.</w:t>
      </w: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Matters of National Environmental Significance</w:t>
      </w:r>
    </w:p>
    <w:p>
      <w:pPr>
        <w:spacing w:after="0" w:line="246" w:lineRule="exact"/>
        <w:rPr>
          <w:sz w:val="20"/>
          <w:szCs w:val="20"/>
          <w:color w:val="auto"/>
        </w:rPr>
      </w:pPr>
    </w:p>
    <w:p>
      <w:pPr>
        <w:jc w:val="both"/>
        <w:ind w:left="720" w:hanging="719"/>
        <w:spacing w:after="0" w:line="236" w:lineRule="auto"/>
        <w:tabs>
          <w:tab w:leader="none" w:pos="700" w:val="left"/>
        </w:tabs>
        <w:rPr>
          <w:sz w:val="20"/>
          <w:szCs w:val="20"/>
          <w:color w:val="auto"/>
        </w:rPr>
      </w:pPr>
      <w:r>
        <w:rPr>
          <w:rFonts w:ascii="Times New Roman" w:cs="Times New Roman" w:eastAsia="Times New Roman" w:hAnsi="Times New Roman"/>
          <w:sz w:val="22"/>
          <w:szCs w:val="22"/>
          <w:color w:val="auto"/>
        </w:rPr>
        <w:t>25A.</w:t>
      </w:r>
      <w:r>
        <w:rPr>
          <w:sz w:val="20"/>
          <w:szCs w:val="20"/>
          <w:color w:val="auto"/>
        </w:rPr>
        <w:tab/>
      </w:r>
      <w:r>
        <w:rPr>
          <w:rFonts w:ascii="Times New Roman" w:cs="Times New Roman" w:eastAsia="Times New Roman" w:hAnsi="Times New Roman"/>
          <w:sz w:val="22"/>
          <w:szCs w:val="22"/>
          <w:color w:val="auto"/>
        </w:rPr>
        <w:t>Victoria will maintain a Forest Management System that provides for the protection and management of MNES and will take into account relevant Commonwealth principles, policies and plans.</w:t>
      </w:r>
    </w:p>
    <w:p>
      <w:pPr>
        <w:spacing w:after="0" w:line="252" w:lineRule="exact"/>
        <w:rPr>
          <w:sz w:val="20"/>
          <w:szCs w:val="20"/>
          <w:color w:val="auto"/>
        </w:rPr>
      </w:pPr>
    </w:p>
    <w:p>
      <w:pPr>
        <w:jc w:val="both"/>
        <w:ind w:left="720" w:right="20" w:hanging="719"/>
        <w:spacing w:after="0" w:line="235" w:lineRule="auto"/>
        <w:tabs>
          <w:tab w:leader="none" w:pos="700" w:val="left"/>
        </w:tabs>
        <w:rPr>
          <w:sz w:val="20"/>
          <w:szCs w:val="20"/>
          <w:color w:val="auto"/>
        </w:rPr>
      </w:pPr>
      <w:r>
        <w:rPr>
          <w:rFonts w:ascii="Times New Roman" w:cs="Times New Roman" w:eastAsia="Times New Roman" w:hAnsi="Times New Roman"/>
          <w:sz w:val="22"/>
          <w:szCs w:val="22"/>
          <w:color w:val="auto"/>
        </w:rPr>
        <w:t>25B.</w:t>
      </w:r>
      <w:r>
        <w:rPr>
          <w:sz w:val="20"/>
          <w:szCs w:val="20"/>
          <w:color w:val="auto"/>
        </w:rPr>
        <w:tab/>
      </w:r>
      <w:r>
        <w:rPr>
          <w:rFonts w:ascii="Times New Roman" w:cs="Times New Roman" w:eastAsia="Times New Roman" w:hAnsi="Times New Roman"/>
          <w:sz w:val="22"/>
          <w:szCs w:val="22"/>
          <w:color w:val="auto"/>
        </w:rPr>
        <w:t>The Parties recognise the importance of research, monitoring, reporting, evaluation and communication to support ongoing decision making with regard to MNES.</w:t>
      </w:r>
    </w:p>
    <w:p>
      <w:pPr>
        <w:spacing w:after="0" w:line="251" w:lineRule="exact"/>
        <w:rPr>
          <w:sz w:val="20"/>
          <w:szCs w:val="20"/>
          <w:color w:val="auto"/>
        </w:rPr>
      </w:pPr>
    </w:p>
    <w:p>
      <w:pPr>
        <w:jc w:val="both"/>
        <w:ind w:left="720" w:hanging="719"/>
        <w:spacing w:after="0" w:line="236" w:lineRule="auto"/>
        <w:tabs>
          <w:tab w:leader="none" w:pos="700" w:val="left"/>
        </w:tabs>
        <w:rPr>
          <w:sz w:val="20"/>
          <w:szCs w:val="20"/>
          <w:color w:val="auto"/>
        </w:rPr>
      </w:pPr>
      <w:r>
        <w:rPr>
          <w:rFonts w:ascii="Times New Roman" w:cs="Times New Roman" w:eastAsia="Times New Roman" w:hAnsi="Times New Roman"/>
          <w:sz w:val="22"/>
          <w:szCs w:val="22"/>
          <w:color w:val="auto"/>
        </w:rPr>
        <w:t>25C.</w:t>
      </w:r>
      <w:r>
        <w:rPr>
          <w:sz w:val="20"/>
          <w:szCs w:val="20"/>
          <w:color w:val="auto"/>
        </w:rPr>
        <w:tab/>
      </w:r>
      <w:r>
        <w:rPr>
          <w:rFonts w:ascii="Times New Roman" w:cs="Times New Roman" w:eastAsia="Times New Roman" w:hAnsi="Times New Roman"/>
          <w:sz w:val="22"/>
          <w:szCs w:val="22"/>
          <w:color w:val="auto"/>
        </w:rPr>
        <w:t>Victoria agrees to continue to improve, where necessary, the research, monitoring, management, reporting, evaluation and communication mechanisms as part of its adaptive Forest Management System.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15</w:t>
      </w:r>
    </w:p>
    <w:p>
      <w:pPr>
        <w:sectPr>
          <w:pgSz w:w="11900" w:h="16838" w:orient="portrait"/>
          <w:cols w:equalWidth="0" w:num="1">
            <w:col w:w="9200"/>
          </w:cols>
          <w:pgMar w:left="1440" w:top="1437" w:right="1266" w:bottom="149" w:gutter="0" w:footer="0" w:header="0"/>
        </w:sectPr>
      </w:pPr>
    </w:p>
    <w:bookmarkStart w:id="15" w:name="page16"/>
    <w:bookmarkEnd w:id="15"/>
    <w:p>
      <w:pPr>
        <w:spacing w:after="0"/>
        <w:rPr>
          <w:sz w:val="20"/>
          <w:szCs w:val="20"/>
          <w:color w:val="auto"/>
        </w:rPr>
      </w:pPr>
      <w:r>
        <w:rPr>
          <w:rFonts w:ascii="Times New Roman" w:cs="Times New Roman" w:eastAsia="Times New Roman" w:hAnsi="Times New Roman"/>
          <w:sz w:val="22"/>
          <w:szCs w:val="22"/>
          <w:b w:val="1"/>
          <w:bCs w:val="1"/>
          <w:color w:val="auto"/>
        </w:rPr>
        <w:t>Listed Species and Communities</w:t>
      </w:r>
    </w:p>
    <w:p>
      <w:pPr>
        <w:spacing w:after="0" w:line="246" w:lineRule="exact"/>
        <w:rPr>
          <w:sz w:val="20"/>
          <w:szCs w:val="20"/>
          <w:color w:val="auto"/>
        </w:rPr>
      </w:pPr>
    </w:p>
    <w:p>
      <w:pPr>
        <w:jc w:val="both"/>
        <w:ind w:left="720" w:hanging="719"/>
        <w:spacing w:after="0" w:line="237" w:lineRule="auto"/>
        <w:tabs>
          <w:tab w:leader="none" w:pos="700" w:val="left"/>
        </w:tabs>
        <w:rPr>
          <w:sz w:val="20"/>
          <w:szCs w:val="20"/>
          <w:color w:val="auto"/>
        </w:rPr>
      </w:pPr>
      <w:r>
        <w:rPr>
          <w:rFonts w:ascii="Times New Roman" w:cs="Times New Roman" w:eastAsia="Times New Roman" w:hAnsi="Times New Roman"/>
          <w:sz w:val="22"/>
          <w:szCs w:val="22"/>
          <w:color w:val="auto"/>
        </w:rPr>
        <w:t>25D.</w:t>
      </w:r>
      <w:r>
        <w:rPr>
          <w:sz w:val="20"/>
          <w:szCs w:val="20"/>
          <w:color w:val="auto"/>
        </w:rPr>
        <w:tab/>
      </w:r>
      <w:r>
        <w:rPr>
          <w:rFonts w:ascii="Times New Roman" w:cs="Times New Roman" w:eastAsia="Times New Roman" w:hAnsi="Times New Roman"/>
          <w:sz w:val="22"/>
          <w:szCs w:val="22"/>
          <w:color w:val="auto"/>
        </w:rPr>
        <w:t>The Parties acknowledge there are a wide range of Threatening Processes that have the potential to impact on Listed Species and Communities, including habitat loss and fragmentation (such as timber harvesting and loss of hollow bearing trees), weed invasion, predation and competition, disease, inappropriate fire regimes and Climate Change.</w:t>
      </w:r>
    </w:p>
    <w:p>
      <w:pPr>
        <w:spacing w:after="0" w:line="254" w:lineRule="exact"/>
        <w:rPr>
          <w:sz w:val="20"/>
          <w:szCs w:val="20"/>
          <w:color w:val="auto"/>
        </w:rPr>
      </w:pPr>
    </w:p>
    <w:p>
      <w:pPr>
        <w:jc w:val="both"/>
        <w:ind w:left="720" w:right="2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25E.</w:t>
      </w:r>
      <w:r>
        <w:rPr>
          <w:sz w:val="20"/>
          <w:szCs w:val="20"/>
          <w:color w:val="auto"/>
        </w:rPr>
        <w:tab/>
      </w:r>
      <w:r>
        <w:rPr>
          <w:rFonts w:ascii="Times New Roman" w:cs="Times New Roman" w:eastAsia="Times New Roman" w:hAnsi="Times New Roman"/>
          <w:sz w:val="22"/>
          <w:szCs w:val="22"/>
          <w:color w:val="auto"/>
        </w:rPr>
        <w:t>The Parties, recognising that priorities can change in light of new information and science, will continue to regularly consult on the priorities for:</w:t>
      </w:r>
    </w:p>
    <w:p>
      <w:pPr>
        <w:spacing w:after="0" w:line="242" w:lineRule="exact"/>
        <w:rPr>
          <w:sz w:val="20"/>
          <w:szCs w:val="20"/>
          <w:color w:val="auto"/>
        </w:rPr>
      </w:pPr>
    </w:p>
    <w:p>
      <w:pPr>
        <w:ind w:left="1420" w:hanging="712"/>
        <w:spacing w:after="0"/>
        <w:tabs>
          <w:tab w:leader="none" w:pos="142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assessment of the conservation status of native species and ecological communities;</w:t>
      </w:r>
    </w:p>
    <w:p>
      <w:pPr>
        <w:spacing w:after="0" w:line="251"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recovery of Listed Species and Communities (further information provided in Attachment 2);</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conservation of Forest Ecosystems;</w:t>
      </w:r>
    </w:p>
    <w:p>
      <w:pPr>
        <w:spacing w:after="0" w:line="250"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abatement of Threatening Processes that have the potential to impact upon Listed Species and Communities;</w:t>
      </w:r>
    </w:p>
    <w:p>
      <w:pPr>
        <w:spacing w:after="0" w:line="250"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preparation, alignment and review of all Statutory Conservation Planning Documents relevant to this Agreement; and</w:t>
      </w:r>
    </w:p>
    <w:p>
      <w:pPr>
        <w:spacing w:after="0" w:line="250"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research on Listed Species and Communities, Forest Ecosystems and Threatening Processes.</w:t>
      </w:r>
    </w:p>
    <w:p>
      <w:pPr>
        <w:spacing w:after="0" w:line="251" w:lineRule="exact"/>
        <w:rPr>
          <w:sz w:val="20"/>
          <w:szCs w:val="20"/>
          <w:color w:val="auto"/>
        </w:rPr>
      </w:pPr>
    </w:p>
    <w:p>
      <w:pPr>
        <w:jc w:val="both"/>
        <w:ind w:left="720" w:hanging="719"/>
        <w:spacing w:after="0" w:line="238" w:lineRule="auto"/>
        <w:tabs>
          <w:tab w:leader="none" w:pos="700" w:val="left"/>
        </w:tabs>
        <w:rPr>
          <w:sz w:val="20"/>
          <w:szCs w:val="20"/>
          <w:color w:val="auto"/>
        </w:rPr>
      </w:pPr>
      <w:r>
        <w:rPr>
          <w:rFonts w:ascii="Times New Roman" w:cs="Times New Roman" w:eastAsia="Times New Roman" w:hAnsi="Times New Roman"/>
          <w:sz w:val="22"/>
          <w:szCs w:val="22"/>
          <w:color w:val="auto"/>
        </w:rPr>
        <w:t>25F.</w:t>
      </w:r>
      <w:r>
        <w:rPr>
          <w:sz w:val="20"/>
          <w:szCs w:val="20"/>
          <w:color w:val="auto"/>
        </w:rPr>
        <w:tab/>
      </w:r>
      <w:r>
        <w:rPr>
          <w:rFonts w:ascii="Times New Roman" w:cs="Times New Roman" w:eastAsia="Times New Roman" w:hAnsi="Times New Roman"/>
          <w:sz w:val="22"/>
          <w:szCs w:val="22"/>
          <w:color w:val="auto"/>
        </w:rPr>
        <w:t xml:space="preserve">The Parties reaffirm their commitment to the implementation of the Common Assessment Method MoU, which seeks to create a single operational list of nationally threatened taxa and communities that is consistent across all State, Territory and the Commonwealth jurisdictions. The Parties note that, in Victoria, the agreement under the Common Assessment Method MoU will be implemented through the provisions of the </w:t>
      </w:r>
      <w:r>
        <w:rPr>
          <w:rFonts w:ascii="Times New Roman" w:cs="Times New Roman" w:eastAsia="Times New Roman" w:hAnsi="Times New Roman"/>
          <w:sz w:val="22"/>
          <w:szCs w:val="22"/>
          <w:i w:val="1"/>
          <w:iCs w:val="1"/>
          <w:color w:val="auto"/>
        </w:rPr>
        <w:t>Flora and Fauna Guarantee Amendment Act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2019 </w:t>
      </w:r>
      <w:r>
        <w:rPr>
          <w:rFonts w:ascii="Times New Roman" w:cs="Times New Roman" w:eastAsia="Times New Roman" w:hAnsi="Times New Roman"/>
          <w:sz w:val="22"/>
          <w:szCs w:val="22"/>
          <w:color w:val="auto"/>
        </w:rPr>
        <w:t>(Vic), which will come into effect on or before 30 June 2020.</w:t>
      </w:r>
    </w:p>
    <w:p>
      <w:pPr>
        <w:spacing w:after="0" w:line="252" w:lineRule="exact"/>
        <w:rPr>
          <w:sz w:val="20"/>
          <w:szCs w:val="20"/>
          <w:color w:val="auto"/>
        </w:rPr>
      </w:pPr>
    </w:p>
    <w:p>
      <w:pPr>
        <w:jc w:val="both"/>
        <w:ind w:left="720" w:hanging="719"/>
        <w:spacing w:after="0" w:line="235" w:lineRule="auto"/>
        <w:tabs>
          <w:tab w:leader="none" w:pos="700" w:val="left"/>
        </w:tabs>
        <w:rPr>
          <w:sz w:val="20"/>
          <w:szCs w:val="20"/>
          <w:color w:val="auto"/>
        </w:rPr>
      </w:pPr>
      <w:r>
        <w:rPr>
          <w:rFonts w:ascii="Times New Roman" w:cs="Times New Roman" w:eastAsia="Times New Roman" w:hAnsi="Times New Roman"/>
          <w:sz w:val="22"/>
          <w:szCs w:val="22"/>
          <w:color w:val="auto"/>
        </w:rPr>
        <w:t>25G.</w:t>
      </w:r>
      <w:r>
        <w:rPr>
          <w:sz w:val="20"/>
          <w:szCs w:val="20"/>
          <w:color w:val="auto"/>
        </w:rPr>
        <w:tab/>
      </w:r>
      <w:r>
        <w:rPr>
          <w:rFonts w:ascii="Times New Roman" w:cs="Times New Roman" w:eastAsia="Times New Roman" w:hAnsi="Times New Roman"/>
          <w:sz w:val="22"/>
          <w:szCs w:val="22"/>
          <w:color w:val="auto"/>
        </w:rPr>
        <w:t>Victoria will ensure that the components of its Forest Management System that relate to Listed Species and Communities will:</w:t>
      </w:r>
    </w:p>
    <w:p>
      <w:pPr>
        <w:spacing w:after="0" w:line="239" w:lineRule="exact"/>
        <w:rPr>
          <w:sz w:val="20"/>
          <w:szCs w:val="20"/>
          <w:color w:val="auto"/>
        </w:rPr>
      </w:pPr>
    </w:p>
    <w:p>
      <w:pPr>
        <w:ind w:left="1420" w:hanging="712"/>
        <w:spacing w:after="0"/>
        <w:tabs>
          <w:tab w:leader="none" w:pos="142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the conservation and recovery of Listed Species and Communities;</w:t>
      </w:r>
    </w:p>
    <w:p>
      <w:pPr>
        <w:spacing w:after="0" w:line="253" w:lineRule="exact"/>
        <w:rPr>
          <w:rFonts w:ascii="Times New Roman" w:cs="Times New Roman" w:eastAsia="Times New Roman" w:hAnsi="Times New Roman"/>
          <w:sz w:val="22"/>
          <w:szCs w:val="22"/>
          <w:color w:val="auto"/>
        </w:rPr>
      </w:pPr>
    </w:p>
    <w:p>
      <w:pPr>
        <w:jc w:val="both"/>
        <w:ind w:left="1420" w:hanging="712"/>
        <w:spacing w:after="0" w:line="235" w:lineRule="auto"/>
        <w:tabs>
          <w:tab w:leader="none" w:pos="142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be based on the best available science and give consideration to the advice of, or any determinations made by relevant scientific bodies or committees, including the Victorian Scientific Advisory Committee;</w:t>
      </w:r>
    </w:p>
    <w:p>
      <w:pPr>
        <w:spacing w:after="0" w:line="255" w:lineRule="exact"/>
        <w:rPr>
          <w:rFonts w:ascii="Times New Roman" w:cs="Times New Roman" w:eastAsia="Times New Roman" w:hAnsi="Times New Roman"/>
          <w:sz w:val="22"/>
          <w:szCs w:val="22"/>
          <w:color w:val="auto"/>
        </w:rPr>
      </w:pPr>
    </w:p>
    <w:p>
      <w:pPr>
        <w:jc w:val="both"/>
        <w:ind w:left="1420" w:hanging="712"/>
        <w:spacing w:after="0" w:line="237" w:lineRule="auto"/>
        <w:tabs>
          <w:tab w:leader="none" w:pos="142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to the extent practicable having regard to the associated environmental, social and economic impacts, provide equivalent or greater protection to Listed Species and Communities than afforded by relevant Commonwealth Statutory Conservation Planning Documents;</w:t>
      </w:r>
    </w:p>
    <w:p>
      <w:pPr>
        <w:spacing w:after="0" w:line="251"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active management of Native Forests in order to build their resilience and diversity; and</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3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relevant, take into account public comment.</w:t>
      </w:r>
    </w:p>
    <w:p>
      <w:pPr>
        <w:spacing w:after="0" w:line="253" w:lineRule="exact"/>
        <w:rPr>
          <w:sz w:val="20"/>
          <w:szCs w:val="20"/>
          <w:color w:val="auto"/>
        </w:rPr>
      </w:pPr>
    </w:p>
    <w:p>
      <w:pPr>
        <w:jc w:val="both"/>
        <w:ind w:left="720" w:hanging="719"/>
        <w:spacing w:after="0" w:line="235" w:lineRule="auto"/>
        <w:tabs>
          <w:tab w:leader="none" w:pos="700" w:val="left"/>
        </w:tabs>
        <w:rPr>
          <w:sz w:val="20"/>
          <w:szCs w:val="20"/>
          <w:color w:val="auto"/>
        </w:rPr>
      </w:pPr>
      <w:r>
        <w:rPr>
          <w:rFonts w:ascii="Times New Roman" w:cs="Times New Roman" w:eastAsia="Times New Roman" w:hAnsi="Times New Roman"/>
          <w:sz w:val="22"/>
          <w:szCs w:val="22"/>
          <w:color w:val="auto"/>
        </w:rPr>
        <w:t>25H.</w:t>
      </w:r>
      <w:r>
        <w:rPr>
          <w:sz w:val="20"/>
          <w:szCs w:val="20"/>
          <w:color w:val="auto"/>
        </w:rPr>
        <w:tab/>
      </w:r>
      <w:r>
        <w:rPr>
          <w:rFonts w:ascii="Times New Roman" w:cs="Times New Roman" w:eastAsia="Times New Roman" w:hAnsi="Times New Roman"/>
          <w:sz w:val="22"/>
          <w:szCs w:val="22"/>
          <w:color w:val="auto"/>
        </w:rPr>
        <w:t>Where a species or community that is present in the Central Highlands RFA Region becomes a Listed Species and Community by virtue of it being newly listed under the EPBC Act, the Commonwealth agrees to develop and publish a Statutory Conservation Planning Document for</w:t>
      </w: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16</w:t>
      </w:r>
    </w:p>
    <w:p>
      <w:pPr>
        <w:sectPr>
          <w:pgSz w:w="11900" w:h="16838" w:orient="portrait"/>
          <w:cols w:equalWidth="0" w:num="1">
            <w:col w:w="9200"/>
          </w:cols>
          <w:pgMar w:left="1440" w:top="1437" w:right="1266" w:bottom="149" w:gutter="0" w:footer="0" w:header="0"/>
        </w:sectPr>
      </w:pPr>
    </w:p>
    <w:bookmarkStart w:id="16" w:name="page17"/>
    <w:bookmarkEnd w:id="16"/>
    <w:p>
      <w:pPr>
        <w:spacing w:after="0" w:line="4" w:lineRule="exact"/>
        <w:rPr>
          <w:sz w:val="20"/>
          <w:szCs w:val="20"/>
          <w:color w:val="auto"/>
        </w:rPr>
      </w:pPr>
    </w:p>
    <w:p>
      <w:pPr>
        <w:jc w:val="both"/>
        <w:ind w:left="720"/>
        <w:spacing w:after="0" w:line="250" w:lineRule="auto"/>
        <w:rPr>
          <w:sz w:val="20"/>
          <w:szCs w:val="20"/>
          <w:color w:val="auto"/>
        </w:rPr>
      </w:pPr>
      <w:r>
        <w:rPr>
          <w:rFonts w:ascii="Times New Roman" w:cs="Times New Roman" w:eastAsia="Times New Roman" w:hAnsi="Times New Roman"/>
          <w:sz w:val="21"/>
          <w:szCs w:val="21"/>
          <w:color w:val="auto"/>
        </w:rPr>
        <w:t>that species or community at the time of listing, save for in relation to a species that is included in the extinct or conservation dependent categories of the list under section 178 of the EPBC Act.</w:t>
      </w:r>
    </w:p>
    <w:p>
      <w:pPr>
        <w:spacing w:after="0" w:line="243" w:lineRule="exact"/>
        <w:rPr>
          <w:sz w:val="20"/>
          <w:szCs w:val="20"/>
          <w:color w:val="auto"/>
        </w:rPr>
      </w:pPr>
    </w:p>
    <w:p>
      <w:pPr>
        <w:jc w:val="both"/>
        <w:ind w:left="720" w:hanging="719"/>
        <w:spacing w:after="0" w:line="237" w:lineRule="auto"/>
        <w:tabs>
          <w:tab w:leader="none" w:pos="700" w:val="left"/>
        </w:tabs>
        <w:rPr>
          <w:sz w:val="20"/>
          <w:szCs w:val="20"/>
          <w:color w:val="auto"/>
        </w:rPr>
      </w:pPr>
      <w:r>
        <w:rPr>
          <w:rFonts w:ascii="Times New Roman" w:cs="Times New Roman" w:eastAsia="Times New Roman" w:hAnsi="Times New Roman"/>
          <w:sz w:val="22"/>
          <w:szCs w:val="22"/>
          <w:color w:val="auto"/>
        </w:rPr>
        <w:t>25I.</w:t>
      </w:r>
      <w:r>
        <w:rPr>
          <w:sz w:val="20"/>
          <w:szCs w:val="20"/>
          <w:color w:val="auto"/>
        </w:rPr>
        <w:tab/>
      </w:r>
      <w:r>
        <w:rPr>
          <w:rFonts w:ascii="Times New Roman" w:cs="Times New Roman" w:eastAsia="Times New Roman" w:hAnsi="Times New Roman"/>
          <w:sz w:val="22"/>
          <w:szCs w:val="22"/>
          <w:color w:val="auto"/>
        </w:rPr>
        <w:t>Where a taxon or community that is present in the Central Highlands RFA Region becomes a Listed Species and Community by virtue of it being newly listed under the FFG Act, Victoria agrees to develop and publish a Statutory Conservation Planning Document for that taxon or community within 24 months of the date of listing.</w:t>
      </w:r>
    </w:p>
    <w:p>
      <w:pPr>
        <w:spacing w:after="0" w:line="251" w:lineRule="exact"/>
        <w:rPr>
          <w:sz w:val="20"/>
          <w:szCs w:val="20"/>
          <w:color w:val="auto"/>
        </w:rPr>
      </w:pPr>
    </w:p>
    <w:p>
      <w:pPr>
        <w:jc w:val="both"/>
        <w:ind w:left="720" w:hanging="719"/>
        <w:spacing w:after="0" w:line="252" w:lineRule="auto"/>
        <w:tabs>
          <w:tab w:leader="none" w:pos="700" w:val="left"/>
        </w:tabs>
        <w:rPr>
          <w:sz w:val="20"/>
          <w:szCs w:val="20"/>
          <w:color w:val="auto"/>
        </w:rPr>
      </w:pPr>
      <w:r>
        <w:rPr>
          <w:rFonts w:ascii="Times New Roman" w:cs="Times New Roman" w:eastAsia="Times New Roman" w:hAnsi="Times New Roman"/>
          <w:sz w:val="21"/>
          <w:szCs w:val="21"/>
          <w:color w:val="auto"/>
        </w:rPr>
        <w:t>25J.</w:t>
      </w:r>
      <w:r>
        <w:rPr>
          <w:sz w:val="20"/>
          <w:szCs w:val="20"/>
          <w:color w:val="auto"/>
        </w:rPr>
        <w:tab/>
      </w:r>
      <w:r>
        <w:rPr>
          <w:rFonts w:ascii="Times New Roman" w:cs="Times New Roman" w:eastAsia="Times New Roman" w:hAnsi="Times New Roman"/>
          <w:sz w:val="21"/>
          <w:szCs w:val="21"/>
          <w:color w:val="auto"/>
        </w:rPr>
        <w:t>The Commonwealth agrees not to release, amend or update any Statutory Conservation Planning Document made under the EPBC Act for a Listed Species or Community in the Central Highlands RFA Region without first consulting with Victoria on the draft Statutory Conservation Planning Document at least six months prior to it coming into effect or being amended or updated.</w:t>
      </w:r>
    </w:p>
    <w:p>
      <w:pPr>
        <w:spacing w:after="0" w:line="228"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25K.</w:t>
      </w:r>
      <w:r>
        <w:rPr>
          <w:sz w:val="20"/>
          <w:szCs w:val="20"/>
          <w:color w:val="auto"/>
        </w:rPr>
        <w:tab/>
      </w:r>
      <w:r>
        <w:rPr>
          <w:rFonts w:ascii="Times New Roman" w:cs="Times New Roman" w:eastAsia="Times New Roman" w:hAnsi="Times New Roman"/>
          <w:sz w:val="22"/>
          <w:szCs w:val="22"/>
          <w:color w:val="auto"/>
        </w:rPr>
        <w:t>Where:</w:t>
      </w:r>
    </w:p>
    <w:p>
      <w:pPr>
        <w:spacing w:after="0" w:line="239" w:lineRule="exact"/>
        <w:rPr>
          <w:sz w:val="20"/>
          <w:szCs w:val="20"/>
          <w:color w:val="auto"/>
        </w:rPr>
      </w:pPr>
    </w:p>
    <w:p>
      <w:pPr>
        <w:ind w:left="1420" w:hanging="712"/>
        <w:spacing w:after="0"/>
        <w:tabs>
          <w:tab w:leader="none" w:pos="1420" w:val="left"/>
        </w:tabs>
        <w:numPr>
          <w:ilvl w:val="0"/>
          <w:numId w:val="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Listed Species or Community is present in the Central Highlands RFA Region; or</w:t>
      </w:r>
    </w:p>
    <w:p>
      <w:pPr>
        <w:spacing w:after="0" w:line="252"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0"/>
          <w:numId w:val="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there is a change in the conservation status of a Listed Species or Community present in the Central Highlands RFA Region,</w:t>
      </w:r>
    </w:p>
    <w:p>
      <w:pPr>
        <w:spacing w:after="0" w:line="253" w:lineRule="exact"/>
        <w:rPr>
          <w:sz w:val="20"/>
          <w:szCs w:val="20"/>
          <w:color w:val="auto"/>
        </w:rPr>
      </w:pPr>
    </w:p>
    <w:p>
      <w:pPr>
        <w:ind w:left="720"/>
        <w:spacing w:after="0" w:line="264" w:lineRule="auto"/>
        <w:rPr>
          <w:sz w:val="20"/>
          <w:szCs w:val="20"/>
          <w:color w:val="auto"/>
        </w:rPr>
      </w:pPr>
      <w:r>
        <w:rPr>
          <w:rFonts w:ascii="Times New Roman" w:cs="Times New Roman" w:eastAsia="Times New Roman" w:hAnsi="Times New Roman"/>
          <w:sz w:val="22"/>
          <w:szCs w:val="22"/>
          <w:color w:val="auto"/>
        </w:rPr>
        <w:t>Victoria will, having regard to relevant Commonwealth Statutory Conservation Planning Documents:</w:t>
      </w:r>
    </w:p>
    <w:p>
      <w:pPr>
        <w:spacing w:after="0" w:line="264" w:lineRule="exact"/>
        <w:rPr>
          <w:sz w:val="20"/>
          <w:szCs w:val="20"/>
          <w:color w:val="auto"/>
        </w:rPr>
      </w:pPr>
    </w:p>
    <w:p>
      <w:pPr>
        <w:jc w:val="both"/>
        <w:ind w:left="1420" w:hanging="712"/>
        <w:spacing w:after="0" w:line="236" w:lineRule="auto"/>
        <w:tabs>
          <w:tab w:leader="none" w:pos="142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undertake a risk assessment within six months from each Relevant Date and determine whether additional interim or permanent protections and management actions are necessary;</w:t>
      </w:r>
    </w:p>
    <w:p>
      <w:pPr>
        <w:spacing w:after="0" w:line="252" w:lineRule="exact"/>
        <w:rPr>
          <w:rFonts w:ascii="Times New Roman" w:cs="Times New Roman" w:eastAsia="Times New Roman" w:hAnsi="Times New Roman"/>
          <w:sz w:val="22"/>
          <w:szCs w:val="22"/>
          <w:color w:val="auto"/>
        </w:rPr>
      </w:pPr>
    </w:p>
    <w:p>
      <w:pPr>
        <w:jc w:val="both"/>
        <w:ind w:left="1420" w:hanging="712"/>
        <w:spacing w:after="0" w:line="236" w:lineRule="auto"/>
        <w:tabs>
          <w:tab w:leader="none" w:pos="142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necessary, use reasonable endeavours to implement interim enforceable protections and priority management actions for the Listed Species or Community within six months from each Relevant Date;</w:t>
      </w:r>
    </w:p>
    <w:p>
      <w:pPr>
        <w:spacing w:after="0" w:line="254" w:lineRule="exact"/>
        <w:rPr>
          <w:rFonts w:ascii="Times New Roman" w:cs="Times New Roman" w:eastAsia="Times New Roman" w:hAnsi="Times New Roman"/>
          <w:sz w:val="22"/>
          <w:szCs w:val="22"/>
          <w:color w:val="auto"/>
        </w:rPr>
      </w:pPr>
    </w:p>
    <w:p>
      <w:pPr>
        <w:jc w:val="both"/>
        <w:ind w:left="1420" w:hanging="712"/>
        <w:spacing w:after="0" w:line="235" w:lineRule="auto"/>
        <w:tabs>
          <w:tab w:leader="none" w:pos="142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necessary, use reasonable endeavours to implement permanent protections and any other changes to the Forest Management System required for the Listed Species or Community within 24 months from each Relevant Date; and</w:t>
      </w:r>
    </w:p>
    <w:p>
      <w:pPr>
        <w:spacing w:after="0" w:line="255" w:lineRule="exact"/>
        <w:rPr>
          <w:rFonts w:ascii="Times New Roman" w:cs="Times New Roman" w:eastAsia="Times New Roman" w:hAnsi="Times New Roman"/>
          <w:sz w:val="22"/>
          <w:szCs w:val="22"/>
          <w:color w:val="auto"/>
        </w:rPr>
      </w:pPr>
    </w:p>
    <w:p>
      <w:pPr>
        <w:jc w:val="both"/>
        <w:ind w:left="1420" w:hanging="712"/>
        <w:spacing w:after="0" w:line="236" w:lineRule="auto"/>
        <w:tabs>
          <w:tab w:leader="none" w:pos="1420" w:val="left"/>
        </w:tabs>
        <w:numPr>
          <w:ilvl w:val="0"/>
          <w:numId w:val="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use reasonable endeavours to include any protections or management actions implemented pursuant to sub-paragraphs (b) or (c) in any new or updated Victorian Statutory Conservation Planning Documents.</w:t>
      </w:r>
    </w:p>
    <w:p>
      <w:pPr>
        <w:spacing w:after="0" w:line="241"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color w:val="auto"/>
        </w:rPr>
        <w:t>In this clause</w:t>
      </w:r>
      <w:r>
        <w:rPr>
          <w:rFonts w:ascii="Times New Roman" w:cs="Times New Roman" w:eastAsia="Times New Roman" w:hAnsi="Times New Roman"/>
          <w:sz w:val="22"/>
          <w:szCs w:val="22"/>
          <w:b w:val="1"/>
          <w:bCs w:val="1"/>
          <w:color w:val="auto"/>
        </w:rPr>
        <w:t>, Relevant Date</w:t>
      </w:r>
      <w:r>
        <w:rPr>
          <w:rFonts w:ascii="Times New Roman" w:cs="Times New Roman" w:eastAsia="Times New Roman" w:hAnsi="Times New Roman"/>
          <w:sz w:val="22"/>
          <w:szCs w:val="22"/>
          <w:color w:val="auto"/>
        </w:rPr>
        <w:t xml:space="preserve"> means each of the following:</w:t>
      </w:r>
    </w:p>
    <w:p>
      <w:pPr>
        <w:spacing w:after="0" w:line="239" w:lineRule="exact"/>
        <w:rPr>
          <w:sz w:val="20"/>
          <w:szCs w:val="20"/>
          <w:color w:val="auto"/>
        </w:rPr>
      </w:pPr>
    </w:p>
    <w:p>
      <w:pPr>
        <w:ind w:left="1420" w:hanging="712"/>
        <w:spacing w:after="0"/>
        <w:tabs>
          <w:tab w:leader="none" w:pos="1420" w:val="left"/>
        </w:tabs>
        <w:numPr>
          <w:ilvl w:val="0"/>
          <w:numId w:val="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1 April 2020;</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date of listing, where that date postdates 1 April 2020; and</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date of any change in the conservation status where that date postdates 1 April 2020.</w:t>
      </w:r>
    </w:p>
    <w:p>
      <w:pPr>
        <w:spacing w:after="0" w:line="253" w:lineRule="exact"/>
        <w:rPr>
          <w:sz w:val="20"/>
          <w:szCs w:val="20"/>
          <w:color w:val="auto"/>
        </w:rPr>
      </w:pPr>
    </w:p>
    <w:p>
      <w:pPr>
        <w:ind w:left="720" w:right="2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25L.</w:t>
      </w:r>
      <w:r>
        <w:rPr>
          <w:sz w:val="20"/>
          <w:szCs w:val="20"/>
          <w:color w:val="auto"/>
        </w:rPr>
        <w:tab/>
      </w:r>
      <w:r>
        <w:rPr>
          <w:rFonts w:ascii="Times New Roman" w:cs="Times New Roman" w:eastAsia="Times New Roman" w:hAnsi="Times New Roman"/>
          <w:sz w:val="22"/>
          <w:szCs w:val="22"/>
          <w:color w:val="auto"/>
        </w:rPr>
        <w:t>Where Victoria has not implemented additional permanent protections or management actions within 18 months of the date on which:</w:t>
      </w:r>
    </w:p>
    <w:p>
      <w:pPr>
        <w:spacing w:after="0" w:line="251" w:lineRule="exact"/>
        <w:rPr>
          <w:sz w:val="20"/>
          <w:szCs w:val="20"/>
          <w:color w:val="auto"/>
        </w:rPr>
      </w:pPr>
    </w:p>
    <w:p>
      <w:pPr>
        <w:ind w:left="1420" w:hanging="700"/>
        <w:spacing w:after="0" w:line="235" w:lineRule="auto"/>
        <w:tabs>
          <w:tab w:leader="none" w:pos="1420" w:val="left"/>
        </w:tabs>
        <w:numPr>
          <w:ilvl w:val="0"/>
          <w:numId w:val="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such protections or management actions were determined necessary under sub-clause 25K(a); or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17</w:t>
      </w:r>
    </w:p>
    <w:p>
      <w:pPr>
        <w:sectPr>
          <w:pgSz w:w="11900" w:h="16838" w:orient="portrait"/>
          <w:cols w:equalWidth="0" w:num="1">
            <w:col w:w="9200"/>
          </w:cols>
          <w:pgMar w:left="1440" w:top="1440" w:right="1266" w:bottom="149" w:gutter="0" w:footer="0" w:header="0"/>
        </w:sectPr>
      </w:pPr>
    </w:p>
    <w:bookmarkStart w:id="17" w:name="page18"/>
    <w:bookmarkEnd w:id="17"/>
    <w:p>
      <w:pPr>
        <w:spacing w:after="0" w:line="4" w:lineRule="exact"/>
        <w:rPr>
          <w:sz w:val="20"/>
          <w:szCs w:val="20"/>
          <w:color w:val="auto"/>
        </w:rPr>
      </w:pPr>
    </w:p>
    <w:p>
      <w:pPr>
        <w:jc w:val="both"/>
        <w:ind w:left="1420" w:hanging="700"/>
        <w:spacing w:after="0" w:line="236" w:lineRule="auto"/>
        <w:tabs>
          <w:tab w:leader="none" w:pos="1420" w:val="left"/>
        </w:tabs>
        <w:numPr>
          <w:ilvl w:val="0"/>
          <w:numId w:val="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determination was required to have been made pursuant to sub-clause 25K(a) (provided no subsequent determination found that no additional protections or management actions were required),</w:t>
      </w:r>
    </w:p>
    <w:p>
      <w:pPr>
        <w:spacing w:after="0" w:line="252" w:lineRule="exact"/>
        <w:rPr>
          <w:sz w:val="20"/>
          <w:szCs w:val="20"/>
          <w:color w:val="auto"/>
        </w:rPr>
      </w:pPr>
    </w:p>
    <w:p>
      <w:pPr>
        <w:jc w:val="both"/>
        <w:ind w:left="720"/>
        <w:spacing w:after="0" w:line="236" w:lineRule="auto"/>
        <w:rPr>
          <w:sz w:val="20"/>
          <w:szCs w:val="20"/>
          <w:color w:val="auto"/>
        </w:rPr>
      </w:pPr>
      <w:r>
        <w:rPr>
          <w:rFonts w:ascii="Times New Roman" w:cs="Times New Roman" w:eastAsia="Times New Roman" w:hAnsi="Times New Roman"/>
          <w:sz w:val="22"/>
          <w:szCs w:val="22"/>
          <w:color w:val="auto"/>
        </w:rPr>
        <w:t>Victoria agrees to use its best endeavours to implement the protections and management actions specified in a relevant Commonwealth Statutory Conservation Planning Document as a management guideline.</w:t>
      </w:r>
    </w:p>
    <w:p>
      <w:pPr>
        <w:spacing w:after="0" w:line="252" w:lineRule="exact"/>
        <w:rPr>
          <w:sz w:val="20"/>
          <w:szCs w:val="20"/>
          <w:color w:val="auto"/>
        </w:rPr>
      </w:pPr>
    </w:p>
    <w:p>
      <w:pPr>
        <w:jc w:val="both"/>
        <w:ind w:left="720" w:hanging="719"/>
        <w:spacing w:after="0" w:line="238" w:lineRule="auto"/>
        <w:tabs>
          <w:tab w:leader="none" w:pos="700" w:val="left"/>
        </w:tabs>
        <w:rPr>
          <w:sz w:val="20"/>
          <w:szCs w:val="20"/>
          <w:color w:val="auto"/>
        </w:rPr>
      </w:pPr>
      <w:r>
        <w:rPr>
          <w:rFonts w:ascii="Times New Roman" w:cs="Times New Roman" w:eastAsia="Times New Roman" w:hAnsi="Times New Roman"/>
          <w:sz w:val="22"/>
          <w:szCs w:val="22"/>
          <w:color w:val="auto"/>
        </w:rPr>
        <w:t>25M.</w:t>
        <w:tab/>
        <w:t>By December 2022, Victoria will review relevant provisions of the FFG Act</w:t>
      </w:r>
      <w:r>
        <w:rPr>
          <w:rFonts w:ascii="Times New Roman" w:cs="Times New Roman" w:eastAsia="Times New Roman" w:hAnsi="Times New Roman"/>
          <w:sz w:val="22"/>
          <w:szCs w:val="22"/>
          <w:i w:val="1"/>
          <w:iCs w:val="1"/>
          <w:color w:val="auto"/>
        </w:rPr>
        <w:t>, Sustainable Forests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(Timber) Act 2004 </w:t>
      </w:r>
      <w:r>
        <w:rPr>
          <w:rFonts w:ascii="Times New Roman" w:cs="Times New Roman" w:eastAsia="Times New Roman" w:hAnsi="Times New Roman"/>
          <w:sz w:val="22"/>
          <w:szCs w:val="22"/>
          <w:color w:val="auto"/>
        </w:rPr>
        <w:t>(Vic)</w:t>
      </w:r>
      <w:r>
        <w:rPr>
          <w:rFonts w:ascii="Times New Roman" w:cs="Times New Roman" w:eastAsia="Times New Roman" w:hAnsi="Times New Roman"/>
          <w:sz w:val="22"/>
          <w:szCs w:val="22"/>
          <w:i w:val="1"/>
          <w:iCs w:val="1"/>
          <w:color w:val="auto"/>
        </w:rPr>
        <w:t xml:space="preserve">, Forests Act 1958 </w:t>
      </w:r>
      <w:r>
        <w:rPr>
          <w:rFonts w:ascii="Times New Roman" w:cs="Times New Roman" w:eastAsia="Times New Roman" w:hAnsi="Times New Roman"/>
          <w:sz w:val="22"/>
          <w:szCs w:val="22"/>
          <w:color w:val="auto"/>
        </w:rPr>
        <w:t>(Vic), and their subordinate instruments, including</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the Code of Practice for Timber Production, to identify what, if any, measures or improvements could be made to strengthen protections for Listed Species and Communities within Victoria’s Forests.</w:t>
      </w:r>
    </w:p>
    <w:p>
      <w:pPr>
        <w:spacing w:after="0" w:line="251" w:lineRule="exact"/>
        <w:rPr>
          <w:sz w:val="20"/>
          <w:szCs w:val="20"/>
          <w:color w:val="auto"/>
        </w:rPr>
      </w:pPr>
    </w:p>
    <w:p>
      <w:pPr>
        <w:jc w:val="both"/>
        <w:ind w:left="720" w:hanging="719"/>
        <w:spacing w:after="0" w:line="237" w:lineRule="auto"/>
        <w:tabs>
          <w:tab w:leader="none" w:pos="700" w:val="left"/>
        </w:tabs>
        <w:rPr>
          <w:sz w:val="20"/>
          <w:szCs w:val="20"/>
          <w:color w:val="auto"/>
        </w:rPr>
      </w:pPr>
      <w:r>
        <w:rPr>
          <w:rFonts w:ascii="Times New Roman" w:cs="Times New Roman" w:eastAsia="Times New Roman" w:hAnsi="Times New Roman"/>
          <w:sz w:val="22"/>
          <w:szCs w:val="22"/>
          <w:color w:val="auto"/>
        </w:rPr>
        <w:t>25N.</w:t>
      </w:r>
      <w:r>
        <w:rPr>
          <w:sz w:val="20"/>
          <w:szCs w:val="20"/>
          <w:color w:val="auto"/>
        </w:rPr>
        <w:tab/>
      </w:r>
      <w:r>
        <w:rPr>
          <w:rFonts w:ascii="Times New Roman" w:cs="Times New Roman" w:eastAsia="Times New Roman" w:hAnsi="Times New Roman"/>
          <w:sz w:val="22"/>
          <w:szCs w:val="22"/>
          <w:color w:val="auto"/>
        </w:rPr>
        <w:t>In addition to reviewing Statutory Conservation Planning Documents at the legislatively defined intervals, the Parties agree to work collaboratively to review respective Statutory Conservation Planning Documents within 24 months, and update as necessary, following the occurrence of the following events:</w:t>
      </w:r>
    </w:p>
    <w:p>
      <w:pPr>
        <w:spacing w:after="0" w:line="254" w:lineRule="exact"/>
        <w:rPr>
          <w:sz w:val="20"/>
          <w:szCs w:val="20"/>
          <w:color w:val="auto"/>
        </w:rPr>
      </w:pPr>
    </w:p>
    <w:p>
      <w:pPr>
        <w:ind w:left="1420" w:right="20" w:hanging="712"/>
        <w:spacing w:after="0" w:line="235" w:lineRule="auto"/>
        <w:tabs>
          <w:tab w:leader="none" w:pos="1420" w:val="left"/>
        </w:tabs>
        <w:numPr>
          <w:ilvl w:val="0"/>
          <w:numId w:val="3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substantial scientific body of new information relating to a Listed Species or Community that is accepted by, in case of:</w:t>
      </w:r>
    </w:p>
    <w:p>
      <w:pPr>
        <w:spacing w:after="0" w:line="239"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3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the Victorian Scientific Advisory Committee; and</w:t>
      </w:r>
    </w:p>
    <w:p>
      <w:pPr>
        <w:spacing w:after="0" w:line="239" w:lineRule="exact"/>
        <w:rPr>
          <w:rFonts w:ascii="Times New Roman" w:cs="Times New Roman" w:eastAsia="Times New Roman" w:hAnsi="Times New Roman"/>
          <w:sz w:val="22"/>
          <w:szCs w:val="22"/>
          <w:color w:val="auto"/>
        </w:rPr>
      </w:pPr>
    </w:p>
    <w:p>
      <w:pPr>
        <w:ind w:left="2120" w:hanging="704"/>
        <w:spacing w:after="0"/>
        <w:tabs>
          <w:tab w:leader="none" w:pos="2120" w:val="left"/>
        </w:tabs>
        <w:numPr>
          <w:ilvl w:val="1"/>
          <w:numId w:val="3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the Threatened Species Scientific Committee,</w:t>
      </w:r>
    </w:p>
    <w:p>
      <w:pPr>
        <w:spacing w:after="0" w:line="242"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2"/>
          <w:szCs w:val="22"/>
          <w:color w:val="auto"/>
        </w:rPr>
        <w:t>becoming available; or</w:t>
      </w:r>
    </w:p>
    <w:p>
      <w:pPr>
        <w:spacing w:after="0" w:line="239" w:lineRule="exact"/>
        <w:rPr>
          <w:sz w:val="20"/>
          <w:szCs w:val="20"/>
          <w:color w:val="auto"/>
        </w:rPr>
      </w:pPr>
    </w:p>
    <w:p>
      <w:pPr>
        <w:ind w:left="1420" w:hanging="712"/>
        <w:spacing w:after="0"/>
        <w:tabs>
          <w:tab w:leader="none" w:pos="1420" w:val="left"/>
        </w:tabs>
        <w:numPr>
          <w:ilvl w:val="0"/>
          <w:numId w:val="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change in the conservation status of a Listed Species or Community.</w:t>
      </w:r>
    </w:p>
    <w:p>
      <w:pPr>
        <w:spacing w:after="0" w:line="241" w:lineRule="exact"/>
        <w:rPr>
          <w:rFonts w:ascii="Times New Roman" w:cs="Times New Roman" w:eastAsia="Times New Roman" w:hAnsi="Times New Roman"/>
          <w:sz w:val="22"/>
          <w:szCs w:val="22"/>
          <w:color w:val="auto"/>
        </w:rPr>
      </w:pPr>
    </w:p>
    <w:p>
      <w:pPr>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25O.   The Parties agree to:</w:t>
      </w:r>
    </w:p>
    <w:p>
      <w:pPr>
        <w:spacing w:after="0" w:line="251" w:lineRule="exact"/>
        <w:rPr>
          <w:sz w:val="20"/>
          <w:szCs w:val="20"/>
          <w:color w:val="auto"/>
        </w:rPr>
      </w:pPr>
    </w:p>
    <w:p>
      <w:pPr>
        <w:jc w:val="both"/>
        <w:ind w:left="1420" w:hanging="712"/>
        <w:spacing w:after="0" w:line="236" w:lineRule="auto"/>
        <w:tabs>
          <w:tab w:leader="none" w:pos="1420" w:val="left"/>
        </w:tabs>
        <w:numPr>
          <w:ilvl w:val="0"/>
          <w:numId w:val="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work together to try and achieve alignment of Statutory Conservation Planning Documents for the same species or community, within any constraints imposed by legislation; and</w:t>
      </w:r>
    </w:p>
    <w:p>
      <w:pPr>
        <w:spacing w:after="0" w:line="252"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encourage implementation of priority actions identified in any relevant Statutory Conservation Planning Document,</w:t>
      </w:r>
    </w:p>
    <w:p>
      <w:pPr>
        <w:spacing w:after="0" w:line="240"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color w:val="auto"/>
        </w:rPr>
        <w:t>that relate to a Listed Species or Community.</w:t>
      </w:r>
    </w:p>
    <w:p>
      <w:pPr>
        <w:spacing w:after="0" w:line="239"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25P.</w:t>
      </w:r>
      <w:r>
        <w:rPr>
          <w:sz w:val="20"/>
          <w:szCs w:val="20"/>
          <w:color w:val="auto"/>
        </w:rPr>
        <w:tab/>
      </w:r>
      <w:r>
        <w:rPr>
          <w:rFonts w:ascii="Times New Roman" w:cs="Times New Roman" w:eastAsia="Times New Roman" w:hAnsi="Times New Roman"/>
          <w:sz w:val="22"/>
          <w:szCs w:val="22"/>
          <w:color w:val="auto"/>
        </w:rPr>
        <w:t>Victoria agrees to:</w:t>
      </w:r>
    </w:p>
    <w:p>
      <w:pPr>
        <w:spacing w:after="0" w:line="253" w:lineRule="exact"/>
        <w:rPr>
          <w:sz w:val="20"/>
          <w:szCs w:val="20"/>
          <w:color w:val="auto"/>
        </w:rPr>
      </w:pPr>
    </w:p>
    <w:p>
      <w:pPr>
        <w:jc w:val="both"/>
        <w:ind w:left="1420" w:hanging="712"/>
        <w:spacing w:after="0" w:line="236" w:lineRule="auto"/>
        <w:tabs>
          <w:tab w:leader="none" w:pos="1420" w:val="left"/>
        </w:tabs>
        <w:numPr>
          <w:ilvl w:val="0"/>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use and maintain science-based planning tools to determine priority actions for the management of Listed Species and Communities, and make those planning tools publicly accessible; and</w:t>
      </w:r>
    </w:p>
    <w:p>
      <w:pPr>
        <w:spacing w:after="0" w:line="252"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0"/>
          <w:numId w:val="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the broader benefits and potential impacts on other native species in determining priority actions.</w:t>
      </w:r>
    </w:p>
    <w:p>
      <w:pPr>
        <w:spacing w:after="0" w:line="253" w:lineRule="exact"/>
        <w:rPr>
          <w:sz w:val="20"/>
          <w:szCs w:val="20"/>
          <w:color w:val="auto"/>
        </w:rPr>
      </w:pPr>
    </w:p>
    <w:p>
      <w:pPr>
        <w:ind w:left="72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25Q.</w:t>
      </w:r>
      <w:r>
        <w:rPr>
          <w:sz w:val="20"/>
          <w:szCs w:val="20"/>
          <w:color w:val="auto"/>
        </w:rPr>
        <w:tab/>
      </w:r>
      <w:r>
        <w:rPr>
          <w:rFonts w:ascii="Times New Roman" w:cs="Times New Roman" w:eastAsia="Times New Roman" w:hAnsi="Times New Roman"/>
          <w:sz w:val="22"/>
          <w:szCs w:val="22"/>
          <w:color w:val="auto"/>
        </w:rPr>
        <w:t>The Parties acknowledge the need to achieve a net improvement in the outlook for native species through an improvement in suitable habitat and the active management of threats.</w:t>
      </w:r>
    </w:p>
    <w:p>
      <w:pPr>
        <w:spacing w:after="0" w:line="253" w:lineRule="exact"/>
        <w:rPr>
          <w:sz w:val="20"/>
          <w:szCs w:val="20"/>
          <w:color w:val="auto"/>
        </w:rPr>
      </w:pPr>
    </w:p>
    <w:p>
      <w:pPr>
        <w:ind w:left="72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25R.</w:t>
      </w:r>
      <w:r>
        <w:rPr>
          <w:sz w:val="20"/>
          <w:szCs w:val="20"/>
          <w:color w:val="auto"/>
        </w:rPr>
        <w:tab/>
      </w:r>
      <w:r>
        <w:rPr>
          <w:rFonts w:ascii="Times New Roman" w:cs="Times New Roman" w:eastAsia="Times New Roman" w:hAnsi="Times New Roman"/>
          <w:sz w:val="22"/>
          <w:szCs w:val="22"/>
          <w:color w:val="auto"/>
        </w:rPr>
        <w:t>For all Listed Species and Communities present in the Central Highlands RFA Region, Victoria will use its best endeavours to:</w:t>
      </w: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18</w:t>
      </w:r>
    </w:p>
    <w:p>
      <w:pPr>
        <w:sectPr>
          <w:pgSz w:w="11900" w:h="16838" w:orient="portrait"/>
          <w:cols w:equalWidth="0" w:num="1">
            <w:col w:w="9200"/>
          </w:cols>
          <w:pgMar w:left="1440" w:top="1440" w:right="1266" w:bottom="149" w:gutter="0" w:footer="0" w:header="0"/>
        </w:sectPr>
      </w:pPr>
    </w:p>
    <w:bookmarkStart w:id="18" w:name="page19"/>
    <w:bookmarkEnd w:id="18"/>
    <w:p>
      <w:pPr>
        <w:spacing w:after="0" w:line="4" w:lineRule="exact"/>
        <w:rPr>
          <w:sz w:val="20"/>
          <w:szCs w:val="20"/>
          <w:color w:val="auto"/>
        </w:rPr>
      </w:pPr>
    </w:p>
    <w:p>
      <w:pPr>
        <w:jc w:val="both"/>
        <w:ind w:left="1420" w:hanging="712"/>
        <w:spacing w:after="0" w:line="236" w:lineRule="auto"/>
        <w:tabs>
          <w:tab w:leader="none" w:pos="1420" w:val="left"/>
        </w:tabs>
        <w:numPr>
          <w:ilvl w:val="0"/>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protect important populations and sufficient current and future habitat in the CAR Reserve System where such action is likely to ensure that viable populations are maintained throughout the species’ range;</w:t>
      </w:r>
    </w:p>
    <w:p>
      <w:pPr>
        <w:spacing w:after="0" w:line="252" w:lineRule="exact"/>
        <w:rPr>
          <w:rFonts w:ascii="Times New Roman" w:cs="Times New Roman" w:eastAsia="Times New Roman" w:hAnsi="Times New Roman"/>
          <w:sz w:val="22"/>
          <w:szCs w:val="22"/>
          <w:color w:val="auto"/>
        </w:rPr>
      </w:pPr>
    </w:p>
    <w:p>
      <w:pPr>
        <w:ind w:left="1420" w:right="20" w:hanging="712"/>
        <w:spacing w:after="0" w:line="235" w:lineRule="auto"/>
        <w:tabs>
          <w:tab w:leader="none" w:pos="1420" w:val="left"/>
        </w:tabs>
        <w:numPr>
          <w:ilvl w:val="0"/>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appropriate, apply additional measures where that species or community is Climate Change Vulnerable, including (but not limited to) measures such as:</w:t>
      </w:r>
    </w:p>
    <w:p>
      <w:pPr>
        <w:spacing w:after="0" w:line="239"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identification and protection of Refugia;</w:t>
      </w:r>
    </w:p>
    <w:p>
      <w:pPr>
        <w:spacing w:after="0" w:line="239"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greater active management, including of threats; and</w:t>
      </w:r>
    </w:p>
    <w:p>
      <w:pPr>
        <w:spacing w:after="0" w:line="252" w:lineRule="exact"/>
        <w:rPr>
          <w:rFonts w:ascii="Times New Roman" w:cs="Times New Roman" w:eastAsia="Times New Roman" w:hAnsi="Times New Roman"/>
          <w:sz w:val="22"/>
          <w:szCs w:val="22"/>
          <w:color w:val="auto"/>
        </w:rPr>
      </w:pPr>
    </w:p>
    <w:p>
      <w:pPr>
        <w:ind w:left="2120" w:hanging="701"/>
        <w:spacing w:after="0" w:line="234" w:lineRule="auto"/>
        <w:tabs>
          <w:tab w:leader="none" w:pos="2120" w:val="left"/>
        </w:tabs>
        <w:numPr>
          <w:ilvl w:val="1"/>
          <w:numId w:val="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consideration of options for translocation, gene mixing and ex situ conservation; and</w:t>
      </w:r>
    </w:p>
    <w:p>
      <w:pPr>
        <w:spacing w:after="0" w:line="254" w:lineRule="exact"/>
        <w:rPr>
          <w:sz w:val="20"/>
          <w:szCs w:val="20"/>
          <w:color w:val="auto"/>
        </w:rPr>
      </w:pPr>
    </w:p>
    <w:p>
      <w:pPr>
        <w:ind w:left="1420" w:hanging="700"/>
        <w:spacing w:after="0" w:line="234" w:lineRule="auto"/>
        <w:tabs>
          <w:tab w:leader="none" w:pos="1420" w:val="left"/>
        </w:tabs>
        <w:numPr>
          <w:ilvl w:val="0"/>
          <w:numId w:val="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protect important occurrences of the species or community in the CAR Reserve System and maintain or restore ecological management regimes to ensure its viability.</w:t>
      </w:r>
    </w:p>
    <w:p>
      <w:pPr>
        <w:spacing w:after="0" w:line="251" w:lineRule="exact"/>
        <w:rPr>
          <w:sz w:val="20"/>
          <w:szCs w:val="20"/>
          <w:color w:val="auto"/>
        </w:rPr>
      </w:pPr>
    </w:p>
    <w:p>
      <w:pPr>
        <w:jc w:val="both"/>
        <w:ind w:left="720" w:hanging="719"/>
        <w:spacing w:after="0" w:line="237" w:lineRule="auto"/>
        <w:tabs>
          <w:tab w:leader="none" w:pos="700" w:val="left"/>
        </w:tabs>
        <w:rPr>
          <w:sz w:val="20"/>
          <w:szCs w:val="20"/>
          <w:color w:val="auto"/>
        </w:rPr>
      </w:pPr>
      <w:r>
        <w:rPr>
          <w:rFonts w:ascii="Times New Roman" w:cs="Times New Roman" w:eastAsia="Times New Roman" w:hAnsi="Times New Roman"/>
          <w:sz w:val="22"/>
          <w:szCs w:val="22"/>
          <w:color w:val="auto"/>
        </w:rPr>
        <w:t>25S.</w:t>
      </w:r>
      <w:r>
        <w:rPr>
          <w:sz w:val="20"/>
          <w:szCs w:val="20"/>
          <w:color w:val="auto"/>
        </w:rPr>
        <w:tab/>
      </w:r>
      <w:r>
        <w:rPr>
          <w:rFonts w:ascii="Times New Roman" w:cs="Times New Roman" w:eastAsia="Times New Roman" w:hAnsi="Times New Roman"/>
          <w:sz w:val="22"/>
          <w:szCs w:val="22"/>
          <w:color w:val="auto"/>
        </w:rPr>
        <w:t>The Parties recognise the vital role that active management of threats to Listed Species and Communities plays in achieving their recovery. Victoria is committed to the active management of Native Forests on Public Land through proactive measures such as pest and weed control, use of silviculture practices to improve the Forest’s structure and condition and revegetation of priority areas.</w:t>
      </w:r>
    </w:p>
    <w:p>
      <w:pPr>
        <w:spacing w:after="0" w:line="25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World Heritage Places</w:t>
      </w:r>
    </w:p>
    <w:p>
      <w:pPr>
        <w:spacing w:after="0" w:line="246" w:lineRule="exact"/>
        <w:rPr>
          <w:sz w:val="20"/>
          <w:szCs w:val="20"/>
          <w:color w:val="auto"/>
        </w:rPr>
      </w:pPr>
    </w:p>
    <w:p>
      <w:pPr>
        <w:jc w:val="both"/>
        <w:ind w:left="700" w:hanging="700"/>
        <w:spacing w:after="0" w:line="237" w:lineRule="auto"/>
        <w:tabs>
          <w:tab w:leader="none" w:pos="700" w:val="left"/>
        </w:tabs>
        <w:numPr>
          <w:ilvl w:val="0"/>
          <w:numId w:val="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acknowledge that the World Heritage Values of a World Heritage Place are protected by Part 3 of the EPBC Act as, pursuant to section 42 of the EPBC Act, the exemption to the application of Part 3 for RFA Forestry Operations does not apply to a property included in the World Heritage List.</w:t>
      </w:r>
    </w:p>
    <w:p>
      <w:pPr>
        <w:spacing w:after="0" w:line="254" w:lineRule="exact"/>
        <w:rPr>
          <w:sz w:val="20"/>
          <w:szCs w:val="20"/>
          <w:color w:val="auto"/>
        </w:rPr>
      </w:pPr>
    </w:p>
    <w:p>
      <w:pPr>
        <w:jc w:val="both"/>
        <w:ind w:left="700" w:hanging="707"/>
        <w:spacing w:after="0" w:line="234" w:lineRule="auto"/>
        <w:tabs>
          <w:tab w:leader="none" w:pos="680" w:val="left"/>
        </w:tabs>
        <w:rPr>
          <w:sz w:val="20"/>
          <w:szCs w:val="20"/>
          <w:color w:val="auto"/>
        </w:rPr>
      </w:pPr>
      <w:r>
        <w:rPr>
          <w:rFonts w:ascii="Times New Roman" w:cs="Times New Roman" w:eastAsia="Times New Roman" w:hAnsi="Times New Roman"/>
          <w:sz w:val="22"/>
          <w:szCs w:val="22"/>
          <w:color w:val="auto"/>
        </w:rPr>
        <w:t>26A.</w:t>
        <w:tab/>
        <w:t>The Parties agree to participate in the assessment of any future World Heritage Places consistent with the Australian World Heritage Intergovernmental Agreement.</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National Heritage Places</w:t>
      </w:r>
    </w:p>
    <w:p>
      <w:pPr>
        <w:spacing w:after="0" w:line="248" w:lineRule="exact"/>
        <w:rPr>
          <w:sz w:val="20"/>
          <w:szCs w:val="20"/>
          <w:color w:val="auto"/>
        </w:rPr>
      </w:pPr>
    </w:p>
    <w:p>
      <w:pPr>
        <w:jc w:val="both"/>
        <w:ind w:left="720" w:hanging="719"/>
        <w:spacing w:after="0" w:line="236" w:lineRule="auto"/>
        <w:tabs>
          <w:tab w:leader="none" w:pos="700" w:val="left"/>
        </w:tabs>
        <w:rPr>
          <w:sz w:val="20"/>
          <w:szCs w:val="20"/>
          <w:color w:val="auto"/>
        </w:rPr>
      </w:pPr>
      <w:r>
        <w:rPr>
          <w:rFonts w:ascii="Times New Roman" w:cs="Times New Roman" w:eastAsia="Times New Roman" w:hAnsi="Times New Roman"/>
          <w:sz w:val="22"/>
          <w:szCs w:val="22"/>
          <w:color w:val="auto"/>
        </w:rPr>
        <w:t>26B.</w:t>
      </w:r>
      <w:r>
        <w:rPr>
          <w:sz w:val="20"/>
          <w:szCs w:val="20"/>
          <w:color w:val="auto"/>
        </w:rPr>
        <w:tab/>
      </w:r>
      <w:r>
        <w:rPr>
          <w:rFonts w:ascii="Times New Roman" w:cs="Times New Roman" w:eastAsia="Times New Roman" w:hAnsi="Times New Roman"/>
          <w:sz w:val="22"/>
          <w:szCs w:val="22"/>
          <w:color w:val="auto"/>
        </w:rPr>
        <w:t>The Parties agree that the Forest Management System provides for the protection of National Heritage Values of National Heritage Places in accordance with National Heritage Management Principles.</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Commonwealth Heritage Places</w:t>
      </w:r>
    </w:p>
    <w:p>
      <w:pPr>
        <w:spacing w:after="0" w:line="246" w:lineRule="exact"/>
        <w:rPr>
          <w:sz w:val="20"/>
          <w:szCs w:val="20"/>
          <w:color w:val="auto"/>
        </w:rPr>
      </w:pPr>
    </w:p>
    <w:p>
      <w:pPr>
        <w:jc w:val="both"/>
        <w:ind w:left="720" w:hanging="719"/>
        <w:spacing w:after="0" w:line="236" w:lineRule="auto"/>
        <w:tabs>
          <w:tab w:leader="none" w:pos="700" w:val="left"/>
        </w:tabs>
        <w:rPr>
          <w:sz w:val="20"/>
          <w:szCs w:val="20"/>
          <w:color w:val="auto"/>
        </w:rPr>
      </w:pPr>
      <w:r>
        <w:rPr>
          <w:rFonts w:ascii="Times New Roman" w:cs="Times New Roman" w:eastAsia="Times New Roman" w:hAnsi="Times New Roman"/>
          <w:sz w:val="22"/>
          <w:szCs w:val="22"/>
          <w:color w:val="auto"/>
        </w:rPr>
        <w:t>26C.</w:t>
      </w:r>
      <w:r>
        <w:rPr>
          <w:sz w:val="20"/>
          <w:szCs w:val="20"/>
          <w:color w:val="auto"/>
        </w:rPr>
        <w:tab/>
      </w:r>
      <w:r>
        <w:rPr>
          <w:rFonts w:ascii="Times New Roman" w:cs="Times New Roman" w:eastAsia="Times New Roman" w:hAnsi="Times New Roman"/>
          <w:sz w:val="22"/>
          <w:szCs w:val="22"/>
          <w:color w:val="auto"/>
        </w:rPr>
        <w:t>The Parties agree that the Forest Management System provides for the protection of Commonwealth Heritage Values through the management of Commonwealth Heritage Places in accordance with Commonwealth Heritage Management Principles.</w:t>
      </w: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Ramsar Wetlands</w:t>
      </w:r>
    </w:p>
    <w:p>
      <w:pPr>
        <w:spacing w:after="0" w:line="246" w:lineRule="exact"/>
        <w:rPr>
          <w:sz w:val="20"/>
          <w:szCs w:val="20"/>
          <w:color w:val="auto"/>
        </w:rPr>
      </w:pPr>
    </w:p>
    <w:p>
      <w:pPr>
        <w:jc w:val="both"/>
        <w:ind w:left="720" w:hanging="719"/>
        <w:spacing w:after="0" w:line="236" w:lineRule="auto"/>
        <w:tabs>
          <w:tab w:leader="none" w:pos="700" w:val="left"/>
        </w:tabs>
        <w:rPr>
          <w:sz w:val="20"/>
          <w:szCs w:val="20"/>
          <w:color w:val="auto"/>
        </w:rPr>
      </w:pPr>
      <w:r>
        <w:rPr>
          <w:rFonts w:ascii="Times New Roman" w:cs="Times New Roman" w:eastAsia="Times New Roman" w:hAnsi="Times New Roman"/>
          <w:sz w:val="22"/>
          <w:szCs w:val="22"/>
          <w:color w:val="auto"/>
        </w:rPr>
        <w:t>26D.</w:t>
      </w:r>
      <w:r>
        <w:rPr>
          <w:sz w:val="20"/>
          <w:szCs w:val="20"/>
          <w:color w:val="auto"/>
        </w:rPr>
        <w:tab/>
      </w:r>
      <w:r>
        <w:rPr>
          <w:rFonts w:ascii="Times New Roman" w:cs="Times New Roman" w:eastAsia="Times New Roman" w:hAnsi="Times New Roman"/>
          <w:sz w:val="22"/>
          <w:szCs w:val="22"/>
          <w:color w:val="auto"/>
        </w:rPr>
        <w:t>The Parties acknowledge that the Forest Management System, in conjunction with Commonwealth law, provides for the protection of the ecological character of Ramsar Wetlands, in accordance with Australia’s obligations under the Ramsar Convention, by:</w:t>
      </w:r>
    </w:p>
    <w:p>
      <w:pPr>
        <w:spacing w:after="0" w:line="253" w:lineRule="exact"/>
        <w:rPr>
          <w:sz w:val="20"/>
          <w:szCs w:val="20"/>
          <w:color w:val="auto"/>
        </w:rPr>
      </w:pPr>
    </w:p>
    <w:p>
      <w:pPr>
        <w:jc w:val="both"/>
        <w:ind w:left="1420" w:right="20" w:hanging="712"/>
        <w:spacing w:after="0" w:line="236" w:lineRule="auto"/>
        <w:tabs>
          <w:tab w:leader="none" w:pos="1420" w:val="left"/>
        </w:tabs>
        <w:numPr>
          <w:ilvl w:val="0"/>
          <w:numId w:val="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application of Part 3 of the EPBC Act, as the exemption to the application of Part 3 of the EPBC Act for RFA Forestry Operations does not apply to Ramsar Wetlands pursuant to section 42 of the EPBC Act;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2"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19</w:t>
      </w:r>
    </w:p>
    <w:p>
      <w:pPr>
        <w:sectPr>
          <w:pgSz w:w="11900" w:h="16838" w:orient="portrait"/>
          <w:cols w:equalWidth="0" w:num="1">
            <w:col w:w="9200"/>
          </w:cols>
          <w:pgMar w:left="1440" w:top="1440" w:right="1266" w:bottom="149" w:gutter="0" w:footer="0" w:header="0"/>
        </w:sectPr>
      </w:pPr>
    </w:p>
    <w:bookmarkStart w:id="19" w:name="page20"/>
    <w:bookmarkEnd w:id="19"/>
    <w:p>
      <w:pPr>
        <w:spacing w:after="0" w:line="4" w:lineRule="exact"/>
        <w:rPr>
          <w:sz w:val="20"/>
          <w:szCs w:val="20"/>
          <w:color w:val="auto"/>
        </w:rPr>
      </w:pPr>
    </w:p>
    <w:p>
      <w:pPr>
        <w:jc w:val="both"/>
        <w:ind w:left="1420" w:hanging="712"/>
        <w:spacing w:after="0" w:line="236" w:lineRule="auto"/>
        <w:tabs>
          <w:tab w:leader="none" w:pos="1420" w:val="left"/>
        </w:tabs>
        <w:numPr>
          <w:ilvl w:val="1"/>
          <w:numId w:val="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management of Ramsar Wetlands under the Forest Management System, including having regard to Ramsar Wetland information sheets and Ramsar Wetland ecological character descriptions; and</w:t>
      </w:r>
    </w:p>
    <w:p>
      <w:pPr>
        <w:spacing w:after="0" w:line="252"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1"/>
          <w:numId w:val="4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management of the relevant threatened ecological communities listed under the FFG Act or the EPBC Act.</w:t>
      </w:r>
    </w:p>
    <w:p>
      <w:pPr>
        <w:spacing w:after="0" w:line="239"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1"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4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Export Controls</w:t>
      </w:r>
    </w:p>
    <w:p>
      <w:pPr>
        <w:spacing w:after="0" w:line="246" w:lineRule="exact"/>
        <w:rPr>
          <w:sz w:val="20"/>
          <w:szCs w:val="20"/>
          <w:color w:val="auto"/>
        </w:rPr>
      </w:pPr>
    </w:p>
    <w:p>
      <w:pPr>
        <w:ind w:left="700" w:hanging="700"/>
        <w:spacing w:after="0" w:line="234" w:lineRule="auto"/>
        <w:tabs>
          <w:tab w:leader="none" w:pos="700" w:val="left"/>
        </w:tabs>
        <w:numPr>
          <w:ilvl w:val="0"/>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note that current Commonwealth export arrangements provide that exports of Processed and Unprocessed Wood sourced from:</w:t>
      </w:r>
    </w:p>
    <w:p>
      <w:pPr>
        <w:spacing w:after="0" w:line="253" w:lineRule="exact"/>
        <w:rPr>
          <w:rFonts w:ascii="Times New Roman" w:cs="Times New Roman" w:eastAsia="Times New Roman" w:hAnsi="Times New Roman"/>
          <w:sz w:val="22"/>
          <w:szCs w:val="22"/>
          <w:color w:val="auto"/>
        </w:rPr>
      </w:pPr>
    </w:p>
    <w:p>
      <w:pPr>
        <w:jc w:val="both"/>
        <w:ind w:left="1440" w:hanging="732"/>
        <w:spacing w:after="0" w:line="237" w:lineRule="auto"/>
        <w:tabs>
          <w:tab w:leader="none" w:pos="1440" w:val="left"/>
        </w:tabs>
        <w:numPr>
          <w:ilvl w:val="1"/>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native forests in areas covered by a RFA can occur without the need for a licence under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in accordance with its terms, and those of the regulations made thereunder, and the terms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and</w:t>
      </w:r>
    </w:p>
    <w:p>
      <w:pPr>
        <w:spacing w:after="0" w:line="253" w:lineRule="exact"/>
        <w:rPr>
          <w:rFonts w:ascii="Times New Roman" w:cs="Times New Roman" w:eastAsia="Times New Roman" w:hAnsi="Times New Roman"/>
          <w:sz w:val="22"/>
          <w:szCs w:val="22"/>
          <w:color w:val="auto"/>
        </w:rPr>
      </w:pPr>
    </w:p>
    <w:p>
      <w:pPr>
        <w:jc w:val="both"/>
        <w:ind w:left="1440" w:hanging="732"/>
        <w:spacing w:after="0" w:line="237" w:lineRule="auto"/>
        <w:tabs>
          <w:tab w:leader="none" w:pos="1440" w:val="left"/>
        </w:tabs>
        <w:numPr>
          <w:ilvl w:val="1"/>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Victorian Plantations in areas covered by a RFA will not be subject to the operation of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or any other export control law within the meaning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where a code of practice for Victoria has been approved under the </w:t>
      </w:r>
      <w:r>
        <w:rPr>
          <w:rFonts w:ascii="Times New Roman" w:cs="Times New Roman" w:eastAsia="Times New Roman" w:hAnsi="Times New Roman"/>
          <w:sz w:val="22"/>
          <w:szCs w:val="22"/>
          <w:i w:val="1"/>
          <w:iCs w:val="1"/>
          <w:color w:val="auto"/>
        </w:rPr>
        <w:t>Export Control (Unprocessed Wood) Regulations</w:t>
      </w:r>
      <w:r>
        <w:rPr>
          <w:rFonts w:ascii="Times New Roman" w:cs="Times New Roman" w:eastAsia="Times New Roman" w:hAnsi="Times New Roman"/>
          <w:sz w:val="22"/>
          <w:szCs w:val="22"/>
          <w:color w:val="auto"/>
        </w:rPr>
        <w:t xml:space="preserve"> and that approval remains in effect.</w:t>
      </w:r>
    </w:p>
    <w:p>
      <w:pPr>
        <w:spacing w:after="0" w:line="255" w:lineRule="exact"/>
        <w:rPr>
          <w:rFonts w:ascii="Times New Roman" w:cs="Times New Roman" w:eastAsia="Times New Roman" w:hAnsi="Times New Roman"/>
          <w:sz w:val="22"/>
          <w:szCs w:val="22"/>
          <w:color w:val="auto"/>
        </w:rPr>
      </w:pPr>
    </w:p>
    <w:p>
      <w:pPr>
        <w:jc w:val="both"/>
        <w:ind w:left="700" w:hanging="700"/>
        <w:spacing w:after="0" w:line="235" w:lineRule="auto"/>
        <w:tabs>
          <w:tab w:leader="none" w:pos="700" w:val="left"/>
        </w:tabs>
        <w:numPr>
          <w:ilvl w:val="0"/>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Parties agree that no controls under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or the regulations made thereunder, other than those described in clause 31, will apply to Processed and Unprocessed Wood sourced from the Central Highlands RFA Region while this Agreement is in place.</w:t>
      </w:r>
    </w:p>
    <w:p>
      <w:pPr>
        <w:spacing w:after="0" w:line="243"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4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Monitoring of the Agreement</w:t>
      </w:r>
    </w:p>
    <w:p>
      <w:pPr>
        <w:spacing w:after="0" w:line="234"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34A.</w:t>
      </w:r>
      <w:r>
        <w:rPr>
          <w:sz w:val="20"/>
          <w:szCs w:val="20"/>
          <w:color w:val="auto"/>
        </w:rPr>
        <w:tab/>
      </w:r>
      <w:r>
        <w:rPr>
          <w:rFonts w:ascii="Times New Roman" w:cs="Times New Roman" w:eastAsia="Times New Roman" w:hAnsi="Times New Roman"/>
          <w:sz w:val="22"/>
          <w:szCs w:val="22"/>
          <w:color w:val="auto"/>
        </w:rPr>
        <w:t>The implementation of this Agreement is monitored through:</w:t>
      </w:r>
    </w:p>
    <w:p>
      <w:pPr>
        <w:spacing w:after="0" w:line="239" w:lineRule="exact"/>
        <w:rPr>
          <w:sz w:val="20"/>
          <w:szCs w:val="20"/>
          <w:color w:val="auto"/>
        </w:rPr>
      </w:pPr>
    </w:p>
    <w:p>
      <w:pPr>
        <w:ind w:left="1420" w:hanging="712"/>
        <w:spacing w:after="0"/>
        <w:tabs>
          <w:tab w:leader="none" w:pos="142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Milestones provision at clause 35;</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annual meetings conducted in accordance with clauses 35A and 35B;</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Five-yearly Reviews conducted in accordance with clauses 36 to 38E;</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Major Event Reviews conducted in accordance with clauses 38F to 38J;</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monitoring and reporting provisions contained in clauses 41 to 44; and</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4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auditing provisions contained in clauses 45A to 45J.</w:t>
      </w:r>
    </w:p>
    <w:p>
      <w:pPr>
        <w:spacing w:after="0" w:line="241"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34B.</w:t>
      </w:r>
      <w:r>
        <w:rPr>
          <w:sz w:val="20"/>
          <w:szCs w:val="20"/>
          <w:color w:val="auto"/>
        </w:rPr>
        <w:tab/>
      </w:r>
      <w:r>
        <w:rPr>
          <w:rFonts w:ascii="Times New Roman" w:cs="Times New Roman" w:eastAsia="Times New Roman" w:hAnsi="Times New Roman"/>
          <w:sz w:val="22"/>
          <w:szCs w:val="22"/>
          <w:color w:val="auto"/>
        </w:rPr>
        <w:t>The Parties agree to maintain open communication on matters relating to the implementation of</w:t>
      </w:r>
    </w:p>
    <w:p>
      <w:pPr>
        <w:spacing w:after="0" w:line="200" w:lineRule="exact"/>
        <w:rPr>
          <w:sz w:val="20"/>
          <w:szCs w:val="20"/>
          <w:color w:val="auto"/>
        </w:rPr>
      </w:pPr>
    </w:p>
    <w:p>
      <w:pPr>
        <w:spacing w:after="0" w:line="38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20</w:t>
      </w:r>
    </w:p>
    <w:p>
      <w:pPr>
        <w:sectPr>
          <w:pgSz w:w="11900" w:h="16838" w:orient="portrait"/>
          <w:cols w:equalWidth="0" w:num="1">
            <w:col w:w="9200"/>
          </w:cols>
          <w:pgMar w:left="1440" w:top="1440" w:right="1266" w:bottom="149" w:gutter="0" w:footer="0" w:header="0"/>
        </w:sectPr>
      </w:pPr>
    </w:p>
    <w:bookmarkStart w:id="20" w:name="page21"/>
    <w:bookmarkEnd w:id="20"/>
    <w:p>
      <w:pPr>
        <w:ind w:left="720"/>
        <w:spacing w:after="0"/>
        <w:rPr>
          <w:sz w:val="20"/>
          <w:szCs w:val="20"/>
          <w:color w:val="auto"/>
        </w:rPr>
      </w:pPr>
      <w:r>
        <w:rPr>
          <w:rFonts w:ascii="Times New Roman" w:cs="Times New Roman" w:eastAsia="Times New Roman" w:hAnsi="Times New Roman"/>
          <w:sz w:val="22"/>
          <w:szCs w:val="22"/>
          <w:color w:val="auto"/>
        </w:rPr>
        <w:t>this Agreement, including raising and responding to issues at any time.</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Milestones</w:t>
      </w:r>
    </w:p>
    <w:p>
      <w:pPr>
        <w:spacing w:after="0" w:line="265" w:lineRule="exact"/>
        <w:rPr>
          <w:sz w:val="20"/>
          <w:szCs w:val="20"/>
          <w:color w:val="auto"/>
        </w:rPr>
      </w:pPr>
    </w:p>
    <w:p>
      <w:pPr>
        <w:ind w:left="700" w:hanging="700"/>
        <w:spacing w:after="0" w:line="235" w:lineRule="auto"/>
        <w:tabs>
          <w:tab w:leader="none" w:pos="700" w:val="left"/>
        </w:tabs>
        <w:numPr>
          <w:ilvl w:val="0"/>
          <w:numId w:val="4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establishes Milestones. The Parties will report annually on their achievement as part of each annual meeting using an appropriate public reporting mechanism.</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Annual meetings</w:t>
      </w:r>
    </w:p>
    <w:p>
      <w:pPr>
        <w:spacing w:after="0" w:line="267" w:lineRule="exact"/>
        <w:rPr>
          <w:sz w:val="20"/>
          <w:szCs w:val="20"/>
          <w:color w:val="auto"/>
        </w:rPr>
      </w:pPr>
    </w:p>
    <w:p>
      <w:pPr>
        <w:ind w:left="720" w:hanging="719"/>
        <w:spacing w:after="0" w:line="288" w:lineRule="auto"/>
        <w:tabs>
          <w:tab w:leader="none" w:pos="700" w:val="left"/>
        </w:tabs>
        <w:rPr>
          <w:sz w:val="20"/>
          <w:szCs w:val="20"/>
          <w:color w:val="auto"/>
        </w:rPr>
      </w:pPr>
      <w:r>
        <w:rPr>
          <w:rFonts w:ascii="Times New Roman" w:cs="Times New Roman" w:eastAsia="Times New Roman" w:hAnsi="Times New Roman"/>
          <w:sz w:val="21"/>
          <w:szCs w:val="21"/>
          <w:color w:val="auto"/>
        </w:rPr>
        <w:t>35A.</w:t>
      </w:r>
      <w:r>
        <w:rPr>
          <w:sz w:val="20"/>
          <w:szCs w:val="20"/>
          <w:color w:val="auto"/>
        </w:rPr>
        <w:tab/>
      </w:r>
      <w:r>
        <w:rPr>
          <w:rFonts w:ascii="Times New Roman" w:cs="Times New Roman" w:eastAsia="Times New Roman" w:hAnsi="Times New Roman"/>
          <w:sz w:val="21"/>
          <w:szCs w:val="21"/>
          <w:color w:val="auto"/>
        </w:rPr>
        <w:t>The Parties agree to hold annual executive-level bilateral meetings to monitor the implementation and performance of the Agreement. As part of each annual meeting the Parties will:</w:t>
      </w:r>
    </w:p>
    <w:p>
      <w:pPr>
        <w:spacing w:after="0" w:line="244" w:lineRule="exact"/>
        <w:rPr>
          <w:sz w:val="20"/>
          <w:szCs w:val="20"/>
          <w:color w:val="auto"/>
        </w:rPr>
      </w:pPr>
    </w:p>
    <w:p>
      <w:pPr>
        <w:ind w:left="1420" w:hanging="712"/>
        <w:spacing w:after="0" w:line="234" w:lineRule="auto"/>
        <w:tabs>
          <w:tab w:leader="none" w:pos="142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assess progress against or achievement of the Milestones that fell due in the preceding year, or were outstanding from any of the preceding years;</w:t>
      </w:r>
    </w:p>
    <w:p>
      <w:pPr>
        <w:spacing w:after="0" w:line="250"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assess progress against agreed research activities and identify new research needs and objectives (if any);</w:t>
      </w:r>
    </w:p>
    <w:p>
      <w:pPr>
        <w:spacing w:after="0" w:line="250"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any timber harvesting compliance issues which have arisen in the preceding year;</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the impacts of any Major Events within the preceding year;</w:t>
      </w:r>
    </w:p>
    <w:p>
      <w:pPr>
        <w:spacing w:after="0" w:line="250" w:lineRule="exact"/>
        <w:rPr>
          <w:rFonts w:ascii="Times New Roman" w:cs="Times New Roman" w:eastAsia="Times New Roman" w:hAnsi="Times New Roman"/>
          <w:sz w:val="22"/>
          <w:szCs w:val="22"/>
          <w:color w:val="auto"/>
        </w:rPr>
      </w:pPr>
    </w:p>
    <w:p>
      <w:pPr>
        <w:ind w:left="1420" w:right="20" w:hanging="712"/>
        <w:spacing w:after="0" w:line="235" w:lineRule="auto"/>
        <w:tabs>
          <w:tab w:leader="none" w:pos="142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 and discuss any issues relating to the operation or performance of the Agreement in the preceding year;</w:t>
      </w:r>
    </w:p>
    <w:p>
      <w:pPr>
        <w:spacing w:after="0" w:line="251" w:lineRule="exact"/>
        <w:rPr>
          <w:rFonts w:ascii="Times New Roman" w:cs="Times New Roman" w:eastAsia="Times New Roman" w:hAnsi="Times New Roman"/>
          <w:sz w:val="22"/>
          <w:szCs w:val="22"/>
          <w:color w:val="auto"/>
        </w:rPr>
      </w:pPr>
    </w:p>
    <w:p>
      <w:pPr>
        <w:jc w:val="both"/>
        <w:ind w:left="1420" w:hanging="712"/>
        <w:spacing w:after="0" w:line="236" w:lineRule="auto"/>
        <w:tabs>
          <w:tab w:leader="none" w:pos="142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discuss the preparation and implementation of Statutory Conservation Planning Documents in accordance with the terms of this Agreement for Listed Species and Communities within the RFA Region; and</w:t>
      </w:r>
    </w:p>
    <w:p>
      <w:pPr>
        <w:spacing w:after="0" w:line="240"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5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discuss any matters or issues or events that have arisen in the preceding year.</w:t>
      </w:r>
    </w:p>
    <w:p>
      <w:pPr>
        <w:spacing w:after="0" w:line="253" w:lineRule="exact"/>
        <w:rPr>
          <w:sz w:val="20"/>
          <w:szCs w:val="20"/>
          <w:color w:val="auto"/>
        </w:rPr>
      </w:pPr>
    </w:p>
    <w:p>
      <w:pPr>
        <w:jc w:val="both"/>
        <w:ind w:left="700" w:right="20" w:hanging="699"/>
        <w:spacing w:after="0" w:line="235" w:lineRule="auto"/>
        <w:tabs>
          <w:tab w:leader="none" w:pos="680" w:val="left"/>
        </w:tabs>
        <w:rPr>
          <w:sz w:val="20"/>
          <w:szCs w:val="20"/>
          <w:color w:val="auto"/>
        </w:rPr>
      </w:pPr>
      <w:r>
        <w:rPr>
          <w:rFonts w:ascii="Times New Roman" w:cs="Times New Roman" w:eastAsia="Times New Roman" w:hAnsi="Times New Roman"/>
          <w:sz w:val="22"/>
          <w:szCs w:val="22"/>
          <w:color w:val="auto"/>
        </w:rPr>
        <w:t>35B.</w:t>
      </w:r>
      <w:r>
        <w:rPr>
          <w:sz w:val="20"/>
          <w:szCs w:val="20"/>
          <w:color w:val="auto"/>
        </w:rPr>
        <w:tab/>
      </w:r>
      <w:r>
        <w:rPr>
          <w:rFonts w:ascii="Times New Roman" w:cs="Times New Roman" w:eastAsia="Times New Roman" w:hAnsi="Times New Roman"/>
          <w:sz w:val="22"/>
          <w:szCs w:val="22"/>
          <w:color w:val="auto"/>
        </w:rPr>
        <w:t>A joint statement that reports on the outcomes of the annual meetings will be made publicly available by being published on an internet site maintained by, for or on behalf of one or both Parties.</w:t>
      </w:r>
    </w:p>
    <w:p>
      <w:pPr>
        <w:spacing w:after="0" w:line="24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Five-yearly Reviews</w:t>
      </w:r>
    </w:p>
    <w:p>
      <w:pPr>
        <w:spacing w:after="0" w:line="23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i w:val="1"/>
          <w:iCs w:val="1"/>
          <w:color w:val="auto"/>
        </w:rPr>
        <w:t>Five-yearly Review scope and process</w:t>
      </w:r>
    </w:p>
    <w:p>
      <w:pPr>
        <w:spacing w:after="0" w:line="253" w:lineRule="exact"/>
        <w:rPr>
          <w:sz w:val="20"/>
          <w:szCs w:val="20"/>
          <w:color w:val="auto"/>
        </w:rPr>
      </w:pPr>
    </w:p>
    <w:p>
      <w:pPr>
        <w:jc w:val="both"/>
        <w:ind w:left="720" w:hanging="720"/>
        <w:spacing w:after="0" w:line="234" w:lineRule="auto"/>
        <w:tabs>
          <w:tab w:leader="none" w:pos="720" w:val="left"/>
        </w:tabs>
        <w:numPr>
          <w:ilvl w:val="0"/>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Subject to clauses 37C and 93B, for each five year period, a review of the performance of the Agreement will be undertaken. The purpose of the Five-yearly Review is to assess and evaluate:</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extent to which the operation of the Agreement has produced outcomes that:</w:t>
      </w:r>
    </w:p>
    <w:p>
      <w:pPr>
        <w:spacing w:after="0" w:line="241"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a CAR Reserve System;</w:t>
      </w:r>
    </w:p>
    <w:p>
      <w:pPr>
        <w:spacing w:after="0" w:line="239" w:lineRule="exact"/>
        <w:rPr>
          <w:rFonts w:ascii="Times New Roman" w:cs="Times New Roman" w:eastAsia="Times New Roman" w:hAnsi="Times New Roman"/>
          <w:sz w:val="22"/>
          <w:szCs w:val="22"/>
          <w:color w:val="auto"/>
        </w:rPr>
      </w:pPr>
    </w:p>
    <w:p>
      <w:pPr>
        <w:ind w:left="2120" w:hanging="704"/>
        <w:spacing w:after="0"/>
        <w:tabs>
          <w:tab w:leader="none" w:pos="212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ESFM and adaptive Forest Management;</w:t>
      </w:r>
    </w:p>
    <w:p>
      <w:pPr>
        <w:spacing w:after="0" w:line="241" w:lineRule="exact"/>
        <w:rPr>
          <w:rFonts w:ascii="Times New Roman" w:cs="Times New Roman" w:eastAsia="Times New Roman" w:hAnsi="Times New Roman"/>
          <w:sz w:val="22"/>
          <w:szCs w:val="22"/>
          <w:color w:val="auto"/>
        </w:rPr>
      </w:pPr>
    </w:p>
    <w:p>
      <w:pPr>
        <w:ind w:left="2120" w:hanging="704"/>
        <w:spacing w:after="0"/>
        <w:tabs>
          <w:tab w:leader="none" w:pos="212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provide for the long-term stability of Forests and Forest Industries;</w:t>
      </w:r>
    </w:p>
    <w:p>
      <w:pPr>
        <w:spacing w:after="0" w:line="250" w:lineRule="exact"/>
        <w:rPr>
          <w:rFonts w:ascii="Times New Roman" w:cs="Times New Roman" w:eastAsia="Times New Roman" w:hAnsi="Times New Roman"/>
          <w:sz w:val="22"/>
          <w:szCs w:val="22"/>
          <w:color w:val="auto"/>
        </w:rPr>
      </w:pPr>
    </w:p>
    <w:p>
      <w:pPr>
        <w:ind w:left="2120" w:hanging="704"/>
        <w:spacing w:after="0" w:line="235" w:lineRule="auto"/>
        <w:tabs>
          <w:tab w:leader="none" w:pos="2120" w:val="left"/>
        </w:tabs>
        <w:numPr>
          <w:ilvl w:val="2"/>
          <w:numId w:val="5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demonstrate effective management of MNES, which is to be assessed having regard to condition trends of each MNES;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1"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21</w:t>
      </w:r>
    </w:p>
    <w:p>
      <w:pPr>
        <w:sectPr>
          <w:pgSz w:w="11900" w:h="16838" w:orient="portrait"/>
          <w:cols w:equalWidth="0" w:num="1">
            <w:col w:w="9200"/>
          </w:cols>
          <w:pgMar w:left="1440" w:top="1432" w:right="1266" w:bottom="149" w:gutter="0" w:footer="0" w:header="0"/>
        </w:sectPr>
      </w:pPr>
    </w:p>
    <w:bookmarkStart w:id="21" w:name="page22"/>
    <w:bookmarkEnd w:id="21"/>
    <w:p>
      <w:pPr>
        <w:spacing w:after="0" w:line="4" w:lineRule="exact"/>
        <w:rPr>
          <w:sz w:val="20"/>
          <w:szCs w:val="20"/>
          <w:color w:val="auto"/>
        </w:rPr>
      </w:pPr>
    </w:p>
    <w:p>
      <w:pPr>
        <w:ind w:left="2120" w:right="40" w:hanging="704"/>
        <w:spacing w:after="0" w:line="234" w:lineRule="auto"/>
        <w:tabs>
          <w:tab w:leader="none" w:pos="2120" w:val="left"/>
        </w:tabs>
        <w:numPr>
          <w:ilvl w:val="1"/>
          <w:numId w:val="5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advance Traditional Owner self-determination and the effective management of MTOS;</w:t>
      </w:r>
    </w:p>
    <w:p>
      <w:pPr>
        <w:spacing w:after="0" w:line="253" w:lineRule="exact"/>
        <w:rPr>
          <w:rFonts w:ascii="Times New Roman" w:cs="Times New Roman" w:eastAsia="Times New Roman" w:hAnsi="Times New Roman"/>
          <w:sz w:val="22"/>
          <w:szCs w:val="22"/>
          <w:color w:val="auto"/>
        </w:rPr>
      </w:pPr>
    </w:p>
    <w:p>
      <w:pPr>
        <w:jc w:val="both"/>
        <w:ind w:left="2120" w:right="40" w:hanging="704"/>
        <w:spacing w:after="0" w:line="236" w:lineRule="auto"/>
        <w:tabs>
          <w:tab w:leader="none" w:pos="2120" w:val="left"/>
        </w:tabs>
        <w:numPr>
          <w:ilvl w:val="1"/>
          <w:numId w:val="5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achieve the highest and best value uses of Native Forests on Public Land having regard to all Forest values, including Traditional Owner, social, environmental, Ecosystem Services and economic values; and</w:t>
      </w:r>
    </w:p>
    <w:p>
      <w:pPr>
        <w:spacing w:after="0" w:line="252" w:lineRule="exact"/>
        <w:rPr>
          <w:rFonts w:ascii="Times New Roman" w:cs="Times New Roman" w:eastAsia="Times New Roman" w:hAnsi="Times New Roman"/>
          <w:sz w:val="22"/>
          <w:szCs w:val="22"/>
          <w:color w:val="auto"/>
        </w:rPr>
      </w:pPr>
    </w:p>
    <w:p>
      <w:pPr>
        <w:ind w:left="2120" w:right="40" w:hanging="704"/>
        <w:spacing w:after="0" w:line="234" w:lineRule="auto"/>
        <w:tabs>
          <w:tab w:leader="none" w:pos="2120" w:val="left"/>
        </w:tabs>
        <w:numPr>
          <w:ilvl w:val="1"/>
          <w:numId w:val="5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support the achievement of objectives within national and Victorian biodiversity strategies;</w:t>
      </w:r>
    </w:p>
    <w:p>
      <w:pPr>
        <w:spacing w:after="0" w:line="253" w:lineRule="exact"/>
        <w:rPr>
          <w:rFonts w:ascii="Times New Roman" w:cs="Times New Roman" w:eastAsia="Times New Roman" w:hAnsi="Times New Roman"/>
          <w:sz w:val="22"/>
          <w:szCs w:val="22"/>
          <w:color w:val="auto"/>
        </w:rPr>
      </w:pPr>
    </w:p>
    <w:p>
      <w:pPr>
        <w:ind w:left="1420" w:right="60" w:hanging="712"/>
        <w:spacing w:after="0" w:line="234" w:lineRule="auto"/>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effectiveness of management prescriptions and responses to disturbances related to Listed Species and Communities;</w:t>
      </w:r>
    </w:p>
    <w:p>
      <w:pPr>
        <w:spacing w:after="0" w:line="253" w:lineRule="exact"/>
        <w:rPr>
          <w:rFonts w:ascii="Times New Roman" w:cs="Times New Roman" w:eastAsia="Times New Roman" w:hAnsi="Times New Roman"/>
          <w:sz w:val="22"/>
          <w:szCs w:val="22"/>
          <w:color w:val="auto"/>
        </w:rPr>
      </w:pPr>
    </w:p>
    <w:p>
      <w:pPr>
        <w:ind w:left="1420" w:right="40" w:hanging="714"/>
        <w:spacing w:after="0" w:line="234" w:lineRule="auto"/>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progress in developing and implementing Statutory Conservation Planning Documents in accordance with the terms of this Agreement;</w:t>
      </w:r>
    </w:p>
    <w:p>
      <w:pPr>
        <w:spacing w:after="0" w:line="250" w:lineRule="exact"/>
        <w:rPr>
          <w:rFonts w:ascii="Times New Roman" w:cs="Times New Roman" w:eastAsia="Times New Roman" w:hAnsi="Times New Roman"/>
          <w:sz w:val="22"/>
          <w:szCs w:val="22"/>
          <w:color w:val="auto"/>
        </w:rPr>
      </w:pPr>
    </w:p>
    <w:p>
      <w:pPr>
        <w:ind w:left="1420" w:right="60" w:hanging="714"/>
        <w:spacing w:after="0" w:line="235" w:lineRule="auto"/>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whether the Milestones have been implemented in a manner that furthers the outcomes listed in clause 36(a);</w:t>
      </w:r>
    </w:p>
    <w:p>
      <w:pPr>
        <w:spacing w:after="0" w:line="250" w:lineRule="exact"/>
        <w:rPr>
          <w:rFonts w:ascii="Times New Roman" w:cs="Times New Roman" w:eastAsia="Times New Roman" w:hAnsi="Times New Roman"/>
          <w:sz w:val="22"/>
          <w:szCs w:val="22"/>
          <w:color w:val="auto"/>
        </w:rPr>
      </w:pPr>
    </w:p>
    <w:p>
      <w:pPr>
        <w:ind w:left="1420" w:right="40" w:hanging="712"/>
        <w:spacing w:after="0" w:line="235" w:lineRule="auto"/>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Victoria’s performance against the list of Sustainability Indicators developed under clause 49B of this Agreement;</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social and economic benefits derived from the management and use of Forests;</w:t>
      </w:r>
    </w:p>
    <w:p>
      <w:pPr>
        <w:spacing w:after="0" w:line="252" w:lineRule="exact"/>
        <w:rPr>
          <w:rFonts w:ascii="Times New Roman" w:cs="Times New Roman" w:eastAsia="Times New Roman" w:hAnsi="Times New Roman"/>
          <w:sz w:val="22"/>
          <w:szCs w:val="22"/>
          <w:color w:val="auto"/>
        </w:rPr>
      </w:pPr>
    </w:p>
    <w:p>
      <w:pPr>
        <w:ind w:left="1420" w:right="40" w:hanging="712"/>
        <w:spacing w:after="0" w:line="234" w:lineRule="auto"/>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whether current and proposed research across the Forest Estate is sufficient, is prioritised appropriately and addresses known knowledge gaps;</w:t>
      </w:r>
    </w:p>
    <w:p>
      <w:pPr>
        <w:spacing w:after="0" w:line="251" w:lineRule="exact"/>
        <w:rPr>
          <w:rFonts w:ascii="Times New Roman" w:cs="Times New Roman" w:eastAsia="Times New Roman" w:hAnsi="Times New Roman"/>
          <w:sz w:val="22"/>
          <w:szCs w:val="22"/>
          <w:color w:val="auto"/>
        </w:rPr>
      </w:pPr>
    </w:p>
    <w:p>
      <w:pPr>
        <w:ind w:left="1420" w:right="40" w:hanging="712"/>
        <w:spacing w:after="0" w:line="235" w:lineRule="auto"/>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extent to which Victoria has supported the advancement of Traditional Owner Knowledge and its application to Forest Management;</w:t>
      </w:r>
    </w:p>
    <w:p>
      <w:pPr>
        <w:spacing w:after="0" w:line="250" w:lineRule="exact"/>
        <w:rPr>
          <w:rFonts w:ascii="Times New Roman" w:cs="Times New Roman" w:eastAsia="Times New Roman" w:hAnsi="Times New Roman"/>
          <w:sz w:val="22"/>
          <w:szCs w:val="22"/>
          <w:color w:val="auto"/>
        </w:rPr>
      </w:pPr>
    </w:p>
    <w:p>
      <w:pPr>
        <w:ind w:left="1420" w:right="40" w:hanging="712"/>
        <w:spacing w:after="0" w:line="235" w:lineRule="auto"/>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extent to which the commitments in the joint government responses to the preceding Five-yearly Reviews have been adequately implemented;</w:t>
      </w:r>
    </w:p>
    <w:p>
      <w:pPr>
        <w:spacing w:after="0" w:line="250" w:lineRule="exact"/>
        <w:rPr>
          <w:rFonts w:ascii="Times New Roman" w:cs="Times New Roman" w:eastAsia="Times New Roman" w:hAnsi="Times New Roman"/>
          <w:sz w:val="22"/>
          <w:szCs w:val="22"/>
          <w:color w:val="auto"/>
        </w:rPr>
      </w:pPr>
    </w:p>
    <w:p>
      <w:pPr>
        <w:ind w:left="1420" w:right="40" w:hanging="712"/>
        <w:spacing w:after="0" w:line="234" w:lineRule="auto"/>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current and forecast impacts of Climate Change on the CAR Reserve System, ESFM and the stability of Forests and Forest Industries; and</w:t>
      </w:r>
    </w:p>
    <w:p>
      <w:pPr>
        <w:spacing w:after="0" w:line="253" w:lineRule="exact"/>
        <w:rPr>
          <w:rFonts w:ascii="Times New Roman" w:cs="Times New Roman" w:eastAsia="Times New Roman" w:hAnsi="Times New Roman"/>
          <w:sz w:val="22"/>
          <w:szCs w:val="22"/>
          <w:color w:val="auto"/>
        </w:rPr>
      </w:pPr>
    </w:p>
    <w:p>
      <w:pPr>
        <w:ind w:left="1420" w:right="40" w:hanging="712"/>
        <w:spacing w:after="0" w:line="234" w:lineRule="auto"/>
        <w:tabs>
          <w:tab w:leader="none" w:pos="1420" w:val="left"/>
        </w:tabs>
        <w:numPr>
          <w:ilvl w:val="0"/>
          <w:numId w:val="5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adequacy of the CAR Reserve System (as provided for under this Agreement) in meeting the functions identified in clause 60 of this Agreement.</w:t>
      </w:r>
    </w:p>
    <w:p>
      <w:pPr>
        <w:spacing w:after="0" w:line="242"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36A.</w:t>
        <w:tab/>
        <w:t>NOT USED.</w:t>
      </w:r>
    </w:p>
    <w:p>
      <w:pPr>
        <w:spacing w:after="0" w:line="289" w:lineRule="exact"/>
        <w:rPr>
          <w:sz w:val="20"/>
          <w:szCs w:val="20"/>
          <w:color w:val="auto"/>
        </w:rPr>
      </w:pPr>
    </w:p>
    <w:p>
      <w:pPr>
        <w:jc w:val="both"/>
        <w:ind w:left="720" w:right="40" w:hanging="720"/>
        <w:spacing w:after="0" w:line="236" w:lineRule="auto"/>
        <w:tabs>
          <w:tab w:leader="none" w:pos="720" w:val="left"/>
        </w:tabs>
        <w:numPr>
          <w:ilvl w:val="0"/>
          <w:numId w:val="5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purpose of the Five-yearly Review process under this Agreement is not to renegotiate the Agreement. While the review process will not open up the Agreement to re-negotiation, both Parties may agree to modifications to this Agreement to incorporate the results of the review.</w:t>
      </w:r>
    </w:p>
    <w:p>
      <w:pPr>
        <w:spacing w:after="0" w:line="252" w:lineRule="exact"/>
        <w:rPr>
          <w:sz w:val="20"/>
          <w:szCs w:val="20"/>
          <w:color w:val="auto"/>
        </w:rPr>
      </w:pPr>
    </w:p>
    <w:p>
      <w:pPr>
        <w:jc w:val="both"/>
        <w:ind w:left="720" w:hanging="707"/>
        <w:spacing w:after="0" w:line="253" w:lineRule="auto"/>
        <w:tabs>
          <w:tab w:leader="none" w:pos="700" w:val="left"/>
        </w:tabs>
        <w:rPr>
          <w:sz w:val="20"/>
          <w:szCs w:val="20"/>
          <w:color w:val="auto"/>
        </w:rPr>
      </w:pPr>
      <w:r>
        <w:rPr>
          <w:rFonts w:ascii="Times New Roman" w:cs="Times New Roman" w:eastAsia="Times New Roman" w:hAnsi="Times New Roman"/>
          <w:sz w:val="22"/>
          <w:szCs w:val="22"/>
          <w:color w:val="auto"/>
        </w:rPr>
        <w:t>37A</w:t>
      </w:r>
      <w:r>
        <w:rPr>
          <w:rFonts w:ascii="Times New Roman" w:cs="Times New Roman" w:eastAsia="Times New Roman" w:hAnsi="Times New Roman"/>
          <w:sz w:val="22"/>
          <w:szCs w:val="22"/>
          <w:b w:val="1"/>
          <w:bCs w:val="1"/>
          <w:color w:val="auto"/>
        </w:rPr>
        <w:t>.</w:t>
      </w:r>
      <w:r>
        <w:rPr>
          <w:sz w:val="20"/>
          <w:szCs w:val="20"/>
          <w:color w:val="auto"/>
        </w:rPr>
        <w:tab/>
      </w:r>
      <w:r>
        <w:rPr>
          <w:rFonts w:ascii="Times New Roman" w:cs="Times New Roman" w:eastAsia="Times New Roman" w:hAnsi="Times New Roman"/>
          <w:sz w:val="22"/>
          <w:szCs w:val="22"/>
          <w:color w:val="auto"/>
        </w:rPr>
        <w:t xml:space="preserve">The Parties note that the Victorian State of the Forests Report required by the </w:t>
      </w:r>
      <w:r>
        <w:rPr>
          <w:rFonts w:ascii="Times New Roman" w:cs="Times New Roman" w:eastAsia="Times New Roman" w:hAnsi="Times New Roman"/>
          <w:sz w:val="22"/>
          <w:szCs w:val="22"/>
          <w:i w:val="1"/>
          <w:iCs w:val="1"/>
          <w:color w:val="auto"/>
        </w:rPr>
        <w:t>Sustainable Forests</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(Timber) Act 2004 </w:t>
      </w:r>
      <w:r>
        <w:rPr>
          <w:rFonts w:ascii="Times New Roman" w:cs="Times New Roman" w:eastAsia="Times New Roman" w:hAnsi="Times New Roman"/>
          <w:sz w:val="22"/>
          <w:szCs w:val="22"/>
          <w:color w:val="auto"/>
        </w:rPr>
        <w:t>(Vic) provides an ongoing mechanism to monitor implementation of ESFM,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including across key environmental, social and economic indicators. As such, it will be a key source of information in the Five-yearly Reviews under this Agreement.</w:t>
      </w:r>
    </w:p>
    <w:p>
      <w:pPr>
        <w:spacing w:after="0" w:line="247" w:lineRule="exact"/>
        <w:rPr>
          <w:sz w:val="20"/>
          <w:szCs w:val="20"/>
          <w:color w:val="auto"/>
        </w:rPr>
      </w:pPr>
    </w:p>
    <w:p>
      <w:pPr>
        <w:ind w:left="20"/>
        <w:spacing w:after="0"/>
        <w:tabs>
          <w:tab w:leader="none" w:pos="700" w:val="left"/>
        </w:tabs>
        <w:rPr>
          <w:sz w:val="20"/>
          <w:szCs w:val="20"/>
          <w:color w:val="auto"/>
        </w:rPr>
      </w:pPr>
      <w:r>
        <w:rPr>
          <w:rFonts w:ascii="Times New Roman" w:cs="Times New Roman" w:eastAsia="Times New Roman" w:hAnsi="Times New Roman"/>
          <w:sz w:val="22"/>
          <w:szCs w:val="22"/>
          <w:color w:val="auto"/>
        </w:rPr>
        <w:t>37B.</w:t>
      </w:r>
      <w:r>
        <w:rPr>
          <w:sz w:val="20"/>
          <w:szCs w:val="20"/>
          <w:color w:val="auto"/>
        </w:rPr>
        <w:tab/>
      </w:r>
      <w:r>
        <w:rPr>
          <w:rFonts w:ascii="Times New Roman" w:cs="Times New Roman" w:eastAsia="Times New Roman" w:hAnsi="Times New Roman"/>
          <w:sz w:val="22"/>
          <w:szCs w:val="22"/>
          <w:color w:val="auto"/>
        </w:rPr>
        <w:t>The Parties agree that:</w:t>
      </w:r>
    </w:p>
    <w:p>
      <w:pPr>
        <w:spacing w:after="0" w:line="267" w:lineRule="exact"/>
        <w:rPr>
          <w:sz w:val="20"/>
          <w:szCs w:val="20"/>
          <w:color w:val="auto"/>
        </w:rPr>
      </w:pPr>
    </w:p>
    <w:p>
      <w:pPr>
        <w:ind w:left="1420" w:right="40" w:hanging="712"/>
        <w:spacing w:after="0" w:line="235" w:lineRule="auto"/>
        <w:tabs>
          <w:tab w:leader="none" w:pos="1420" w:val="left"/>
        </w:tabs>
        <w:numPr>
          <w:ilvl w:val="0"/>
          <w:numId w:val="5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timing of the Five-yearly Review will align with Victorian and national forest reporting;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22</w:t>
      </w:r>
    </w:p>
    <w:p>
      <w:pPr>
        <w:sectPr>
          <w:pgSz w:w="11900" w:h="16838" w:orient="portrait"/>
          <w:cols w:equalWidth="0" w:num="1">
            <w:col w:w="9240"/>
          </w:cols>
          <w:pgMar w:left="1440" w:top="1440" w:right="1226" w:bottom="149" w:gutter="0" w:footer="0" w:header="0"/>
        </w:sectPr>
      </w:pPr>
    </w:p>
    <w:bookmarkStart w:id="22" w:name="page23"/>
    <w:bookmarkEnd w:id="22"/>
    <w:p>
      <w:pPr>
        <w:spacing w:after="0" w:line="4" w:lineRule="exact"/>
        <w:rPr>
          <w:sz w:val="20"/>
          <w:szCs w:val="20"/>
          <w:color w:val="auto"/>
        </w:rPr>
      </w:pPr>
    </w:p>
    <w:p>
      <w:pPr>
        <w:jc w:val="both"/>
        <w:ind w:left="1420" w:right="60" w:hanging="712"/>
        <w:spacing w:after="0" w:line="251" w:lineRule="auto"/>
        <w:tabs>
          <w:tab w:leader="none" w:pos="1420" w:val="left"/>
        </w:tabs>
        <w:numPr>
          <w:ilvl w:val="0"/>
          <w:numId w:val="56"/>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 xml:space="preserve">consultation and the Further Assessment of Matters Report undertaken in 2019 as part of the process of extending this Agreement, the results of the monitoring of Sustainability Indicators for the national </w:t>
      </w:r>
      <w:r>
        <w:rPr>
          <w:rFonts w:ascii="Times New Roman" w:cs="Times New Roman" w:eastAsia="Times New Roman" w:hAnsi="Times New Roman"/>
          <w:sz w:val="21"/>
          <w:szCs w:val="21"/>
          <w:i w:val="1"/>
          <w:iCs w:val="1"/>
          <w:color w:val="auto"/>
        </w:rPr>
        <w:t>State of the Forests Report 2018</w:t>
      </w:r>
      <w:r>
        <w:rPr>
          <w:rFonts w:ascii="Times New Roman" w:cs="Times New Roman" w:eastAsia="Times New Roman" w:hAnsi="Times New Roman"/>
          <w:sz w:val="21"/>
          <w:szCs w:val="21"/>
          <w:color w:val="auto"/>
        </w:rPr>
        <w:t xml:space="preserve"> and the Victorian </w:t>
      </w:r>
      <w:r>
        <w:rPr>
          <w:rFonts w:ascii="Times New Roman" w:cs="Times New Roman" w:eastAsia="Times New Roman" w:hAnsi="Times New Roman"/>
          <w:sz w:val="21"/>
          <w:szCs w:val="21"/>
          <w:i w:val="1"/>
          <w:iCs w:val="1"/>
          <w:color w:val="auto"/>
        </w:rPr>
        <w:t>State of the</w:t>
      </w:r>
      <w:r>
        <w:rPr>
          <w:rFonts w:ascii="Times New Roman" w:cs="Times New Roman" w:eastAsia="Times New Roman" w:hAnsi="Times New Roman"/>
          <w:sz w:val="21"/>
          <w:szCs w:val="21"/>
          <w:color w:val="auto"/>
        </w:rPr>
        <w:t xml:space="preserve"> </w:t>
      </w:r>
      <w:r>
        <w:rPr>
          <w:rFonts w:ascii="Times New Roman" w:cs="Times New Roman" w:eastAsia="Times New Roman" w:hAnsi="Times New Roman"/>
          <w:sz w:val="21"/>
          <w:szCs w:val="21"/>
          <w:i w:val="1"/>
          <w:iCs w:val="1"/>
          <w:color w:val="auto"/>
        </w:rPr>
        <w:t xml:space="preserve">Forests Report 2018 </w:t>
      </w:r>
      <w:r>
        <w:rPr>
          <w:rFonts w:ascii="Times New Roman" w:cs="Times New Roman" w:eastAsia="Times New Roman" w:hAnsi="Times New Roman"/>
          <w:sz w:val="21"/>
          <w:szCs w:val="21"/>
          <w:color w:val="auto"/>
        </w:rPr>
        <w:t>constitute the Five-yearly Review that was due in 2020; and</w:t>
      </w:r>
    </w:p>
    <w:p>
      <w:pPr>
        <w:spacing w:after="0" w:line="242" w:lineRule="exact"/>
        <w:rPr>
          <w:rFonts w:ascii="Times New Roman" w:cs="Times New Roman" w:eastAsia="Times New Roman" w:hAnsi="Times New Roman"/>
          <w:sz w:val="21"/>
          <w:szCs w:val="21"/>
          <w:color w:val="auto"/>
        </w:rPr>
      </w:pPr>
    </w:p>
    <w:p>
      <w:pPr>
        <w:ind w:left="1420" w:right="60" w:hanging="712"/>
        <w:spacing w:after="0" w:line="234" w:lineRule="auto"/>
        <w:tabs>
          <w:tab w:leader="none" w:pos="1420" w:val="left"/>
        </w:tabs>
        <w:numPr>
          <w:ilvl w:val="0"/>
          <w:numId w:val="5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next Five-yearly Review will commence in 2025 and thereafter, subject to clause 37C, within the last year of each five year period during the term of the Agreement.</w:t>
      </w:r>
    </w:p>
    <w:p>
      <w:pPr>
        <w:spacing w:after="0" w:line="251" w:lineRule="exact"/>
        <w:rPr>
          <w:sz w:val="20"/>
          <w:szCs w:val="20"/>
          <w:color w:val="auto"/>
        </w:rPr>
      </w:pPr>
    </w:p>
    <w:p>
      <w:pPr>
        <w:jc w:val="both"/>
        <w:ind w:left="720" w:right="20" w:hanging="699"/>
        <w:spacing w:after="0" w:line="251" w:lineRule="auto"/>
        <w:tabs>
          <w:tab w:leader="none" w:pos="700" w:val="left"/>
        </w:tabs>
        <w:rPr>
          <w:sz w:val="20"/>
          <w:szCs w:val="20"/>
          <w:color w:val="auto"/>
        </w:rPr>
      </w:pPr>
      <w:r>
        <w:rPr>
          <w:rFonts w:ascii="Times New Roman" w:cs="Times New Roman" w:eastAsia="Times New Roman" w:hAnsi="Times New Roman"/>
          <w:sz w:val="22"/>
          <w:szCs w:val="22"/>
          <w:color w:val="auto"/>
        </w:rPr>
        <w:t>37C.</w:t>
      </w:r>
      <w:r>
        <w:rPr>
          <w:sz w:val="20"/>
          <w:szCs w:val="20"/>
          <w:color w:val="auto"/>
        </w:rPr>
        <w:tab/>
      </w:r>
      <w:r>
        <w:rPr>
          <w:rFonts w:ascii="Times New Roman" w:cs="Times New Roman" w:eastAsia="Times New Roman" w:hAnsi="Times New Roman"/>
          <w:sz w:val="22"/>
          <w:szCs w:val="22"/>
          <w:color w:val="auto"/>
        </w:rPr>
        <w:t>The Parties agree that, where a Five-yearly Review falls due for commencement in the final year of the Agreement, no Five-yearly Review is required to be undertaken, however, Victoria will provide the Commonwealth with a report on the condition trends of MNES present in Victoria.</w:t>
      </w:r>
    </w:p>
    <w:p>
      <w:pPr>
        <w:spacing w:after="0" w:line="24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i w:val="1"/>
          <w:iCs w:val="1"/>
          <w:color w:val="auto"/>
        </w:rPr>
        <w:t>Conduct of Five-yearly Review</w:t>
      </w:r>
    </w:p>
    <w:p>
      <w:pPr>
        <w:spacing w:after="0" w:line="280"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37D.</w:t>
      </w:r>
      <w:r>
        <w:rPr>
          <w:sz w:val="20"/>
          <w:szCs w:val="20"/>
          <w:color w:val="auto"/>
        </w:rPr>
        <w:tab/>
      </w:r>
      <w:r>
        <w:rPr>
          <w:rFonts w:ascii="Times New Roman" w:cs="Times New Roman" w:eastAsia="Times New Roman" w:hAnsi="Times New Roman"/>
          <w:sz w:val="22"/>
          <w:szCs w:val="22"/>
          <w:color w:val="auto"/>
        </w:rPr>
        <w:t>Five-yearly Reviews are to be conducted by a panel (the Panel) comprised of:</w:t>
      </w:r>
    </w:p>
    <w:p>
      <w:pPr>
        <w:spacing w:after="0" w:line="267" w:lineRule="exact"/>
        <w:rPr>
          <w:sz w:val="20"/>
          <w:szCs w:val="20"/>
          <w:color w:val="auto"/>
        </w:rPr>
      </w:pPr>
    </w:p>
    <w:p>
      <w:pPr>
        <w:jc w:val="both"/>
        <w:ind w:left="1420" w:right="60" w:hanging="709"/>
        <w:spacing w:after="0" w:line="236" w:lineRule="auto"/>
        <w:tabs>
          <w:tab w:leader="none" w:pos="142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Victorian Commissioner for Environmental Sustainability or, if there is no Victorian Commissioner for Environmental Sustainability, an independent reviewer selected by Victoria and agreed by the Commonwealth;</w:t>
      </w:r>
    </w:p>
    <w:p>
      <w:pPr>
        <w:spacing w:after="0" w:line="252" w:lineRule="exact"/>
        <w:rPr>
          <w:rFonts w:ascii="Times New Roman" w:cs="Times New Roman" w:eastAsia="Times New Roman" w:hAnsi="Times New Roman"/>
          <w:sz w:val="22"/>
          <w:szCs w:val="22"/>
          <w:color w:val="auto"/>
        </w:rPr>
      </w:pPr>
    </w:p>
    <w:p>
      <w:pPr>
        <w:ind w:left="1420" w:right="60" w:hanging="709"/>
        <w:spacing w:after="0" w:line="235" w:lineRule="auto"/>
        <w:tabs>
          <w:tab w:leader="none" w:pos="142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independent reviewer selected by the Commonwealth of Australia, and agreed by Victoria; and</w:t>
      </w:r>
    </w:p>
    <w:p>
      <w:pPr>
        <w:spacing w:after="0" w:line="239" w:lineRule="exact"/>
        <w:rPr>
          <w:rFonts w:ascii="Times New Roman" w:cs="Times New Roman" w:eastAsia="Times New Roman" w:hAnsi="Times New Roman"/>
          <w:sz w:val="22"/>
          <w:szCs w:val="22"/>
          <w:color w:val="auto"/>
        </w:rPr>
      </w:pPr>
    </w:p>
    <w:p>
      <w:pPr>
        <w:ind w:left="1420" w:hanging="709"/>
        <w:spacing w:after="0"/>
        <w:tabs>
          <w:tab w:leader="none" w:pos="1420" w:val="left"/>
        </w:tabs>
        <w:numPr>
          <w:ilvl w:val="0"/>
          <w:numId w:val="5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other members, as agreed by the Parties.</w:t>
      </w:r>
    </w:p>
    <w:p>
      <w:pPr>
        <w:spacing w:after="0" w:line="253" w:lineRule="exact"/>
        <w:rPr>
          <w:sz w:val="20"/>
          <w:szCs w:val="20"/>
          <w:color w:val="auto"/>
        </w:rPr>
      </w:pPr>
    </w:p>
    <w:p>
      <w:pPr>
        <w:ind w:left="700" w:right="20" w:hanging="699"/>
        <w:spacing w:after="0" w:line="244" w:lineRule="auto"/>
        <w:tabs>
          <w:tab w:leader="none" w:pos="680" w:val="left"/>
        </w:tabs>
        <w:rPr>
          <w:sz w:val="20"/>
          <w:szCs w:val="20"/>
          <w:color w:val="auto"/>
        </w:rPr>
      </w:pPr>
      <w:r>
        <w:rPr>
          <w:rFonts w:ascii="Times New Roman" w:cs="Times New Roman" w:eastAsia="Times New Roman" w:hAnsi="Times New Roman"/>
          <w:sz w:val="22"/>
          <w:szCs w:val="22"/>
          <w:color w:val="auto"/>
        </w:rPr>
        <w:t>37E.</w:t>
      </w:r>
      <w:r>
        <w:rPr>
          <w:sz w:val="20"/>
          <w:szCs w:val="20"/>
          <w:color w:val="auto"/>
        </w:rPr>
        <w:tab/>
      </w:r>
      <w:r>
        <w:rPr>
          <w:rFonts w:ascii="Times New Roman" w:cs="Times New Roman" w:eastAsia="Times New Roman" w:hAnsi="Times New Roman"/>
          <w:sz w:val="22"/>
          <w:szCs w:val="22"/>
          <w:color w:val="auto"/>
        </w:rPr>
        <w:t>For the purposes of clause 37D(c), the Parties will actively consider Traditional Owner representation on the Panel.</w:t>
      </w:r>
    </w:p>
    <w:p>
      <w:pPr>
        <w:spacing w:after="0" w:line="266"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1"/>
          <w:szCs w:val="21"/>
          <w:color w:val="auto"/>
        </w:rPr>
        <w:t>37F.</w:t>
      </w:r>
      <w:r>
        <w:rPr>
          <w:sz w:val="20"/>
          <w:szCs w:val="20"/>
          <w:color w:val="auto"/>
        </w:rPr>
        <w:tab/>
      </w:r>
      <w:r>
        <w:rPr>
          <w:rFonts w:ascii="Times New Roman" w:cs="Times New Roman" w:eastAsia="Times New Roman" w:hAnsi="Times New Roman"/>
          <w:sz w:val="21"/>
          <w:szCs w:val="21"/>
          <w:color w:val="auto"/>
        </w:rPr>
        <w:t>The Parties must jointly prepare and agree upon the terms of an agreement (the Scoping Agreement)</w:t>
      </w:r>
    </w:p>
    <w:p>
      <w:pPr>
        <w:spacing w:after="0" w:line="18"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color w:val="auto"/>
        </w:rPr>
        <w:t>which:</w:t>
      </w:r>
    </w:p>
    <w:p>
      <w:pPr>
        <w:spacing w:after="0" w:line="270" w:lineRule="exact"/>
        <w:rPr>
          <w:sz w:val="20"/>
          <w:szCs w:val="20"/>
          <w:color w:val="auto"/>
        </w:rPr>
      </w:pPr>
    </w:p>
    <w:p>
      <w:pPr>
        <w:ind w:left="1420" w:right="60" w:hanging="712"/>
        <w:spacing w:after="0" w:line="235" w:lineRule="auto"/>
        <w:tabs>
          <w:tab w:leader="none" w:pos="1420" w:val="left"/>
        </w:tabs>
        <w:numPr>
          <w:ilvl w:val="0"/>
          <w:numId w:val="5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sets out the matters which the Panel must consider and report on, which must include the matters specified in clauses 36(a) to (k);</w:t>
      </w:r>
    </w:p>
    <w:p>
      <w:pPr>
        <w:spacing w:after="0" w:line="250" w:lineRule="exact"/>
        <w:rPr>
          <w:rFonts w:ascii="Times New Roman" w:cs="Times New Roman" w:eastAsia="Times New Roman" w:hAnsi="Times New Roman"/>
          <w:sz w:val="22"/>
          <w:szCs w:val="22"/>
          <w:color w:val="auto"/>
        </w:rPr>
      </w:pPr>
    </w:p>
    <w:p>
      <w:pPr>
        <w:ind w:left="1420" w:right="60" w:hanging="712"/>
        <w:spacing w:after="0" w:line="234" w:lineRule="auto"/>
        <w:tabs>
          <w:tab w:leader="none" w:pos="1420" w:val="left"/>
        </w:tabs>
        <w:numPr>
          <w:ilvl w:val="0"/>
          <w:numId w:val="5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includes the proposed approach to consultation and engagement with Traditional Owners, stakeholders and communities; and</w:t>
      </w:r>
    </w:p>
    <w:p>
      <w:pPr>
        <w:spacing w:after="0" w:line="242"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5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identifies any agreed timeframes, priorities, procedures and funding arrangements.</w:t>
      </w:r>
    </w:p>
    <w:p>
      <w:pPr>
        <w:spacing w:after="0" w:line="279" w:lineRule="exact"/>
        <w:rPr>
          <w:sz w:val="20"/>
          <w:szCs w:val="20"/>
          <w:color w:val="auto"/>
        </w:rPr>
      </w:pPr>
    </w:p>
    <w:p>
      <w:pPr>
        <w:jc w:val="both"/>
        <w:ind w:left="700" w:right="20" w:hanging="699"/>
        <w:spacing w:after="0" w:line="236" w:lineRule="auto"/>
        <w:tabs>
          <w:tab w:leader="none" w:pos="680" w:val="left"/>
        </w:tabs>
        <w:rPr>
          <w:sz w:val="20"/>
          <w:szCs w:val="20"/>
          <w:color w:val="auto"/>
        </w:rPr>
      </w:pPr>
      <w:r>
        <w:rPr>
          <w:rFonts w:ascii="Times New Roman" w:cs="Times New Roman" w:eastAsia="Times New Roman" w:hAnsi="Times New Roman"/>
          <w:sz w:val="22"/>
          <w:szCs w:val="22"/>
          <w:color w:val="auto"/>
        </w:rPr>
        <w:t>37G.</w:t>
        <w:tab/>
        <w:t>For the purposes of clause 37F(c), the Parties agree that they will share equally the costs associated with activities that the Parties agree are required to be undertaken for each Five-yearly Review, and that such activities will be set out in the Scoping Agreement.</w:t>
      </w:r>
    </w:p>
    <w:p>
      <w:pPr>
        <w:spacing w:after="0" w:line="267" w:lineRule="exact"/>
        <w:rPr>
          <w:sz w:val="20"/>
          <w:szCs w:val="20"/>
          <w:color w:val="auto"/>
        </w:rPr>
      </w:pPr>
    </w:p>
    <w:p>
      <w:pPr>
        <w:jc w:val="both"/>
        <w:ind w:left="720" w:right="20" w:hanging="699"/>
        <w:spacing w:after="0" w:line="235" w:lineRule="auto"/>
        <w:tabs>
          <w:tab w:leader="none" w:pos="700" w:val="left"/>
        </w:tabs>
        <w:rPr>
          <w:sz w:val="20"/>
          <w:szCs w:val="20"/>
          <w:color w:val="auto"/>
        </w:rPr>
      </w:pPr>
      <w:r>
        <w:rPr>
          <w:rFonts w:ascii="Times New Roman" w:cs="Times New Roman" w:eastAsia="Times New Roman" w:hAnsi="Times New Roman"/>
          <w:sz w:val="22"/>
          <w:szCs w:val="22"/>
          <w:color w:val="auto"/>
        </w:rPr>
        <w:t>37H.</w:t>
      </w:r>
      <w:r>
        <w:rPr>
          <w:sz w:val="20"/>
          <w:szCs w:val="20"/>
          <w:color w:val="auto"/>
        </w:rPr>
        <w:tab/>
      </w:r>
      <w:r>
        <w:rPr>
          <w:rFonts w:ascii="Times New Roman" w:cs="Times New Roman" w:eastAsia="Times New Roman" w:hAnsi="Times New Roman"/>
          <w:sz w:val="22"/>
          <w:szCs w:val="22"/>
          <w:color w:val="auto"/>
        </w:rPr>
        <w:t>The Parties must jointly prepare a report (the Supplementary Report) that supplements the Victorian State of the Forests Report by providing any additional information or data required in order to:</w:t>
      </w:r>
    </w:p>
    <w:p>
      <w:pPr>
        <w:spacing w:after="0" w:line="244" w:lineRule="exact"/>
        <w:rPr>
          <w:sz w:val="20"/>
          <w:szCs w:val="20"/>
          <w:color w:val="auto"/>
        </w:rPr>
      </w:pPr>
    </w:p>
    <w:p>
      <w:pPr>
        <w:ind w:left="1420" w:hanging="712"/>
        <w:spacing w:after="0"/>
        <w:tabs>
          <w:tab w:leader="none" w:pos="142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 the consultation and engagement; and</w:t>
      </w:r>
    </w:p>
    <w:p>
      <w:pPr>
        <w:spacing w:after="0" w:line="250" w:lineRule="exact"/>
        <w:rPr>
          <w:rFonts w:ascii="Times New Roman" w:cs="Times New Roman" w:eastAsia="Times New Roman" w:hAnsi="Times New Roman"/>
          <w:sz w:val="22"/>
          <w:szCs w:val="22"/>
          <w:color w:val="auto"/>
        </w:rPr>
      </w:pPr>
    </w:p>
    <w:p>
      <w:pPr>
        <w:ind w:left="1420" w:right="60" w:hanging="712"/>
        <w:spacing w:after="0" w:line="235" w:lineRule="auto"/>
        <w:tabs>
          <w:tab w:leader="none" w:pos="1420" w:val="left"/>
        </w:tabs>
        <w:numPr>
          <w:ilvl w:val="0"/>
          <w:numId w:val="5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enable the Panel to consider the Parties’ progress in achieving the outcomes set out in clauses 36(a) to (k).</w:t>
      </w:r>
    </w:p>
    <w:p>
      <w:pPr>
        <w:spacing w:after="0" w:line="239"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37I.</w:t>
      </w:r>
      <w:r>
        <w:rPr>
          <w:sz w:val="20"/>
          <w:szCs w:val="20"/>
          <w:color w:val="auto"/>
        </w:rPr>
        <w:tab/>
      </w:r>
      <w:r>
        <w:rPr>
          <w:rFonts w:ascii="Times New Roman" w:cs="Times New Roman" w:eastAsia="Times New Roman" w:hAnsi="Times New Roman"/>
          <w:sz w:val="22"/>
          <w:szCs w:val="22"/>
          <w:color w:val="auto"/>
        </w:rPr>
        <w:t>The Parties agree that, in conducting each Five-yearly Review, the Panel will be engaged to: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23</w:t>
      </w:r>
    </w:p>
    <w:p>
      <w:pPr>
        <w:sectPr>
          <w:pgSz w:w="11900" w:h="16838" w:orient="portrait"/>
          <w:cols w:equalWidth="0" w:num="1">
            <w:col w:w="9260"/>
          </w:cols>
          <w:pgMar w:left="1440" w:top="1440" w:right="1206" w:bottom="149" w:gutter="0" w:footer="0" w:header="0"/>
        </w:sectPr>
      </w:pPr>
    </w:p>
    <w:bookmarkStart w:id="23" w:name="page24"/>
    <w:bookmarkEnd w:id="23"/>
    <w:p>
      <w:pPr>
        <w:spacing w:after="0" w:line="4" w:lineRule="exact"/>
        <w:rPr>
          <w:sz w:val="20"/>
          <w:szCs w:val="20"/>
          <w:color w:val="auto"/>
        </w:rPr>
      </w:pPr>
    </w:p>
    <w:p>
      <w:pPr>
        <w:ind w:left="1420" w:right="40" w:hanging="712"/>
        <w:spacing w:after="0" w:line="234" w:lineRule="auto"/>
        <w:tabs>
          <w:tab w:leader="none" w:pos="142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 the matters specified in clauses 36(a) to (k) and any other matters outlined in the Scoping Agreement developed pursuant to clause 37F, having regard to:</w:t>
      </w:r>
    </w:p>
    <w:p>
      <w:pPr>
        <w:spacing w:after="0" w:line="241"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Victorian State of the Forests Report;</w:t>
      </w:r>
    </w:p>
    <w:p>
      <w:pPr>
        <w:spacing w:after="0" w:line="239"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Supplementary Report;</w:t>
      </w:r>
    </w:p>
    <w:p>
      <w:pPr>
        <w:spacing w:after="0" w:line="252" w:lineRule="exact"/>
        <w:rPr>
          <w:rFonts w:ascii="Times New Roman" w:cs="Times New Roman" w:eastAsia="Times New Roman" w:hAnsi="Times New Roman"/>
          <w:sz w:val="22"/>
          <w:szCs w:val="22"/>
          <w:color w:val="auto"/>
        </w:rPr>
      </w:pPr>
    </w:p>
    <w:p>
      <w:pPr>
        <w:ind w:left="2120" w:right="40" w:hanging="701"/>
        <w:spacing w:after="0" w:line="234" w:lineRule="auto"/>
        <w:tabs>
          <w:tab w:leader="none" w:pos="212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statements prepared jointly by the Parties pursuant to clause 35B of this Agreement as part of the annual meeting procedure;</w:t>
      </w:r>
    </w:p>
    <w:p>
      <w:pPr>
        <w:spacing w:after="0" w:line="250" w:lineRule="exact"/>
        <w:rPr>
          <w:rFonts w:ascii="Times New Roman" w:cs="Times New Roman" w:eastAsia="Times New Roman" w:hAnsi="Times New Roman"/>
          <w:sz w:val="22"/>
          <w:szCs w:val="22"/>
          <w:color w:val="auto"/>
        </w:rPr>
      </w:pPr>
    </w:p>
    <w:p>
      <w:pPr>
        <w:ind w:left="2120" w:right="60" w:hanging="701"/>
        <w:spacing w:after="0" w:line="235" w:lineRule="auto"/>
        <w:tabs>
          <w:tab w:leader="none" w:pos="212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feedback received from consultation and engagement undertaken to inform the Five-yearly Review; and</w:t>
      </w:r>
    </w:p>
    <w:p>
      <w:pPr>
        <w:spacing w:after="0" w:line="251" w:lineRule="exact"/>
        <w:rPr>
          <w:rFonts w:ascii="Times New Roman" w:cs="Times New Roman" w:eastAsia="Times New Roman" w:hAnsi="Times New Roman"/>
          <w:sz w:val="22"/>
          <w:szCs w:val="22"/>
          <w:color w:val="auto"/>
        </w:rPr>
      </w:pPr>
    </w:p>
    <w:p>
      <w:pPr>
        <w:ind w:left="2120" w:right="40" w:hanging="701"/>
        <w:spacing w:after="0" w:line="235" w:lineRule="auto"/>
        <w:tabs>
          <w:tab w:leader="none" w:pos="2120" w:val="left"/>
        </w:tabs>
        <w:numPr>
          <w:ilvl w:val="1"/>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other public reports which the Panel considers relevant to the matters that are to be considered by it;</w:t>
      </w:r>
    </w:p>
    <w:p>
      <w:pPr>
        <w:spacing w:after="0" w:line="250" w:lineRule="exact"/>
        <w:rPr>
          <w:rFonts w:ascii="Times New Roman" w:cs="Times New Roman" w:eastAsia="Times New Roman" w:hAnsi="Times New Roman"/>
          <w:sz w:val="22"/>
          <w:szCs w:val="22"/>
          <w:color w:val="auto"/>
        </w:rPr>
      </w:pPr>
    </w:p>
    <w:p>
      <w:pPr>
        <w:jc w:val="both"/>
        <w:ind w:left="1420" w:right="40" w:hanging="712"/>
        <w:spacing w:after="0" w:line="236" w:lineRule="auto"/>
        <w:tabs>
          <w:tab w:leader="none" w:pos="142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set the strategic direction for, agree the approach to and take into account feedback received from consultation and engagement with Traditional Owners, stakeholders and communities to inform the Five-yearly Review; and</w:t>
      </w:r>
    </w:p>
    <w:p>
      <w:pPr>
        <w:spacing w:after="0" w:line="252" w:lineRule="exact"/>
        <w:rPr>
          <w:rFonts w:ascii="Times New Roman" w:cs="Times New Roman" w:eastAsia="Times New Roman" w:hAnsi="Times New Roman"/>
          <w:sz w:val="22"/>
          <w:szCs w:val="22"/>
          <w:color w:val="auto"/>
        </w:rPr>
      </w:pPr>
    </w:p>
    <w:p>
      <w:pPr>
        <w:ind w:left="1420" w:right="40" w:hanging="712"/>
        <w:spacing w:after="0" w:line="235" w:lineRule="auto"/>
        <w:tabs>
          <w:tab w:leader="none" w:pos="1420" w:val="left"/>
        </w:tabs>
        <w:numPr>
          <w:ilvl w:val="0"/>
          <w:numId w:val="6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develop and submit a report (the Five-yearly Review Report) detailing the Panel’s findings and recommendations,</w:t>
      </w:r>
    </w:p>
    <w:p>
      <w:pPr>
        <w:spacing w:after="0" w:line="239" w:lineRule="exact"/>
        <w:rPr>
          <w:sz w:val="20"/>
          <w:szCs w:val="20"/>
          <w:color w:val="auto"/>
        </w:rPr>
      </w:pPr>
    </w:p>
    <w:p>
      <w:pPr>
        <w:jc w:val="center"/>
        <w:ind w:right="-59"/>
        <w:spacing w:after="0"/>
        <w:rPr>
          <w:sz w:val="20"/>
          <w:szCs w:val="20"/>
          <w:color w:val="auto"/>
        </w:rPr>
      </w:pPr>
      <w:r>
        <w:rPr>
          <w:rFonts w:ascii="Times New Roman" w:cs="Times New Roman" w:eastAsia="Times New Roman" w:hAnsi="Times New Roman"/>
          <w:sz w:val="22"/>
          <w:szCs w:val="22"/>
          <w:color w:val="auto"/>
        </w:rPr>
        <w:t>in accordance with the terms of and the timeframes prescribed in the Scoping Agreement.</w:t>
      </w:r>
    </w:p>
    <w:p>
      <w:pPr>
        <w:spacing w:after="0" w:line="278" w:lineRule="exact"/>
        <w:rPr>
          <w:sz w:val="20"/>
          <w:szCs w:val="20"/>
          <w:color w:val="auto"/>
        </w:rPr>
      </w:pPr>
    </w:p>
    <w:p>
      <w:pPr>
        <w:ind w:left="720" w:hanging="720"/>
        <w:spacing w:after="0"/>
        <w:tabs>
          <w:tab w:leader="none" w:pos="720" w:val="left"/>
        </w:tabs>
        <w:numPr>
          <w:ilvl w:val="0"/>
          <w:numId w:val="6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sz w:val="20"/>
          <w:szCs w:val="20"/>
          <w:color w:val="auto"/>
        </w:rPr>
      </w:pPr>
    </w:p>
    <w:p>
      <w:pPr>
        <w:jc w:val="both"/>
        <w:ind w:left="700" w:hanging="707"/>
        <w:spacing w:after="0" w:line="271" w:lineRule="auto"/>
        <w:tabs>
          <w:tab w:leader="none" w:pos="680" w:val="left"/>
        </w:tabs>
        <w:rPr>
          <w:sz w:val="20"/>
          <w:szCs w:val="20"/>
          <w:color w:val="auto"/>
        </w:rPr>
      </w:pPr>
      <w:r>
        <w:rPr>
          <w:rFonts w:ascii="Times New Roman" w:cs="Times New Roman" w:eastAsia="Times New Roman" w:hAnsi="Times New Roman"/>
          <w:sz w:val="22"/>
          <w:szCs w:val="22"/>
          <w:color w:val="auto"/>
        </w:rPr>
        <w:t>38A.</w:t>
      </w:r>
      <w:r>
        <w:rPr>
          <w:sz w:val="20"/>
          <w:szCs w:val="20"/>
          <w:color w:val="auto"/>
        </w:rPr>
        <w:tab/>
      </w:r>
      <w:r>
        <w:rPr>
          <w:rFonts w:ascii="Times New Roman" w:cs="Times New Roman" w:eastAsia="Times New Roman" w:hAnsi="Times New Roman"/>
          <w:sz w:val="22"/>
          <w:szCs w:val="22"/>
          <w:color w:val="auto"/>
        </w:rPr>
        <w:t xml:space="preserve">In accordance with subsection 10(6) of the </w:t>
      </w:r>
      <w:r>
        <w:rPr>
          <w:rFonts w:ascii="Times New Roman" w:cs="Times New Roman" w:eastAsia="Times New Roman" w:hAnsi="Times New Roman"/>
          <w:sz w:val="22"/>
          <w:szCs w:val="22"/>
          <w:i w:val="1"/>
          <w:iCs w:val="1"/>
          <w:color w:val="auto"/>
        </w:rPr>
        <w:t>Regional Forest Agreements Act 2002</w:t>
      </w:r>
      <w:r>
        <w:rPr>
          <w:rFonts w:ascii="Times New Roman" w:cs="Times New Roman" w:eastAsia="Times New Roman" w:hAnsi="Times New Roman"/>
          <w:sz w:val="22"/>
          <w:szCs w:val="22"/>
          <w:color w:val="auto"/>
        </w:rPr>
        <w:t xml:space="preserve"> (Cth), the Commonwealth Minister responsible for forestry will table each Five-yearly Review Report in each House of the Parliament within 15 sitting days of that House after the report is provided to the Minister.</w:t>
      </w:r>
    </w:p>
    <w:p>
      <w:pPr>
        <w:spacing w:after="0" w:line="250"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38B.</w:t>
      </w:r>
      <w:r>
        <w:rPr>
          <w:sz w:val="20"/>
          <w:szCs w:val="20"/>
          <w:color w:val="auto"/>
        </w:rPr>
        <w:tab/>
      </w:r>
      <w:r>
        <w:rPr>
          <w:rFonts w:ascii="Times New Roman" w:cs="Times New Roman" w:eastAsia="Times New Roman" w:hAnsi="Times New Roman"/>
          <w:sz w:val="22"/>
          <w:szCs w:val="22"/>
          <w:color w:val="auto"/>
        </w:rPr>
        <w:t>The Parties agree to:</w:t>
      </w:r>
    </w:p>
    <w:p>
      <w:pPr>
        <w:spacing w:after="0" w:line="267" w:lineRule="exact"/>
        <w:rPr>
          <w:sz w:val="20"/>
          <w:szCs w:val="20"/>
          <w:color w:val="auto"/>
        </w:rPr>
      </w:pPr>
    </w:p>
    <w:p>
      <w:pPr>
        <w:ind w:left="1420" w:right="40" w:hanging="712"/>
        <w:spacing w:after="0" w:line="235" w:lineRule="auto"/>
        <w:tabs>
          <w:tab w:leader="none" w:pos="1420" w:val="left"/>
        </w:tabs>
        <w:numPr>
          <w:ilvl w:val="0"/>
          <w:numId w:val="6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meet to consider the findings and recommendations of each Five-yearly Review Report; and</w:t>
      </w:r>
    </w:p>
    <w:p>
      <w:pPr>
        <w:spacing w:after="0" w:line="251" w:lineRule="exact"/>
        <w:rPr>
          <w:rFonts w:ascii="Times New Roman" w:cs="Times New Roman" w:eastAsia="Times New Roman" w:hAnsi="Times New Roman"/>
          <w:sz w:val="22"/>
          <w:szCs w:val="22"/>
          <w:color w:val="auto"/>
        </w:rPr>
      </w:pPr>
    </w:p>
    <w:p>
      <w:pPr>
        <w:jc w:val="both"/>
        <w:ind w:left="1420" w:right="40" w:hanging="712"/>
        <w:spacing w:after="0" w:line="236" w:lineRule="auto"/>
        <w:tabs>
          <w:tab w:leader="none" w:pos="1420" w:val="left"/>
        </w:tabs>
        <w:numPr>
          <w:ilvl w:val="0"/>
          <w:numId w:val="6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publish a joint government response to the recommendations within six months of the publication of the Five-yearly Review Report, which will provide details of any actions that the Parties agree to take, either jointly or individually.</w:t>
      </w:r>
    </w:p>
    <w:p>
      <w:pPr>
        <w:spacing w:after="0" w:line="255" w:lineRule="exact"/>
        <w:rPr>
          <w:sz w:val="20"/>
          <w:szCs w:val="20"/>
          <w:color w:val="auto"/>
        </w:rPr>
      </w:pPr>
    </w:p>
    <w:p>
      <w:pPr>
        <w:jc w:val="both"/>
        <w:ind w:left="700" w:hanging="699"/>
        <w:spacing w:after="0" w:line="250" w:lineRule="auto"/>
        <w:tabs>
          <w:tab w:leader="none" w:pos="680" w:val="left"/>
        </w:tabs>
        <w:rPr>
          <w:sz w:val="20"/>
          <w:szCs w:val="20"/>
          <w:color w:val="auto"/>
        </w:rPr>
      </w:pPr>
      <w:r>
        <w:rPr>
          <w:rFonts w:ascii="Times New Roman" w:cs="Times New Roman" w:eastAsia="Times New Roman" w:hAnsi="Times New Roman"/>
          <w:sz w:val="22"/>
          <w:szCs w:val="22"/>
          <w:color w:val="auto"/>
        </w:rPr>
        <w:t>38C.</w:t>
      </w:r>
      <w:r>
        <w:rPr>
          <w:sz w:val="20"/>
          <w:szCs w:val="20"/>
          <w:color w:val="auto"/>
        </w:rPr>
        <w:tab/>
      </w:r>
      <w:r>
        <w:rPr>
          <w:rFonts w:ascii="Times New Roman" w:cs="Times New Roman" w:eastAsia="Times New Roman" w:hAnsi="Times New Roman"/>
          <w:sz w:val="22"/>
          <w:szCs w:val="22"/>
          <w:color w:val="auto"/>
        </w:rPr>
        <w:t>In the development of a joint government response pursuant to clause 38B, Victoria will consult with Traditional Owners in relation to the findings and recommendations contained in the Five-yearly Review Report.</w:t>
      </w:r>
    </w:p>
    <w:p>
      <w:pPr>
        <w:spacing w:after="0" w:line="200" w:lineRule="exact"/>
        <w:rPr>
          <w:sz w:val="20"/>
          <w:szCs w:val="20"/>
          <w:color w:val="auto"/>
        </w:rPr>
      </w:pPr>
    </w:p>
    <w:p>
      <w:pPr>
        <w:spacing w:after="0" w:line="214" w:lineRule="exact"/>
        <w:rPr>
          <w:sz w:val="20"/>
          <w:szCs w:val="20"/>
          <w:color w:val="auto"/>
        </w:rPr>
      </w:pPr>
    </w:p>
    <w:p>
      <w:pPr>
        <w:jc w:val="both"/>
        <w:ind w:left="700" w:hanging="705"/>
        <w:spacing w:after="0" w:line="250" w:lineRule="auto"/>
        <w:tabs>
          <w:tab w:leader="none" w:pos="680" w:val="left"/>
        </w:tabs>
        <w:rPr>
          <w:sz w:val="20"/>
          <w:szCs w:val="20"/>
          <w:color w:val="auto"/>
        </w:rPr>
      </w:pPr>
      <w:r>
        <w:rPr>
          <w:rFonts w:ascii="Times New Roman" w:cs="Times New Roman" w:eastAsia="Times New Roman" w:hAnsi="Times New Roman"/>
          <w:sz w:val="22"/>
          <w:szCs w:val="22"/>
          <w:color w:val="auto"/>
        </w:rPr>
        <w:t>38D.</w:t>
      </w:r>
      <w:r>
        <w:rPr>
          <w:sz w:val="20"/>
          <w:szCs w:val="20"/>
          <w:color w:val="auto"/>
        </w:rPr>
        <w:tab/>
      </w:r>
      <w:r>
        <w:rPr>
          <w:rFonts w:ascii="Times New Roman" w:cs="Times New Roman" w:eastAsia="Times New Roman" w:hAnsi="Times New Roman"/>
          <w:sz w:val="22"/>
          <w:szCs w:val="22"/>
          <w:color w:val="auto"/>
        </w:rPr>
        <w:t>The Parties agree to work collaboratively to implement the Parties’ commitments in the joint government response released by the Parties pursuant to clause 38B(b) of this Agreement.</w:t>
      </w:r>
    </w:p>
    <w:p>
      <w:pPr>
        <w:spacing w:after="0" w:line="25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i w:val="1"/>
          <w:iCs w:val="1"/>
          <w:color w:val="auto"/>
        </w:rPr>
        <w:t>Satisfactory completion of Five-yearly Review</w:t>
      </w:r>
    </w:p>
    <w:p>
      <w:pPr>
        <w:spacing w:after="0" w:line="289" w:lineRule="exact"/>
        <w:rPr>
          <w:sz w:val="20"/>
          <w:szCs w:val="20"/>
          <w:color w:val="auto"/>
        </w:rPr>
      </w:pPr>
    </w:p>
    <w:p>
      <w:pPr>
        <w:jc w:val="both"/>
        <w:ind w:left="700" w:hanging="699"/>
        <w:spacing w:after="0" w:line="252" w:lineRule="auto"/>
        <w:tabs>
          <w:tab w:leader="none" w:pos="680" w:val="left"/>
        </w:tabs>
        <w:rPr>
          <w:sz w:val="20"/>
          <w:szCs w:val="20"/>
          <w:color w:val="auto"/>
        </w:rPr>
      </w:pPr>
      <w:r>
        <w:rPr>
          <w:rFonts w:ascii="Times New Roman" w:cs="Times New Roman" w:eastAsia="Times New Roman" w:hAnsi="Times New Roman"/>
          <w:sz w:val="22"/>
          <w:szCs w:val="22"/>
          <w:color w:val="auto"/>
        </w:rPr>
        <w:t>38E.</w:t>
      </w:r>
      <w:r>
        <w:rPr>
          <w:sz w:val="20"/>
          <w:szCs w:val="20"/>
          <w:color w:val="auto"/>
        </w:rPr>
        <w:tab/>
      </w:r>
      <w:r>
        <w:rPr>
          <w:rFonts w:ascii="Times New Roman" w:cs="Times New Roman" w:eastAsia="Times New Roman" w:hAnsi="Times New Roman"/>
          <w:sz w:val="22"/>
          <w:szCs w:val="22"/>
          <w:color w:val="auto"/>
        </w:rPr>
        <w:t>A Five-yearly Review will be satisfactorily completed upon the public release of the joint government response to the Five-yearly Review Report pursuant to clause 38B(b) of this Agreement.</w:t>
      </w:r>
    </w:p>
    <w:p>
      <w:pPr>
        <w:spacing w:after="0" w:line="200" w:lineRule="exact"/>
        <w:rPr>
          <w:sz w:val="20"/>
          <w:szCs w:val="20"/>
          <w:color w:val="auto"/>
        </w:rPr>
      </w:pPr>
    </w:p>
    <w:p>
      <w:pPr>
        <w:spacing w:after="0" w:line="200" w:lineRule="exact"/>
        <w:rPr>
          <w:sz w:val="20"/>
          <w:szCs w:val="20"/>
          <w:color w:val="auto"/>
        </w:rPr>
      </w:pPr>
    </w:p>
    <w:p>
      <w:pPr>
        <w:spacing w:after="0" w:line="351"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24</w:t>
      </w:r>
    </w:p>
    <w:p>
      <w:pPr>
        <w:sectPr>
          <w:pgSz w:w="11900" w:h="16838" w:orient="portrait"/>
          <w:cols w:equalWidth="0" w:num="1">
            <w:col w:w="9240"/>
          </w:cols>
          <w:pgMar w:left="1440" w:top="1440" w:right="1226" w:bottom="149" w:gutter="0" w:footer="0" w:header="0"/>
        </w:sectPr>
      </w:pPr>
    </w:p>
    <w:bookmarkStart w:id="24" w:name="page25"/>
    <w:bookmarkEnd w:id="24"/>
    <w:p>
      <w:pPr>
        <w:spacing w:after="0"/>
        <w:rPr>
          <w:sz w:val="20"/>
          <w:szCs w:val="20"/>
          <w:color w:val="auto"/>
        </w:rPr>
      </w:pPr>
      <w:r>
        <w:rPr>
          <w:rFonts w:ascii="Times New Roman" w:cs="Times New Roman" w:eastAsia="Times New Roman" w:hAnsi="Times New Roman"/>
          <w:sz w:val="22"/>
          <w:szCs w:val="22"/>
          <w:b w:val="1"/>
          <w:bCs w:val="1"/>
          <w:color w:val="auto"/>
        </w:rPr>
        <w:t>Major Event Review</w:t>
      </w:r>
    </w:p>
    <w:p>
      <w:pPr>
        <w:spacing w:after="0" w:line="267" w:lineRule="exact"/>
        <w:rPr>
          <w:sz w:val="20"/>
          <w:szCs w:val="20"/>
          <w:color w:val="auto"/>
        </w:rPr>
      </w:pPr>
    </w:p>
    <w:p>
      <w:pPr>
        <w:ind w:left="700" w:hanging="699"/>
        <w:spacing w:after="0" w:line="248" w:lineRule="auto"/>
        <w:tabs>
          <w:tab w:leader="none" w:pos="680" w:val="left"/>
        </w:tabs>
        <w:rPr>
          <w:sz w:val="20"/>
          <w:szCs w:val="20"/>
          <w:color w:val="auto"/>
        </w:rPr>
      </w:pPr>
      <w:r>
        <w:rPr>
          <w:rFonts w:ascii="Times New Roman" w:cs="Times New Roman" w:eastAsia="Times New Roman" w:hAnsi="Times New Roman"/>
          <w:sz w:val="22"/>
          <w:szCs w:val="22"/>
          <w:color w:val="auto"/>
        </w:rPr>
        <w:t>38F.</w:t>
      </w:r>
      <w:r>
        <w:rPr>
          <w:sz w:val="20"/>
          <w:szCs w:val="20"/>
          <w:color w:val="auto"/>
        </w:rPr>
        <w:tab/>
      </w:r>
      <w:r>
        <w:rPr>
          <w:rFonts w:ascii="Times New Roman" w:cs="Times New Roman" w:eastAsia="Times New Roman" w:hAnsi="Times New Roman"/>
          <w:sz w:val="22"/>
          <w:szCs w:val="22"/>
          <w:color w:val="auto"/>
        </w:rPr>
        <w:t>Subject to clause 38G, within six months of the occurrence of a Major Event, the Parties may jointly agree to conduct a review to assess the impacts of the Major Event on the:</w:t>
      </w:r>
    </w:p>
    <w:p>
      <w:pPr>
        <w:spacing w:after="0" w:line="250" w:lineRule="exact"/>
        <w:rPr>
          <w:sz w:val="20"/>
          <w:szCs w:val="20"/>
          <w:color w:val="auto"/>
        </w:rPr>
      </w:pPr>
    </w:p>
    <w:p>
      <w:pPr>
        <w:ind w:left="1420" w:hanging="714"/>
        <w:spacing w:after="0"/>
        <w:tabs>
          <w:tab w:leader="none" w:pos="142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operation of the Agreement;</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ESFM;</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CAR Reserve System;</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effective management and protection of MNES;</w:t>
      </w:r>
    </w:p>
    <w:p>
      <w:pPr>
        <w:spacing w:after="0" w:line="242"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Harvest Level; or</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6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long-term stability of Forests and Forest Industries.</w:t>
      </w:r>
    </w:p>
    <w:p>
      <w:pPr>
        <w:spacing w:after="0" w:line="241"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38G.</w:t>
      </w:r>
      <w:r>
        <w:rPr>
          <w:sz w:val="20"/>
          <w:szCs w:val="20"/>
          <w:color w:val="auto"/>
        </w:rPr>
        <w:tab/>
      </w:r>
      <w:r>
        <w:rPr>
          <w:rFonts w:ascii="Times New Roman" w:cs="Times New Roman" w:eastAsia="Times New Roman" w:hAnsi="Times New Roman"/>
          <w:sz w:val="22"/>
          <w:szCs w:val="22"/>
          <w:color w:val="auto"/>
        </w:rPr>
        <w:t>A review pursuant to clause 38F of this Agreement:</w:t>
      </w:r>
    </w:p>
    <w:p>
      <w:pPr>
        <w:spacing w:after="0" w:line="239" w:lineRule="exact"/>
        <w:rPr>
          <w:sz w:val="20"/>
          <w:szCs w:val="20"/>
          <w:color w:val="auto"/>
        </w:rPr>
      </w:pPr>
    </w:p>
    <w:p>
      <w:pPr>
        <w:ind w:left="1420" w:hanging="714"/>
        <w:spacing w:after="0"/>
        <w:tabs>
          <w:tab w:leader="none" w:pos="1420" w:val="left"/>
        </w:tabs>
        <w:numPr>
          <w:ilvl w:val="0"/>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can only be undertaken if both Parties jointly agree to undertake the review;</w:t>
      </w:r>
    </w:p>
    <w:p>
      <w:pPr>
        <w:spacing w:after="0" w:line="252" w:lineRule="exact"/>
        <w:rPr>
          <w:rFonts w:ascii="Times New Roman" w:cs="Times New Roman" w:eastAsia="Times New Roman" w:hAnsi="Times New Roman"/>
          <w:sz w:val="22"/>
          <w:szCs w:val="22"/>
          <w:color w:val="auto"/>
        </w:rPr>
      </w:pPr>
    </w:p>
    <w:p>
      <w:pPr>
        <w:ind w:left="1420" w:right="40" w:hanging="714"/>
        <w:spacing w:after="0" w:line="234" w:lineRule="auto"/>
        <w:tabs>
          <w:tab w:leader="none" w:pos="1420" w:val="left"/>
        </w:tabs>
        <w:numPr>
          <w:ilvl w:val="0"/>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to be conducted by a Panel constituted in accordance with clause 37D of this Agreement;</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to be jointly funded by the Parties in accordance with clause 38H;</w:t>
      </w:r>
    </w:p>
    <w:p>
      <w:pPr>
        <w:spacing w:after="0" w:line="253" w:lineRule="exact"/>
        <w:rPr>
          <w:rFonts w:ascii="Times New Roman" w:cs="Times New Roman" w:eastAsia="Times New Roman" w:hAnsi="Times New Roman"/>
          <w:sz w:val="22"/>
          <w:szCs w:val="22"/>
          <w:color w:val="auto"/>
        </w:rPr>
      </w:pPr>
    </w:p>
    <w:p>
      <w:pPr>
        <w:jc w:val="both"/>
        <w:ind w:left="1420" w:right="40" w:hanging="714"/>
        <w:spacing w:after="0" w:line="236" w:lineRule="auto"/>
        <w:tabs>
          <w:tab w:leader="none" w:pos="1420" w:val="left"/>
        </w:tabs>
        <w:numPr>
          <w:ilvl w:val="0"/>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must include public consultation and an assessment of the impacts of the Major Event on Environment and Heritage Values, Listed Species and Communities, Ecosystem Services, economic and social values; and</w:t>
      </w:r>
    </w:p>
    <w:p>
      <w:pPr>
        <w:spacing w:after="0" w:line="240"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can constitute a Five-yearly Review if it:</w:t>
      </w:r>
    </w:p>
    <w:p>
      <w:pPr>
        <w:spacing w:after="0" w:line="239"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agreed by both Parties;</w:t>
      </w:r>
    </w:p>
    <w:p>
      <w:pPr>
        <w:spacing w:after="0" w:line="241"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carried out for the whole of the RFA Region;</w:t>
      </w:r>
    </w:p>
    <w:p>
      <w:pPr>
        <w:spacing w:after="0" w:line="250" w:lineRule="exact"/>
        <w:rPr>
          <w:rFonts w:ascii="Times New Roman" w:cs="Times New Roman" w:eastAsia="Times New Roman" w:hAnsi="Times New Roman"/>
          <w:sz w:val="22"/>
          <w:szCs w:val="22"/>
          <w:color w:val="auto"/>
        </w:rPr>
      </w:pPr>
    </w:p>
    <w:p>
      <w:pPr>
        <w:ind w:left="2120" w:right="40" w:hanging="701"/>
        <w:spacing w:after="0" w:line="235" w:lineRule="auto"/>
        <w:tabs>
          <w:tab w:leader="none" w:pos="2120" w:val="left"/>
        </w:tabs>
        <w:numPr>
          <w:ilvl w:val="1"/>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conducted within one year of the date on which the Five-yearly Review is due to be commenced pursuant to clause 37B(c);</w:t>
      </w:r>
    </w:p>
    <w:p>
      <w:pPr>
        <w:spacing w:after="0" w:line="251"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64"/>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meets the purpose and scope of a Five-yearly Review described in clause 36; and</w:t>
      </w:r>
    </w:p>
    <w:p>
      <w:pPr>
        <w:spacing w:after="0" w:line="239" w:lineRule="exact"/>
        <w:rPr>
          <w:rFonts w:ascii="Times New Roman" w:cs="Times New Roman" w:eastAsia="Times New Roman" w:hAnsi="Times New Roman"/>
          <w:sz w:val="21"/>
          <w:szCs w:val="21"/>
          <w:color w:val="auto"/>
        </w:rPr>
      </w:pPr>
    </w:p>
    <w:p>
      <w:pPr>
        <w:ind w:left="2120" w:hanging="701"/>
        <w:spacing w:after="0"/>
        <w:tabs>
          <w:tab w:leader="none" w:pos="2120" w:val="left"/>
        </w:tabs>
        <w:numPr>
          <w:ilvl w:val="1"/>
          <w:numId w:val="6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conducted in accordance with clauses 37D – 38E.</w:t>
      </w:r>
    </w:p>
    <w:p>
      <w:pPr>
        <w:spacing w:after="0" w:line="253" w:lineRule="exact"/>
        <w:rPr>
          <w:sz w:val="20"/>
          <w:szCs w:val="20"/>
          <w:color w:val="auto"/>
        </w:rPr>
      </w:pPr>
    </w:p>
    <w:p>
      <w:pPr>
        <w:jc w:val="both"/>
        <w:ind w:left="700" w:hanging="699"/>
        <w:spacing w:after="0" w:line="252" w:lineRule="auto"/>
        <w:tabs>
          <w:tab w:leader="none" w:pos="680" w:val="left"/>
        </w:tabs>
        <w:rPr>
          <w:sz w:val="20"/>
          <w:szCs w:val="20"/>
          <w:color w:val="auto"/>
        </w:rPr>
      </w:pPr>
      <w:r>
        <w:rPr>
          <w:rFonts w:ascii="Times New Roman" w:cs="Times New Roman" w:eastAsia="Times New Roman" w:hAnsi="Times New Roman"/>
          <w:sz w:val="22"/>
          <w:szCs w:val="22"/>
          <w:color w:val="auto"/>
        </w:rPr>
        <w:t>38H.</w:t>
        <w:tab/>
        <w:t>For the purposes of clause 38G(c), the Parties agree that they will share equally the costs associated with activities that the Parties agree are required to be undertaken for each Major Event Review, and that such activities will be set out in a Scoping Agreement prepared in accordance with clause 38I of this Agreement.</w:t>
      </w:r>
    </w:p>
    <w:p>
      <w:pPr>
        <w:spacing w:after="0" w:line="260"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1"/>
          <w:szCs w:val="21"/>
          <w:color w:val="auto"/>
        </w:rPr>
        <w:t>38I.</w:t>
      </w:r>
      <w:r>
        <w:rPr>
          <w:sz w:val="20"/>
          <w:szCs w:val="20"/>
          <w:color w:val="auto"/>
        </w:rPr>
        <w:tab/>
      </w:r>
      <w:r>
        <w:rPr>
          <w:rFonts w:ascii="Times New Roman" w:cs="Times New Roman" w:eastAsia="Times New Roman" w:hAnsi="Times New Roman"/>
          <w:sz w:val="21"/>
          <w:szCs w:val="21"/>
          <w:color w:val="auto"/>
        </w:rPr>
        <w:t>The Parties must jointly prepare and agree upon the terms of an agreement (the Scoping Agreement)</w:t>
      </w:r>
    </w:p>
    <w:p>
      <w:pPr>
        <w:spacing w:after="0" w:line="19"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2"/>
          <w:szCs w:val="22"/>
          <w:color w:val="auto"/>
        </w:rPr>
        <w:t>which:</w:t>
      </w:r>
    </w:p>
    <w:p>
      <w:pPr>
        <w:spacing w:after="0" w:line="258" w:lineRule="exact"/>
        <w:rPr>
          <w:sz w:val="20"/>
          <w:szCs w:val="20"/>
          <w:color w:val="auto"/>
        </w:rPr>
      </w:pPr>
    </w:p>
    <w:p>
      <w:pPr>
        <w:ind w:left="1420" w:hanging="712"/>
        <w:spacing w:after="0"/>
        <w:tabs>
          <w:tab w:leader="none" w:pos="1420" w:val="left"/>
        </w:tabs>
        <w:numPr>
          <w:ilvl w:val="0"/>
          <w:numId w:val="6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sets out the matters which the Panel must consider and report on;</w:t>
      </w:r>
    </w:p>
    <w:p>
      <w:pPr>
        <w:spacing w:after="0" w:line="250" w:lineRule="exact"/>
        <w:rPr>
          <w:rFonts w:ascii="Times New Roman" w:cs="Times New Roman" w:eastAsia="Times New Roman" w:hAnsi="Times New Roman"/>
          <w:sz w:val="22"/>
          <w:szCs w:val="22"/>
          <w:color w:val="auto"/>
        </w:rPr>
      </w:pPr>
    </w:p>
    <w:p>
      <w:pPr>
        <w:ind w:left="1420" w:right="40" w:hanging="712"/>
        <w:spacing w:after="0" w:line="235" w:lineRule="auto"/>
        <w:tabs>
          <w:tab w:leader="none" w:pos="1420" w:val="left"/>
        </w:tabs>
        <w:numPr>
          <w:ilvl w:val="0"/>
          <w:numId w:val="6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includes the proposed approach to consultation and engagement with Traditional Owners, stakeholders and communities; and</w:t>
      </w: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25</w:t>
      </w:r>
    </w:p>
    <w:p>
      <w:pPr>
        <w:sectPr>
          <w:pgSz w:w="11900" w:h="16838" w:orient="portrait"/>
          <w:cols w:equalWidth="0" w:num="1">
            <w:col w:w="9240"/>
          </w:cols>
          <w:pgMar w:left="1440" w:top="1437" w:right="1226" w:bottom="149" w:gutter="0" w:footer="0" w:header="0"/>
        </w:sectPr>
      </w:pPr>
    </w:p>
    <w:bookmarkStart w:id="25" w:name="page26"/>
    <w:bookmarkEnd w:id="25"/>
    <w:p>
      <w:pPr>
        <w:spacing w:after="0" w:line="4" w:lineRule="exact"/>
        <w:rPr>
          <w:sz w:val="20"/>
          <w:szCs w:val="20"/>
          <w:color w:val="auto"/>
        </w:rPr>
      </w:pPr>
    </w:p>
    <w:p>
      <w:pPr>
        <w:ind w:left="1420" w:hanging="712"/>
        <w:spacing w:after="0" w:line="234" w:lineRule="auto"/>
        <w:tabs>
          <w:tab w:leader="none" w:pos="1420" w:val="left"/>
        </w:tabs>
        <w:numPr>
          <w:ilvl w:val="0"/>
          <w:numId w:val="6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identifies any agreed timeframes, priorities, procedures (including the process for ending a review) and funding arrangements.</w:t>
      </w:r>
    </w:p>
    <w:p>
      <w:pPr>
        <w:spacing w:after="0" w:line="253" w:lineRule="exact"/>
        <w:rPr>
          <w:sz w:val="20"/>
          <w:szCs w:val="20"/>
          <w:color w:val="auto"/>
        </w:rPr>
      </w:pPr>
    </w:p>
    <w:p>
      <w:pPr>
        <w:jc w:val="both"/>
        <w:ind w:left="660" w:hanging="707"/>
        <w:spacing w:after="0" w:line="237" w:lineRule="auto"/>
        <w:tabs>
          <w:tab w:leader="none" w:pos="640" w:val="left"/>
        </w:tabs>
        <w:rPr>
          <w:sz w:val="20"/>
          <w:szCs w:val="20"/>
          <w:color w:val="auto"/>
        </w:rPr>
      </w:pPr>
      <w:r>
        <w:rPr>
          <w:rFonts w:ascii="Times New Roman" w:cs="Times New Roman" w:eastAsia="Times New Roman" w:hAnsi="Times New Roman"/>
          <w:sz w:val="22"/>
          <w:szCs w:val="22"/>
          <w:color w:val="auto"/>
        </w:rPr>
        <w:t>38J.</w:t>
      </w:r>
      <w:r>
        <w:rPr>
          <w:sz w:val="20"/>
          <w:szCs w:val="20"/>
          <w:color w:val="auto"/>
        </w:rPr>
        <w:tab/>
      </w:r>
      <w:r>
        <w:rPr>
          <w:rFonts w:ascii="Times New Roman" w:cs="Times New Roman" w:eastAsia="Times New Roman" w:hAnsi="Times New Roman"/>
          <w:sz w:val="22"/>
          <w:szCs w:val="22"/>
          <w:color w:val="auto"/>
        </w:rPr>
        <w:t>For the avoidance of doubt, the Parties agree that the purpose of a Major Event Review is not to open the Agreement up to renegotiation, but to assess the impacts of the Major Event on the matters identified in clause 38F for the purposes of considering what, if any, remedial action needs to be undertaken to address the impacts of the Major Event.</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ECOLOGICALLY SUSTAINABLE FOREST MANAGEMENT</w:t>
      </w:r>
    </w:p>
    <w:p>
      <w:pPr>
        <w:spacing w:after="0" w:line="287" w:lineRule="exact"/>
        <w:rPr>
          <w:sz w:val="20"/>
          <w:szCs w:val="20"/>
          <w:color w:val="auto"/>
        </w:rPr>
      </w:pPr>
    </w:p>
    <w:p>
      <w:pPr>
        <w:ind w:left="700" w:hanging="700"/>
        <w:spacing w:after="0" w:line="234" w:lineRule="auto"/>
        <w:tabs>
          <w:tab w:leader="none" w:pos="700" w:val="left"/>
        </w:tabs>
        <w:numPr>
          <w:ilvl w:val="0"/>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agree that ESFM is an objective which requires a long term commitment to continuous improvement and that the key elements for achieving it are:</w:t>
      </w:r>
    </w:p>
    <w:p>
      <w:pPr>
        <w:spacing w:after="0" w:line="239" w:lineRule="exact"/>
        <w:rPr>
          <w:rFonts w:ascii="Times New Roman" w:cs="Times New Roman" w:eastAsia="Times New Roman" w:hAnsi="Times New Roman"/>
          <w:sz w:val="22"/>
          <w:szCs w:val="22"/>
          <w:color w:val="auto"/>
        </w:rPr>
      </w:pPr>
    </w:p>
    <w:p>
      <w:pPr>
        <w:ind w:left="1000" w:right="1120"/>
        <w:spacing w:after="0" w:line="50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1"/>
          <w:szCs w:val="21"/>
          <w:color w:val="auto"/>
        </w:rPr>
        <w:t>the establishment and maintenance of a CAR Reserve System (Attachment 1); providing for the long-term stability of Timber and Forestry Products Industries;</w:t>
      </w:r>
    </w:p>
    <w:p>
      <w:pPr>
        <w:spacing w:after="0" w:line="1" w:lineRule="exact"/>
        <w:rPr>
          <w:rFonts w:ascii="Times New Roman" w:cs="Times New Roman" w:eastAsia="Times New Roman" w:hAnsi="Times New Roman"/>
          <w:sz w:val="22"/>
          <w:szCs w:val="22"/>
          <w:color w:val="auto"/>
        </w:rPr>
      </w:pPr>
    </w:p>
    <w:p>
      <w:pPr>
        <w:ind w:left="1000"/>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integrated and strategic Forest Management System that actively generates and is capable of responding to new information; and</w:t>
      </w:r>
    </w:p>
    <w:p>
      <w:pPr>
        <w:spacing w:after="0" w:line="267" w:lineRule="exact"/>
        <w:rPr>
          <w:rFonts w:ascii="Times New Roman" w:cs="Times New Roman" w:eastAsia="Times New Roman" w:hAnsi="Times New Roman"/>
          <w:sz w:val="22"/>
          <w:szCs w:val="22"/>
          <w:color w:val="auto"/>
        </w:rPr>
      </w:pPr>
    </w:p>
    <w:p>
      <w:pPr>
        <w:ind w:left="1000"/>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ensuring that harvested areas of Native Forest on Public Land are successfully regenerated, maintaining the natural floristic composition.</w:t>
      </w:r>
    </w:p>
    <w:p>
      <w:pPr>
        <w:spacing w:after="0" w:line="277" w:lineRule="exact"/>
        <w:rPr>
          <w:rFonts w:ascii="Times New Roman" w:cs="Times New Roman" w:eastAsia="Times New Roman" w:hAnsi="Times New Roman"/>
          <w:sz w:val="22"/>
          <w:szCs w:val="22"/>
          <w:color w:val="auto"/>
        </w:rPr>
      </w:pPr>
    </w:p>
    <w:p>
      <w:pPr>
        <w:jc w:val="both"/>
        <w:ind w:left="700" w:hanging="700"/>
        <w:spacing w:after="0" w:line="236" w:lineRule="auto"/>
        <w:tabs>
          <w:tab w:leader="none" w:pos="700" w:val="left"/>
        </w:tabs>
        <w:numPr>
          <w:ilvl w:val="0"/>
          <w:numId w:val="6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agree that the Victorian Forest Management System provides for ecologically sustainable management of Forests in the Central Highlands RFA Region and that these processes and systems are accredited by the Commonwealth in clause 47 of this Agreement.</w:t>
      </w:r>
    </w:p>
    <w:p>
      <w:pPr>
        <w:spacing w:after="0" w:line="253" w:lineRule="exact"/>
        <w:rPr>
          <w:sz w:val="20"/>
          <w:szCs w:val="20"/>
          <w:color w:val="auto"/>
        </w:rPr>
      </w:pPr>
    </w:p>
    <w:p>
      <w:pPr>
        <w:jc w:val="both"/>
        <w:ind w:left="700" w:hanging="699"/>
        <w:spacing w:after="0" w:line="272" w:lineRule="auto"/>
        <w:tabs>
          <w:tab w:leader="none" w:pos="680" w:val="left"/>
        </w:tabs>
        <w:rPr>
          <w:sz w:val="20"/>
          <w:szCs w:val="20"/>
          <w:color w:val="auto"/>
        </w:rPr>
      </w:pPr>
      <w:r>
        <w:rPr>
          <w:rFonts w:ascii="Times New Roman" w:cs="Times New Roman" w:eastAsia="Times New Roman" w:hAnsi="Times New Roman"/>
          <w:sz w:val="22"/>
          <w:szCs w:val="22"/>
          <w:color w:val="auto"/>
        </w:rPr>
        <w:t>40A.</w:t>
        <w:tab/>
        <w:t>The Parties recognise that the Victorian Forest Management System is designed to produce effective outcomes for fauna, flora, soil and water conservation and Environment and Heritage Values in State Forests and provides a sound basis for implementation and continual improvement of such to achieve ESFM.</w:t>
      </w:r>
    </w:p>
    <w:p>
      <w:pPr>
        <w:spacing w:after="0" w:line="257" w:lineRule="exact"/>
        <w:rPr>
          <w:sz w:val="20"/>
          <w:szCs w:val="20"/>
          <w:color w:val="auto"/>
        </w:rPr>
      </w:pPr>
    </w:p>
    <w:p>
      <w:pPr>
        <w:jc w:val="both"/>
        <w:ind w:left="700" w:right="20" w:hanging="699"/>
        <w:spacing w:after="0" w:line="271" w:lineRule="auto"/>
        <w:tabs>
          <w:tab w:leader="none" w:pos="680" w:val="left"/>
        </w:tabs>
        <w:rPr>
          <w:sz w:val="20"/>
          <w:szCs w:val="20"/>
          <w:color w:val="auto"/>
        </w:rPr>
      </w:pPr>
      <w:r>
        <w:rPr>
          <w:rFonts w:ascii="Times New Roman" w:cs="Times New Roman" w:eastAsia="Times New Roman" w:hAnsi="Times New Roman"/>
          <w:sz w:val="22"/>
          <w:szCs w:val="22"/>
          <w:color w:val="auto"/>
        </w:rPr>
        <w:t>40B.</w:t>
      </w:r>
      <w:r>
        <w:rPr>
          <w:sz w:val="20"/>
          <w:szCs w:val="20"/>
          <w:color w:val="auto"/>
        </w:rPr>
        <w:tab/>
      </w:r>
      <w:r>
        <w:rPr>
          <w:rFonts w:ascii="Times New Roman" w:cs="Times New Roman" w:eastAsia="Times New Roman" w:hAnsi="Times New Roman"/>
          <w:sz w:val="22"/>
          <w:szCs w:val="22"/>
          <w:color w:val="auto"/>
        </w:rPr>
        <w:t>Victoria confirms its commitment to the ongoing implementation and achievement of ESFM on both Public Land and Private Land through the continued implementation of and improvements to its Forest Management System and adaptive Forest Management.</w:t>
      </w:r>
    </w:p>
    <w:p>
      <w:pPr>
        <w:spacing w:after="0" w:line="246"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40C.</w:t>
      </w:r>
      <w:r>
        <w:rPr>
          <w:sz w:val="20"/>
          <w:szCs w:val="20"/>
          <w:color w:val="auto"/>
        </w:rPr>
        <w:tab/>
      </w:r>
      <w:r>
        <w:rPr>
          <w:rFonts w:ascii="Times New Roman" w:cs="Times New Roman" w:eastAsia="Times New Roman" w:hAnsi="Times New Roman"/>
          <w:sz w:val="22"/>
          <w:szCs w:val="22"/>
          <w:color w:val="auto"/>
        </w:rPr>
        <w:t>Victoria commits to:</w:t>
      </w:r>
    </w:p>
    <w:p>
      <w:pPr>
        <w:spacing w:after="0" w:line="291" w:lineRule="exact"/>
        <w:rPr>
          <w:sz w:val="20"/>
          <w:szCs w:val="20"/>
          <w:color w:val="auto"/>
        </w:rPr>
      </w:pPr>
    </w:p>
    <w:p>
      <w:pPr>
        <w:ind w:left="1420" w:right="140" w:hanging="712"/>
        <w:spacing w:after="0" w:line="234" w:lineRule="auto"/>
        <w:tabs>
          <w:tab w:leader="none" w:pos="1420" w:val="left"/>
        </w:tabs>
        <w:numPr>
          <w:ilvl w:val="0"/>
          <w:numId w:val="6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undertaking a comprehensive review of the Code of Practice for Timber Production by December 2023; and</w:t>
      </w:r>
    </w:p>
    <w:p>
      <w:pPr>
        <w:spacing w:after="0" w:line="250" w:lineRule="exact"/>
        <w:rPr>
          <w:rFonts w:ascii="Times New Roman" w:cs="Times New Roman" w:eastAsia="Times New Roman" w:hAnsi="Times New Roman"/>
          <w:sz w:val="22"/>
          <w:szCs w:val="22"/>
          <w:color w:val="auto"/>
        </w:rPr>
      </w:pPr>
    </w:p>
    <w:p>
      <w:pPr>
        <w:ind w:left="1420" w:right="120" w:hanging="712"/>
        <w:spacing w:after="0" w:line="234" w:lineRule="auto"/>
        <w:tabs>
          <w:tab w:leader="none" w:pos="1420" w:val="left"/>
        </w:tabs>
        <w:numPr>
          <w:ilvl w:val="0"/>
          <w:numId w:val="6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thereafter, considering what, if any, updates to the document are required at least every five years for so long as the Agreement remains in effect.</w:t>
      </w:r>
    </w:p>
    <w:p>
      <w:pPr>
        <w:spacing w:after="0" w:line="265" w:lineRule="exact"/>
        <w:rPr>
          <w:sz w:val="20"/>
          <w:szCs w:val="20"/>
          <w:color w:val="auto"/>
        </w:rPr>
      </w:pPr>
    </w:p>
    <w:p>
      <w:pPr>
        <w:ind w:left="700" w:right="20"/>
        <w:spacing w:after="0" w:line="235" w:lineRule="auto"/>
        <w:rPr>
          <w:sz w:val="20"/>
          <w:szCs w:val="20"/>
          <w:color w:val="auto"/>
        </w:rPr>
      </w:pPr>
      <w:r>
        <w:rPr>
          <w:rFonts w:ascii="Times New Roman" w:cs="Times New Roman" w:eastAsia="Times New Roman" w:hAnsi="Times New Roman"/>
          <w:sz w:val="22"/>
          <w:szCs w:val="22"/>
          <w:color w:val="auto"/>
        </w:rPr>
        <w:t>In line with relevant legislative requirements, the process to amend the Code of Practice for Timber Production will include consultation with the public.</w:t>
      </w:r>
    </w:p>
    <w:p>
      <w:pPr>
        <w:spacing w:after="0" w:line="249" w:lineRule="exact"/>
        <w:rPr>
          <w:sz w:val="20"/>
          <w:szCs w:val="20"/>
          <w:color w:val="auto"/>
        </w:rPr>
      </w:pPr>
    </w:p>
    <w:p>
      <w:pPr>
        <w:jc w:val="both"/>
        <w:ind w:left="720" w:right="240" w:hanging="719"/>
        <w:spacing w:after="0" w:line="272" w:lineRule="auto"/>
        <w:tabs>
          <w:tab w:leader="none" w:pos="700" w:val="left"/>
        </w:tabs>
        <w:rPr>
          <w:sz w:val="20"/>
          <w:szCs w:val="20"/>
          <w:color w:val="auto"/>
        </w:rPr>
      </w:pPr>
      <w:r>
        <w:rPr>
          <w:rFonts w:ascii="Times New Roman" w:cs="Times New Roman" w:eastAsia="Times New Roman" w:hAnsi="Times New Roman"/>
          <w:sz w:val="22"/>
          <w:szCs w:val="22"/>
          <w:color w:val="auto"/>
        </w:rPr>
        <w:t>40D.</w:t>
      </w:r>
      <w:r>
        <w:rPr>
          <w:sz w:val="20"/>
          <w:szCs w:val="20"/>
          <w:color w:val="auto"/>
        </w:rPr>
        <w:tab/>
      </w:r>
      <w:r>
        <w:rPr>
          <w:rFonts w:ascii="Times New Roman" w:cs="Times New Roman" w:eastAsia="Times New Roman" w:hAnsi="Times New Roman"/>
          <w:sz w:val="22"/>
          <w:szCs w:val="22"/>
          <w:color w:val="auto"/>
        </w:rPr>
        <w:t>The Parties recognise that ongoing and enhanced monitoring and data analysis is necessary to ensure the Forest Management System is able to adapt in response to changing circumstances and to enable strategic, long-term decisions about Forests.</w:t>
      </w:r>
    </w:p>
    <w:p>
      <w:pPr>
        <w:spacing w:after="0" w:line="220" w:lineRule="exact"/>
        <w:rPr>
          <w:sz w:val="20"/>
          <w:szCs w:val="20"/>
          <w:color w:val="auto"/>
        </w:rPr>
      </w:pPr>
    </w:p>
    <w:p>
      <w:pPr>
        <w:ind w:right="1000"/>
        <w:spacing w:after="0" w:line="264" w:lineRule="auto"/>
        <w:rPr>
          <w:sz w:val="20"/>
          <w:szCs w:val="20"/>
          <w:color w:val="auto"/>
        </w:rPr>
      </w:pPr>
      <w:r>
        <w:rPr>
          <w:rFonts w:ascii="Times New Roman" w:cs="Times New Roman" w:eastAsia="Times New Roman" w:hAnsi="Times New Roman"/>
          <w:sz w:val="22"/>
          <w:szCs w:val="22"/>
          <w:b w:val="1"/>
          <w:bCs w:val="1"/>
          <w:color w:val="auto"/>
        </w:rPr>
        <w:t>Monitoring, Reporting and Consultative Mechanism on Ecologically Sustainable Forest Management</w:t>
      </w: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26</w:t>
      </w:r>
    </w:p>
    <w:p>
      <w:pPr>
        <w:sectPr>
          <w:pgSz w:w="11900" w:h="16838" w:orient="portrait"/>
          <w:cols w:equalWidth="0" w:num="1">
            <w:col w:w="9200"/>
          </w:cols>
          <w:pgMar w:left="1440" w:top="1440" w:right="1266" w:bottom="149" w:gutter="0" w:footer="0" w:header="0"/>
        </w:sectPr>
      </w:pPr>
    </w:p>
    <w:bookmarkStart w:id="26" w:name="page27"/>
    <w:bookmarkEnd w:id="26"/>
    <w:p>
      <w:pPr>
        <w:ind w:left="720" w:hanging="720"/>
        <w:spacing w:after="0"/>
        <w:tabs>
          <w:tab w:leader="none" w:pos="720" w:val="left"/>
        </w:tabs>
        <w:numPr>
          <w:ilvl w:val="0"/>
          <w:numId w:val="6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will report on the results of monitoring of Sustainability Indicators.</w:t>
      </w:r>
    </w:p>
    <w:p>
      <w:pPr>
        <w:spacing w:after="0" w:line="251" w:lineRule="exact"/>
        <w:rPr>
          <w:sz w:val="20"/>
          <w:szCs w:val="20"/>
          <w:color w:val="auto"/>
        </w:rPr>
      </w:pPr>
    </w:p>
    <w:p>
      <w:pPr>
        <w:ind w:left="720" w:hanging="719"/>
        <w:spacing w:after="0" w:line="235" w:lineRule="auto"/>
        <w:tabs>
          <w:tab w:leader="none" w:pos="700" w:val="left"/>
        </w:tabs>
        <w:rPr>
          <w:sz w:val="20"/>
          <w:szCs w:val="20"/>
          <w:color w:val="auto"/>
        </w:rPr>
      </w:pPr>
      <w:r>
        <w:rPr>
          <w:rFonts w:ascii="Times New Roman" w:cs="Times New Roman" w:eastAsia="Times New Roman" w:hAnsi="Times New Roman"/>
          <w:sz w:val="22"/>
          <w:szCs w:val="22"/>
          <w:color w:val="auto"/>
        </w:rPr>
        <w:t>41A.</w:t>
      </w:r>
      <w:r>
        <w:rPr>
          <w:sz w:val="20"/>
          <w:szCs w:val="20"/>
          <w:color w:val="auto"/>
        </w:rPr>
        <w:tab/>
      </w:r>
      <w:r>
        <w:rPr>
          <w:rFonts w:ascii="Times New Roman" w:cs="Times New Roman" w:eastAsia="Times New Roman" w:hAnsi="Times New Roman"/>
          <w:sz w:val="22"/>
          <w:szCs w:val="22"/>
          <w:color w:val="auto"/>
        </w:rPr>
        <w:t>The Parties agree that, for the purposes of clause 41, Victoria will publicly report on the results of monitoring of Sustainability Indicators as part of each Five-yearly Review.</w:t>
      </w:r>
    </w:p>
    <w:p>
      <w:pPr>
        <w:spacing w:after="0" w:line="239"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41B.</w:t>
      </w:r>
      <w:r>
        <w:rPr>
          <w:sz w:val="20"/>
          <w:szCs w:val="20"/>
          <w:color w:val="auto"/>
        </w:rPr>
        <w:tab/>
      </w:r>
      <w:r>
        <w:rPr>
          <w:rFonts w:ascii="Times New Roman" w:cs="Times New Roman" w:eastAsia="Times New Roman" w:hAnsi="Times New Roman"/>
          <w:sz w:val="22"/>
          <w:szCs w:val="22"/>
          <w:color w:val="auto"/>
        </w:rPr>
        <w:t>The Parties recognise that:</w:t>
      </w:r>
    </w:p>
    <w:p>
      <w:pPr>
        <w:spacing w:after="0" w:line="253" w:lineRule="exact"/>
        <w:rPr>
          <w:sz w:val="20"/>
          <w:szCs w:val="20"/>
          <w:color w:val="auto"/>
        </w:rPr>
      </w:pPr>
    </w:p>
    <w:p>
      <w:pPr>
        <w:jc w:val="both"/>
        <w:ind w:left="1420" w:hanging="714"/>
        <w:spacing w:after="0" w:line="235" w:lineRule="auto"/>
        <w:tabs>
          <w:tab w:leader="none" w:pos="1420" w:val="left"/>
        </w:tabs>
        <w:numPr>
          <w:ilvl w:val="1"/>
          <w:numId w:val="7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Forest Management System is enhanced by adaptive management and continuing mechanisms to monitor, report and evaluate the sustainability of Forest Management policies and practices;</w:t>
      </w:r>
    </w:p>
    <w:p>
      <w:pPr>
        <w:spacing w:after="0" w:line="255" w:lineRule="exact"/>
        <w:rPr>
          <w:rFonts w:ascii="Times New Roman" w:cs="Times New Roman" w:eastAsia="Times New Roman" w:hAnsi="Times New Roman"/>
          <w:sz w:val="22"/>
          <w:szCs w:val="22"/>
          <w:color w:val="auto"/>
        </w:rPr>
      </w:pPr>
    </w:p>
    <w:p>
      <w:pPr>
        <w:jc w:val="both"/>
        <w:ind w:left="1420" w:hanging="714"/>
        <w:spacing w:after="0" w:line="236" w:lineRule="auto"/>
        <w:tabs>
          <w:tab w:leader="none" w:pos="1420" w:val="left"/>
        </w:tabs>
        <w:numPr>
          <w:ilvl w:val="1"/>
          <w:numId w:val="7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ESFM outcomes are enhanced by genuinely engaging with stakeholders and local communities in a transparent and accessible way, to enable meaningful participation in decision-making processes;</w:t>
      </w:r>
    </w:p>
    <w:p>
      <w:pPr>
        <w:spacing w:after="0" w:line="252" w:lineRule="exact"/>
        <w:rPr>
          <w:rFonts w:ascii="Times New Roman" w:cs="Times New Roman" w:eastAsia="Times New Roman" w:hAnsi="Times New Roman"/>
          <w:sz w:val="22"/>
          <w:szCs w:val="22"/>
          <w:color w:val="auto"/>
        </w:rPr>
      </w:pPr>
    </w:p>
    <w:p>
      <w:pPr>
        <w:ind w:left="1420" w:hanging="714"/>
        <w:spacing w:after="0" w:line="234" w:lineRule="auto"/>
        <w:tabs>
          <w:tab w:leader="none" w:pos="1420" w:val="left"/>
        </w:tabs>
        <w:numPr>
          <w:ilvl w:val="1"/>
          <w:numId w:val="7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fostering stakeholder and community understanding of ESFM in the Central Highlands RFA Region is important; and</w:t>
      </w:r>
    </w:p>
    <w:p>
      <w:pPr>
        <w:spacing w:after="0" w:line="253" w:lineRule="exact"/>
        <w:rPr>
          <w:rFonts w:ascii="Times New Roman" w:cs="Times New Roman" w:eastAsia="Times New Roman" w:hAnsi="Times New Roman"/>
          <w:sz w:val="22"/>
          <w:szCs w:val="22"/>
          <w:color w:val="auto"/>
        </w:rPr>
      </w:pPr>
    </w:p>
    <w:p>
      <w:pPr>
        <w:ind w:left="1420" w:hanging="714"/>
        <w:spacing w:after="0" w:line="234" w:lineRule="auto"/>
        <w:tabs>
          <w:tab w:leader="none" w:pos="1420" w:val="left"/>
        </w:tabs>
        <w:numPr>
          <w:ilvl w:val="1"/>
          <w:numId w:val="7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range of processes and instruments exist which provide for public participation, consultation and/or reporting, including (but not limited to) processes associated with:</w:t>
      </w:r>
    </w:p>
    <w:p>
      <w:pPr>
        <w:spacing w:after="0" w:line="241" w:lineRule="exact"/>
        <w:rPr>
          <w:rFonts w:ascii="Times New Roman" w:cs="Times New Roman" w:eastAsia="Times New Roman" w:hAnsi="Times New Roman"/>
          <w:sz w:val="22"/>
          <w:szCs w:val="22"/>
          <w:color w:val="auto"/>
        </w:rPr>
      </w:pPr>
    </w:p>
    <w:p>
      <w:pPr>
        <w:ind w:left="1980"/>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preparation and review of legislation, regulations, codes of practice and Statutory Conservation Planning Documents;</w:t>
      </w:r>
    </w:p>
    <w:p>
      <w:pPr>
        <w:spacing w:after="0" w:line="253" w:lineRule="exact"/>
        <w:rPr>
          <w:rFonts w:ascii="Times New Roman" w:cs="Times New Roman" w:eastAsia="Times New Roman" w:hAnsi="Times New Roman"/>
          <w:sz w:val="22"/>
          <w:szCs w:val="22"/>
          <w:color w:val="auto"/>
        </w:rPr>
      </w:pPr>
    </w:p>
    <w:p>
      <w:pPr>
        <w:ind w:left="14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Victorian Environment Assessment Council studies;</w:t>
      </w:r>
    </w:p>
    <w:p>
      <w:pPr>
        <w:spacing w:after="0" w:line="267" w:lineRule="exact"/>
        <w:rPr>
          <w:rFonts w:ascii="Times New Roman" w:cs="Times New Roman" w:eastAsia="Times New Roman" w:hAnsi="Times New Roman"/>
          <w:sz w:val="22"/>
          <w:szCs w:val="22"/>
          <w:color w:val="auto"/>
        </w:rPr>
      </w:pPr>
    </w:p>
    <w:p>
      <w:pPr>
        <w:ind w:left="1980"/>
        <w:spacing w:after="0" w:line="23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preparation and review of strategies and plans for the management of Native Forest, including the management of Forestry Operations in State Forests (until such time as they cease on 30 June 2030) and fire;</w:t>
      </w:r>
    </w:p>
    <w:p>
      <w:pPr>
        <w:spacing w:after="0" w:line="268" w:lineRule="exact"/>
        <w:rPr>
          <w:rFonts w:ascii="Times New Roman" w:cs="Times New Roman" w:eastAsia="Times New Roman" w:hAnsi="Times New Roman"/>
          <w:sz w:val="22"/>
          <w:szCs w:val="22"/>
          <w:color w:val="auto"/>
        </w:rPr>
      </w:pPr>
    </w:p>
    <w:p>
      <w:pPr>
        <w:ind w:left="1980"/>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reporting on Harvest Levels and volumes of Timber Resources taken from the RFA Region;</w:t>
      </w:r>
    </w:p>
    <w:p>
      <w:pPr>
        <w:spacing w:after="0" w:line="253" w:lineRule="exact"/>
        <w:rPr>
          <w:rFonts w:ascii="Times New Roman" w:cs="Times New Roman" w:eastAsia="Times New Roman" w:hAnsi="Times New Roman"/>
          <w:sz w:val="22"/>
          <w:szCs w:val="22"/>
          <w:color w:val="auto"/>
        </w:rPr>
      </w:pPr>
    </w:p>
    <w:p>
      <w:pPr>
        <w:ind w:left="14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State of the Forests reporting; and</w:t>
      </w:r>
    </w:p>
    <w:p>
      <w:pPr>
        <w:spacing w:after="0" w:line="255" w:lineRule="exact"/>
        <w:rPr>
          <w:rFonts w:ascii="Times New Roman" w:cs="Times New Roman" w:eastAsia="Times New Roman" w:hAnsi="Times New Roman"/>
          <w:sz w:val="22"/>
          <w:szCs w:val="22"/>
          <w:color w:val="auto"/>
        </w:rPr>
      </w:pPr>
    </w:p>
    <w:p>
      <w:pPr>
        <w:ind w:left="14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Five-yearly Reviews and Major Event Reviews.</w:t>
      </w:r>
    </w:p>
    <w:p>
      <w:pPr>
        <w:spacing w:after="0" w:line="279" w:lineRule="exact"/>
        <w:rPr>
          <w:rFonts w:ascii="Times New Roman" w:cs="Times New Roman" w:eastAsia="Times New Roman" w:hAnsi="Times New Roman"/>
          <w:sz w:val="22"/>
          <w:szCs w:val="22"/>
          <w:color w:val="auto"/>
        </w:rPr>
      </w:pPr>
    </w:p>
    <w:p>
      <w:pPr>
        <w:jc w:val="both"/>
        <w:ind w:left="720" w:hanging="720"/>
        <w:spacing w:after="0" w:line="237" w:lineRule="auto"/>
        <w:tabs>
          <w:tab w:leader="none" w:pos="720" w:val="left"/>
        </w:tabs>
        <w:numPr>
          <w:ilvl w:val="0"/>
          <w:numId w:val="7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Comprehensive Regional Assessments and the development of this Agreement provided extensive opportunities for public participation and reporting. Parties recognise that the public reporting activities and on-going opportunities for public participation and consultation associated with existing Victorian and Commonwealth processes and instruments will continue.</w:t>
      </w:r>
    </w:p>
    <w:p>
      <w:pPr>
        <w:spacing w:after="0" w:line="253" w:lineRule="exact"/>
        <w:rPr>
          <w:rFonts w:ascii="Times New Roman" w:cs="Times New Roman" w:eastAsia="Times New Roman" w:hAnsi="Times New Roman"/>
          <w:sz w:val="22"/>
          <w:szCs w:val="22"/>
          <w:color w:val="auto"/>
        </w:rPr>
      </w:pPr>
    </w:p>
    <w:p>
      <w:pPr>
        <w:jc w:val="both"/>
        <w:ind w:left="720" w:hanging="720"/>
        <w:spacing w:after="0" w:line="236" w:lineRule="auto"/>
        <w:tabs>
          <w:tab w:leader="none" w:pos="720" w:val="left"/>
        </w:tabs>
        <w:numPr>
          <w:ilvl w:val="0"/>
          <w:numId w:val="7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addition to these activities, Victoria agrees to publish future reports of audits of compliance with the Code of Practice for Timber Production. Supporting documents will also be publicly available.</w:t>
      </w:r>
    </w:p>
    <w:p>
      <w:pPr>
        <w:spacing w:after="0" w:line="252" w:lineRule="exact"/>
        <w:rPr>
          <w:rFonts w:ascii="Times New Roman" w:cs="Times New Roman" w:eastAsia="Times New Roman" w:hAnsi="Times New Roman"/>
          <w:sz w:val="22"/>
          <w:szCs w:val="22"/>
          <w:color w:val="auto"/>
        </w:rPr>
      </w:pPr>
    </w:p>
    <w:p>
      <w:pPr>
        <w:ind w:left="720" w:right="20" w:hanging="720"/>
        <w:spacing w:after="0" w:line="235" w:lineRule="auto"/>
        <w:tabs>
          <w:tab w:leader="none" w:pos="720" w:val="left"/>
        </w:tabs>
        <w:numPr>
          <w:ilvl w:val="0"/>
          <w:numId w:val="7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will further develop the transparency and accountability of its Forest Management processes by producing, publishing and regularly reviewing Statements of Regulatory Intent.</w:t>
      </w:r>
    </w:p>
    <w:p>
      <w:pPr>
        <w:spacing w:after="0" w:line="239"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7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undertakes to:</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7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7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27</w:t>
      </w:r>
    </w:p>
    <w:p>
      <w:pPr>
        <w:sectPr>
          <w:pgSz w:w="11900" w:h="16838" w:orient="portrait"/>
          <w:cols w:equalWidth="0" w:num="1">
            <w:col w:w="9200"/>
          </w:cols>
          <w:pgMar w:left="1440" w:top="1432" w:right="1266" w:bottom="149" w:gutter="0" w:footer="0" w:header="0"/>
        </w:sectPr>
      </w:pPr>
    </w:p>
    <w:bookmarkStart w:id="27" w:name="page28"/>
    <w:bookmarkEnd w:id="27"/>
    <w:p>
      <w:pPr>
        <w:spacing w:after="0" w:line="4" w:lineRule="exact"/>
        <w:rPr>
          <w:sz w:val="20"/>
          <w:szCs w:val="20"/>
          <w:color w:val="auto"/>
        </w:rPr>
      </w:pPr>
    </w:p>
    <w:p>
      <w:pPr>
        <w:jc w:val="both"/>
        <w:ind w:left="1420" w:hanging="712"/>
        <w:spacing w:after="0" w:line="236" w:lineRule="auto"/>
        <w:tabs>
          <w:tab w:leader="none" w:pos="1420" w:val="left"/>
        </w:tabs>
        <w:numPr>
          <w:ilvl w:val="0"/>
          <w:numId w:val="7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continue to manage the Dedicated Reserves within the CAR Reserve System in accordance with the relevant government approved response to the recommendations of the Land Conservation Council, the Environment Conservation Council and VEAC; and</w:t>
      </w:r>
    </w:p>
    <w:p>
      <w:pPr>
        <w:spacing w:after="0" w:line="252" w:lineRule="exact"/>
        <w:rPr>
          <w:rFonts w:ascii="Times New Roman" w:cs="Times New Roman" w:eastAsia="Times New Roman" w:hAnsi="Times New Roman"/>
          <w:sz w:val="22"/>
          <w:szCs w:val="22"/>
          <w:color w:val="auto"/>
        </w:rPr>
      </w:pPr>
    </w:p>
    <w:p>
      <w:pPr>
        <w:jc w:val="both"/>
        <w:ind w:left="1420" w:hanging="712"/>
        <w:spacing w:after="0" w:line="236" w:lineRule="auto"/>
        <w:tabs>
          <w:tab w:leader="none" w:pos="1420" w:val="left"/>
        </w:tabs>
        <w:numPr>
          <w:ilvl w:val="0"/>
          <w:numId w:val="7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manage cultural values, both Aboriginal and non-Aboriginal, in the Central Highlands RFA Region in accordance with the principles set out in Part 2 of Division 1 of the </w:t>
      </w:r>
      <w:r>
        <w:rPr>
          <w:rFonts w:ascii="Times New Roman" w:cs="Times New Roman" w:eastAsia="Times New Roman" w:hAnsi="Times New Roman"/>
          <w:sz w:val="22"/>
          <w:szCs w:val="22"/>
          <w:i w:val="1"/>
          <w:iCs w:val="1"/>
          <w:color w:val="auto"/>
        </w:rPr>
        <w:t xml:space="preserve">Aboriginal Heritage Act 2006 </w:t>
      </w:r>
      <w:r>
        <w:rPr>
          <w:rFonts w:ascii="Times New Roman" w:cs="Times New Roman" w:eastAsia="Times New Roman" w:hAnsi="Times New Roman"/>
          <w:sz w:val="22"/>
          <w:szCs w:val="22"/>
          <w:color w:val="auto"/>
        </w:rPr>
        <w:t>(Vic) and the</w:t>
      </w:r>
      <w:r>
        <w:rPr>
          <w:rFonts w:ascii="Times New Roman" w:cs="Times New Roman" w:eastAsia="Times New Roman" w:hAnsi="Times New Roman"/>
          <w:sz w:val="22"/>
          <w:szCs w:val="22"/>
          <w:i w:val="1"/>
          <w:iCs w:val="1"/>
          <w:color w:val="auto"/>
        </w:rPr>
        <w:t xml:space="preserve"> Heritage Act 2017 </w:t>
      </w:r>
      <w:r>
        <w:rPr>
          <w:rFonts w:ascii="Times New Roman" w:cs="Times New Roman" w:eastAsia="Times New Roman" w:hAnsi="Times New Roman"/>
          <w:sz w:val="22"/>
          <w:szCs w:val="22"/>
          <w:color w:val="auto"/>
        </w:rPr>
        <w:t>(Vic).</w:t>
      </w:r>
    </w:p>
    <w:p>
      <w:pPr>
        <w:spacing w:after="0" w:line="240"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7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Auditing of the Agreement</w:t>
      </w:r>
    </w:p>
    <w:p>
      <w:pPr>
        <w:spacing w:after="0" w:line="25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i w:val="1"/>
          <w:iCs w:val="1"/>
          <w:color w:val="auto"/>
        </w:rPr>
        <w:t>Initiating an audit</w:t>
      </w:r>
    </w:p>
    <w:p>
      <w:pPr>
        <w:spacing w:after="0" w:line="263" w:lineRule="exact"/>
        <w:rPr>
          <w:sz w:val="20"/>
          <w:szCs w:val="20"/>
          <w:color w:val="auto"/>
        </w:rPr>
      </w:pPr>
    </w:p>
    <w:p>
      <w:pPr>
        <w:ind w:left="700" w:right="20" w:hanging="699"/>
        <w:spacing w:after="0" w:line="235" w:lineRule="auto"/>
        <w:tabs>
          <w:tab w:leader="none" w:pos="680" w:val="left"/>
        </w:tabs>
        <w:rPr>
          <w:sz w:val="20"/>
          <w:szCs w:val="20"/>
          <w:color w:val="auto"/>
        </w:rPr>
      </w:pPr>
      <w:r>
        <w:rPr>
          <w:rFonts w:ascii="Times New Roman" w:cs="Times New Roman" w:eastAsia="Times New Roman" w:hAnsi="Times New Roman"/>
          <w:sz w:val="22"/>
          <w:szCs w:val="22"/>
          <w:color w:val="auto"/>
        </w:rPr>
        <w:t>45A.</w:t>
        <w:tab/>
        <w:t>Subject to clauses 45B and 45C either Party may initiate an audit if that Party has reasonable grounds to suspect that a Party has not complied with a:</w:t>
      </w:r>
    </w:p>
    <w:p>
      <w:pPr>
        <w:spacing w:after="0" w:line="239" w:lineRule="exact"/>
        <w:rPr>
          <w:sz w:val="20"/>
          <w:szCs w:val="20"/>
          <w:color w:val="auto"/>
        </w:rPr>
      </w:pPr>
    </w:p>
    <w:p>
      <w:pPr>
        <w:ind w:left="1420" w:hanging="712"/>
        <w:spacing w:after="0"/>
        <w:tabs>
          <w:tab w:leader="none" w:pos="1420" w:val="left"/>
        </w:tabs>
        <w:numPr>
          <w:ilvl w:val="0"/>
          <w:numId w:val="7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material term of this Agreement; or</w:t>
      </w:r>
    </w:p>
    <w:p>
      <w:pPr>
        <w:spacing w:after="0" w:line="241" w:lineRule="exact"/>
        <w:rPr>
          <w:rFonts w:ascii="Times New Roman" w:cs="Times New Roman" w:eastAsia="Times New Roman" w:hAnsi="Times New Roman"/>
          <w:sz w:val="22"/>
          <w:szCs w:val="22"/>
          <w:color w:val="auto"/>
        </w:rPr>
      </w:pPr>
    </w:p>
    <w:p>
      <w:pPr>
        <w:ind w:left="1420" w:hanging="700"/>
        <w:spacing w:after="0"/>
        <w:tabs>
          <w:tab w:leader="none" w:pos="1420" w:val="left"/>
        </w:tabs>
        <w:numPr>
          <w:ilvl w:val="1"/>
          <w:numId w:val="7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Milestone.</w:t>
      </w:r>
    </w:p>
    <w:p>
      <w:pPr>
        <w:spacing w:after="0" w:line="279" w:lineRule="exact"/>
        <w:rPr>
          <w:sz w:val="20"/>
          <w:szCs w:val="20"/>
          <w:color w:val="auto"/>
        </w:rPr>
      </w:pPr>
    </w:p>
    <w:p>
      <w:pPr>
        <w:ind w:left="700" w:hanging="707"/>
        <w:spacing w:after="0" w:line="234" w:lineRule="auto"/>
        <w:tabs>
          <w:tab w:leader="none" w:pos="680" w:val="left"/>
        </w:tabs>
        <w:rPr>
          <w:sz w:val="20"/>
          <w:szCs w:val="20"/>
          <w:color w:val="auto"/>
        </w:rPr>
      </w:pPr>
      <w:r>
        <w:rPr>
          <w:rFonts w:ascii="Times New Roman" w:cs="Times New Roman" w:eastAsia="Times New Roman" w:hAnsi="Times New Roman"/>
          <w:sz w:val="22"/>
          <w:szCs w:val="22"/>
          <w:color w:val="auto"/>
        </w:rPr>
        <w:t>45B.</w:t>
      </w:r>
      <w:r>
        <w:rPr>
          <w:sz w:val="20"/>
          <w:szCs w:val="20"/>
          <w:color w:val="auto"/>
        </w:rPr>
        <w:tab/>
      </w:r>
      <w:r>
        <w:rPr>
          <w:rFonts w:ascii="Times New Roman" w:cs="Times New Roman" w:eastAsia="Times New Roman" w:hAnsi="Times New Roman"/>
          <w:sz w:val="22"/>
          <w:szCs w:val="22"/>
          <w:color w:val="auto"/>
        </w:rPr>
        <w:t>Before a Party may initiate an audit, the initiating Party must issue upon the other Party a written notice which:</w:t>
      </w:r>
    </w:p>
    <w:p>
      <w:pPr>
        <w:spacing w:after="0" w:line="242" w:lineRule="exact"/>
        <w:rPr>
          <w:sz w:val="20"/>
          <w:szCs w:val="20"/>
          <w:color w:val="auto"/>
        </w:rPr>
      </w:pPr>
    </w:p>
    <w:p>
      <w:pPr>
        <w:ind w:left="1420" w:hanging="714"/>
        <w:spacing w:after="0"/>
        <w:tabs>
          <w:tab w:leader="none" w:pos="142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advises of its intention to initiate an audit;</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outlines the reasons why it intends to initiate an audit; and</w:t>
      </w:r>
    </w:p>
    <w:p>
      <w:pPr>
        <w:spacing w:after="0" w:line="252" w:lineRule="exact"/>
        <w:rPr>
          <w:rFonts w:ascii="Times New Roman" w:cs="Times New Roman" w:eastAsia="Times New Roman" w:hAnsi="Times New Roman"/>
          <w:sz w:val="22"/>
          <w:szCs w:val="22"/>
          <w:color w:val="auto"/>
        </w:rPr>
      </w:pPr>
    </w:p>
    <w:p>
      <w:pPr>
        <w:ind w:left="1420" w:right="20" w:hanging="714"/>
        <w:spacing w:after="0" w:line="234" w:lineRule="auto"/>
        <w:tabs>
          <w:tab w:leader="none" w:pos="1420" w:val="left"/>
        </w:tabs>
        <w:numPr>
          <w:ilvl w:val="0"/>
          <w:numId w:val="7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relevant, specifies what remedial actions the other Party could take to wholly address the concerns being raised by the initiating Party.</w:t>
      </w:r>
    </w:p>
    <w:p>
      <w:pPr>
        <w:spacing w:after="0" w:line="251" w:lineRule="exact"/>
        <w:rPr>
          <w:sz w:val="20"/>
          <w:szCs w:val="20"/>
          <w:color w:val="auto"/>
        </w:rPr>
      </w:pPr>
    </w:p>
    <w:p>
      <w:pPr>
        <w:jc w:val="both"/>
        <w:ind w:left="700" w:hanging="707"/>
        <w:spacing w:after="0" w:line="236" w:lineRule="auto"/>
        <w:tabs>
          <w:tab w:leader="none" w:pos="680" w:val="left"/>
        </w:tabs>
        <w:rPr>
          <w:sz w:val="20"/>
          <w:szCs w:val="20"/>
          <w:color w:val="auto"/>
        </w:rPr>
      </w:pPr>
      <w:r>
        <w:rPr>
          <w:rFonts w:ascii="Times New Roman" w:cs="Times New Roman" w:eastAsia="Times New Roman" w:hAnsi="Times New Roman"/>
          <w:sz w:val="22"/>
          <w:szCs w:val="22"/>
          <w:color w:val="auto"/>
        </w:rPr>
        <w:t>45C.</w:t>
      </w:r>
      <w:r>
        <w:rPr>
          <w:sz w:val="20"/>
          <w:szCs w:val="20"/>
          <w:color w:val="auto"/>
        </w:rPr>
        <w:tab/>
      </w:r>
      <w:r>
        <w:rPr>
          <w:rFonts w:ascii="Times New Roman" w:cs="Times New Roman" w:eastAsia="Times New Roman" w:hAnsi="Times New Roman"/>
          <w:sz w:val="22"/>
          <w:szCs w:val="22"/>
          <w:color w:val="auto"/>
        </w:rPr>
        <w:t>Where a Party initiates an audit, the written notice provided under clause 45B must identify the period of time which the audit is to consider. The period of examination cannot pre-date the period of time reviewed as part of the most recent Five-yearly Review.</w:t>
      </w:r>
    </w:p>
    <w:p>
      <w:pPr>
        <w:spacing w:after="0" w:line="243"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45D.</w:t>
        <w:tab/>
        <w:t>A Party cannot initiate an audit unless:</w:t>
      </w:r>
    </w:p>
    <w:p>
      <w:pPr>
        <w:spacing w:after="0" w:line="251" w:lineRule="exact"/>
        <w:rPr>
          <w:sz w:val="20"/>
          <w:szCs w:val="20"/>
          <w:color w:val="auto"/>
        </w:rPr>
      </w:pPr>
    </w:p>
    <w:p>
      <w:pPr>
        <w:ind w:left="1420" w:right="20" w:hanging="714"/>
        <w:spacing w:after="0" w:line="234" w:lineRule="auto"/>
        <w:tabs>
          <w:tab w:leader="none" w:pos="1420" w:val="left"/>
        </w:tabs>
        <w:numPr>
          <w:ilvl w:val="0"/>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period of 90 calendar days has passed since the date on which a written notice was issued pursuant to clause 45B;</w:t>
      </w:r>
    </w:p>
    <w:p>
      <w:pPr>
        <w:spacing w:after="0" w:line="253" w:lineRule="exact"/>
        <w:rPr>
          <w:rFonts w:ascii="Times New Roman" w:cs="Times New Roman" w:eastAsia="Times New Roman" w:hAnsi="Times New Roman"/>
          <w:sz w:val="22"/>
          <w:szCs w:val="22"/>
          <w:color w:val="auto"/>
        </w:rPr>
      </w:pPr>
    </w:p>
    <w:p>
      <w:pPr>
        <w:ind w:left="1420" w:hanging="714"/>
        <w:spacing w:after="0" w:line="234" w:lineRule="auto"/>
        <w:tabs>
          <w:tab w:leader="none" w:pos="1420" w:val="left"/>
        </w:tabs>
        <w:numPr>
          <w:ilvl w:val="0"/>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remedial action identified in a notice given under clause 45B (if any) has not been complied with; and</w:t>
      </w:r>
    </w:p>
    <w:p>
      <w:pPr>
        <w:spacing w:after="0" w:line="241"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it has consulted with the other Party in relation to the:</w:t>
      </w:r>
    </w:p>
    <w:p>
      <w:pPr>
        <w:spacing w:after="0" w:line="239" w:lineRule="exact"/>
        <w:rPr>
          <w:rFonts w:ascii="Times New Roman" w:cs="Times New Roman" w:eastAsia="Times New Roman" w:hAnsi="Times New Roman"/>
          <w:sz w:val="22"/>
          <w:szCs w:val="22"/>
          <w:color w:val="auto"/>
        </w:rPr>
      </w:pPr>
    </w:p>
    <w:p>
      <w:pPr>
        <w:ind w:left="2120" w:hanging="706"/>
        <w:spacing w:after="0"/>
        <w:tabs>
          <w:tab w:leader="none" w:pos="2120" w:val="left"/>
        </w:tabs>
        <w:numPr>
          <w:ilvl w:val="1"/>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scope of the audit;</w:t>
      </w:r>
    </w:p>
    <w:p>
      <w:pPr>
        <w:spacing w:after="0" w:line="239" w:lineRule="exact"/>
        <w:rPr>
          <w:rFonts w:ascii="Times New Roman" w:cs="Times New Roman" w:eastAsia="Times New Roman" w:hAnsi="Times New Roman"/>
          <w:sz w:val="22"/>
          <w:szCs w:val="22"/>
          <w:color w:val="auto"/>
        </w:rPr>
      </w:pPr>
    </w:p>
    <w:p>
      <w:pPr>
        <w:ind w:left="2120" w:hanging="706"/>
        <w:spacing w:after="0"/>
        <w:tabs>
          <w:tab w:leader="none" w:pos="2120" w:val="left"/>
        </w:tabs>
        <w:numPr>
          <w:ilvl w:val="1"/>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conduct of the audit, including any public facing components;</w:t>
      </w:r>
    </w:p>
    <w:p>
      <w:pPr>
        <w:spacing w:after="0" w:line="241" w:lineRule="exact"/>
        <w:rPr>
          <w:rFonts w:ascii="Times New Roman" w:cs="Times New Roman" w:eastAsia="Times New Roman" w:hAnsi="Times New Roman"/>
          <w:sz w:val="22"/>
          <w:szCs w:val="22"/>
          <w:color w:val="auto"/>
        </w:rPr>
      </w:pPr>
    </w:p>
    <w:p>
      <w:pPr>
        <w:ind w:left="2120" w:hanging="706"/>
        <w:spacing w:after="0"/>
        <w:tabs>
          <w:tab w:leader="none" w:pos="2120" w:val="left"/>
        </w:tabs>
        <w:numPr>
          <w:ilvl w:val="1"/>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criteria against which the audit will be conducted; and</w:t>
      </w:r>
    </w:p>
    <w:p>
      <w:pPr>
        <w:spacing w:after="0" w:line="239" w:lineRule="exact"/>
        <w:rPr>
          <w:rFonts w:ascii="Times New Roman" w:cs="Times New Roman" w:eastAsia="Times New Roman" w:hAnsi="Times New Roman"/>
          <w:sz w:val="22"/>
          <w:szCs w:val="22"/>
          <w:color w:val="auto"/>
        </w:rPr>
      </w:pPr>
    </w:p>
    <w:p>
      <w:pPr>
        <w:ind w:left="2120" w:hanging="706"/>
        <w:spacing w:after="0"/>
        <w:tabs>
          <w:tab w:leader="none" w:pos="2120" w:val="left"/>
        </w:tabs>
        <w:numPr>
          <w:ilvl w:val="1"/>
          <w:numId w:val="7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appointment of an independent auditor.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28</w:t>
      </w:r>
    </w:p>
    <w:p>
      <w:pPr>
        <w:sectPr>
          <w:pgSz w:w="11900" w:h="16838" w:orient="portrait"/>
          <w:cols w:equalWidth="0" w:num="1">
            <w:col w:w="9200"/>
          </w:cols>
          <w:pgMar w:left="1440" w:top="1440" w:right="1266" w:bottom="149" w:gutter="0" w:footer="0" w:header="0"/>
        </w:sectPr>
      </w:pPr>
    </w:p>
    <w:bookmarkStart w:id="28" w:name="page29"/>
    <w:bookmarkEnd w:id="28"/>
    <w:p>
      <w:pPr>
        <w:spacing w:after="0"/>
        <w:rPr>
          <w:sz w:val="20"/>
          <w:szCs w:val="20"/>
          <w:color w:val="auto"/>
        </w:rPr>
      </w:pPr>
      <w:r>
        <w:rPr>
          <w:rFonts w:ascii="Times New Roman" w:cs="Times New Roman" w:eastAsia="Times New Roman" w:hAnsi="Times New Roman"/>
          <w:sz w:val="22"/>
          <w:szCs w:val="22"/>
          <w:i w:val="1"/>
          <w:iCs w:val="1"/>
          <w:color w:val="auto"/>
        </w:rPr>
        <w:t>Conduct of audits</w:t>
      </w:r>
    </w:p>
    <w:p>
      <w:pPr>
        <w:spacing w:after="0" w:line="272" w:lineRule="exact"/>
        <w:rPr>
          <w:sz w:val="20"/>
          <w:szCs w:val="20"/>
          <w:color w:val="auto"/>
        </w:rPr>
      </w:pPr>
    </w:p>
    <w:p>
      <w:pPr>
        <w:jc w:val="both"/>
        <w:ind w:left="700" w:hanging="699"/>
        <w:spacing w:after="0" w:line="255" w:lineRule="auto"/>
        <w:tabs>
          <w:tab w:leader="none" w:pos="680" w:val="left"/>
        </w:tabs>
        <w:rPr>
          <w:sz w:val="20"/>
          <w:szCs w:val="20"/>
          <w:color w:val="auto"/>
        </w:rPr>
      </w:pPr>
      <w:r>
        <w:rPr>
          <w:rFonts w:ascii="Times New Roman" w:cs="Times New Roman" w:eastAsia="Times New Roman" w:hAnsi="Times New Roman"/>
          <w:sz w:val="22"/>
          <w:szCs w:val="22"/>
          <w:color w:val="auto"/>
        </w:rPr>
        <w:t>45E.</w:t>
      </w:r>
      <w:r>
        <w:rPr>
          <w:sz w:val="20"/>
          <w:szCs w:val="20"/>
          <w:color w:val="auto"/>
        </w:rPr>
        <w:tab/>
      </w:r>
      <w:r>
        <w:rPr>
          <w:rFonts w:ascii="Times New Roman" w:cs="Times New Roman" w:eastAsia="Times New Roman" w:hAnsi="Times New Roman"/>
          <w:sz w:val="22"/>
          <w:szCs w:val="22"/>
          <w:color w:val="auto"/>
        </w:rPr>
        <w:t>Audits must be conducted by an independent auditor that is to be appointed by the initiating Party in consultation with the other Party. The independent auditor must be directed by the initiating Party to produce a report that makes findings and identifies any remedial actions that should be taken to address any identified issues.</w:t>
      </w:r>
    </w:p>
    <w:p>
      <w:pPr>
        <w:spacing w:after="0" w:line="257" w:lineRule="exact"/>
        <w:rPr>
          <w:sz w:val="20"/>
          <w:szCs w:val="20"/>
          <w:color w:val="auto"/>
        </w:rPr>
      </w:pPr>
    </w:p>
    <w:p>
      <w:pPr>
        <w:jc w:val="both"/>
        <w:ind w:left="700" w:hanging="699"/>
        <w:spacing w:after="0" w:line="248" w:lineRule="auto"/>
        <w:tabs>
          <w:tab w:leader="none" w:pos="680" w:val="left"/>
        </w:tabs>
        <w:rPr>
          <w:sz w:val="20"/>
          <w:szCs w:val="20"/>
          <w:color w:val="auto"/>
        </w:rPr>
      </w:pPr>
      <w:r>
        <w:rPr>
          <w:rFonts w:ascii="Times New Roman" w:cs="Times New Roman" w:eastAsia="Times New Roman" w:hAnsi="Times New Roman"/>
          <w:sz w:val="22"/>
          <w:szCs w:val="22"/>
          <w:color w:val="auto"/>
        </w:rPr>
        <w:t>45F.</w:t>
      </w:r>
      <w:r>
        <w:rPr>
          <w:sz w:val="20"/>
          <w:szCs w:val="20"/>
          <w:color w:val="auto"/>
        </w:rPr>
        <w:tab/>
      </w:r>
      <w:r>
        <w:rPr>
          <w:rFonts w:ascii="Times New Roman" w:cs="Times New Roman" w:eastAsia="Times New Roman" w:hAnsi="Times New Roman"/>
          <w:sz w:val="22"/>
          <w:szCs w:val="22"/>
          <w:color w:val="auto"/>
        </w:rPr>
        <w:t>The scope of an audit is confined to an assessment of the matters identified in a written notice given under clause 45B of this Agreement.</w:t>
      </w:r>
    </w:p>
    <w:p>
      <w:pPr>
        <w:spacing w:after="0" w:line="262" w:lineRule="exact"/>
        <w:rPr>
          <w:sz w:val="20"/>
          <w:szCs w:val="20"/>
          <w:color w:val="auto"/>
        </w:rPr>
      </w:pPr>
    </w:p>
    <w:p>
      <w:pPr>
        <w:jc w:val="both"/>
        <w:ind w:left="700" w:hanging="699"/>
        <w:spacing w:after="0" w:line="254" w:lineRule="auto"/>
        <w:tabs>
          <w:tab w:leader="none" w:pos="680" w:val="left"/>
        </w:tabs>
        <w:rPr>
          <w:sz w:val="20"/>
          <w:szCs w:val="20"/>
          <w:color w:val="auto"/>
        </w:rPr>
      </w:pPr>
      <w:r>
        <w:rPr>
          <w:rFonts w:ascii="Times New Roman" w:cs="Times New Roman" w:eastAsia="Times New Roman" w:hAnsi="Times New Roman"/>
          <w:sz w:val="22"/>
          <w:szCs w:val="22"/>
          <w:color w:val="auto"/>
        </w:rPr>
        <w:t>45G.</w:t>
        <w:tab/>
        <w:t>An audit should be conducted in the most efficient and effective manner possible to address the matters identified by the initiating Party and must have regard to the views and concerns of both Parties.</w:t>
      </w:r>
    </w:p>
    <w:p>
      <w:pPr>
        <w:spacing w:after="0" w:line="247"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45H.</w:t>
        <w:tab/>
        <w:t>The Parties agree to cooperate fully in any audit.</w:t>
      </w:r>
    </w:p>
    <w:p>
      <w:pPr>
        <w:spacing w:after="0" w:line="270" w:lineRule="exact"/>
        <w:rPr>
          <w:sz w:val="20"/>
          <w:szCs w:val="20"/>
          <w:color w:val="auto"/>
        </w:rPr>
      </w:pPr>
    </w:p>
    <w:p>
      <w:pPr>
        <w:jc w:val="both"/>
        <w:ind w:left="700" w:hanging="699"/>
        <w:spacing w:after="0" w:line="248" w:lineRule="auto"/>
        <w:tabs>
          <w:tab w:leader="none" w:pos="680" w:val="left"/>
        </w:tabs>
        <w:rPr>
          <w:sz w:val="20"/>
          <w:szCs w:val="20"/>
          <w:color w:val="auto"/>
        </w:rPr>
      </w:pPr>
      <w:r>
        <w:rPr>
          <w:rFonts w:ascii="Times New Roman" w:cs="Times New Roman" w:eastAsia="Times New Roman" w:hAnsi="Times New Roman"/>
          <w:sz w:val="22"/>
          <w:szCs w:val="22"/>
          <w:color w:val="auto"/>
        </w:rPr>
        <w:t>45I.</w:t>
      </w:r>
      <w:r>
        <w:rPr>
          <w:sz w:val="20"/>
          <w:szCs w:val="20"/>
          <w:color w:val="auto"/>
        </w:rPr>
        <w:tab/>
      </w:r>
      <w:r>
        <w:rPr>
          <w:rFonts w:ascii="Times New Roman" w:cs="Times New Roman" w:eastAsia="Times New Roman" w:hAnsi="Times New Roman"/>
          <w:sz w:val="22"/>
          <w:szCs w:val="22"/>
          <w:color w:val="auto"/>
        </w:rPr>
        <w:t>Either Party may publish a report produced by the independent auditor in accordance with a direction issued under clause 45E:</w:t>
      </w:r>
    </w:p>
    <w:p>
      <w:pPr>
        <w:spacing w:after="0" w:line="253" w:lineRule="exact"/>
        <w:rPr>
          <w:sz w:val="20"/>
          <w:szCs w:val="20"/>
          <w:color w:val="auto"/>
        </w:rPr>
      </w:pPr>
    </w:p>
    <w:p>
      <w:pPr>
        <w:ind w:left="1080" w:hanging="360"/>
        <w:spacing w:after="0"/>
        <w:tabs>
          <w:tab w:leader="none" w:pos="1080" w:val="left"/>
        </w:tabs>
        <w:numPr>
          <w:ilvl w:val="0"/>
          <w:numId w:val="7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with the prior written consent of the other Party; or</w:t>
      </w:r>
    </w:p>
    <w:p>
      <w:pPr>
        <w:spacing w:after="0" w:line="260" w:lineRule="exact"/>
        <w:rPr>
          <w:rFonts w:ascii="Times New Roman" w:cs="Times New Roman" w:eastAsia="Times New Roman" w:hAnsi="Times New Roman"/>
          <w:sz w:val="22"/>
          <w:szCs w:val="22"/>
          <w:color w:val="auto"/>
        </w:rPr>
      </w:pPr>
    </w:p>
    <w:p>
      <w:pPr>
        <w:ind w:left="1080" w:hanging="360"/>
        <w:spacing w:after="0"/>
        <w:tabs>
          <w:tab w:leader="none" w:pos="1080" w:val="left"/>
        </w:tabs>
        <w:numPr>
          <w:ilvl w:val="0"/>
          <w:numId w:val="7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required by law.</w:t>
      </w:r>
    </w:p>
    <w:p>
      <w:pPr>
        <w:spacing w:after="0" w:line="258"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45J.</w:t>
      </w:r>
      <w:r>
        <w:rPr>
          <w:sz w:val="20"/>
          <w:szCs w:val="20"/>
          <w:color w:val="auto"/>
        </w:rPr>
        <w:tab/>
      </w:r>
      <w:r>
        <w:rPr>
          <w:rFonts w:ascii="Times New Roman" w:cs="Times New Roman" w:eastAsia="Times New Roman" w:hAnsi="Times New Roman"/>
          <w:sz w:val="22"/>
          <w:szCs w:val="22"/>
          <w:color w:val="auto"/>
        </w:rPr>
        <w:t>The costs of an audit will be borne by the initiating Party.</w:t>
      </w:r>
    </w:p>
    <w:p>
      <w:pPr>
        <w:spacing w:after="0" w:line="26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Forest Management System</w:t>
      </w:r>
    </w:p>
    <w:p>
      <w:pPr>
        <w:spacing w:after="0" w:line="267" w:lineRule="exact"/>
        <w:rPr>
          <w:sz w:val="20"/>
          <w:szCs w:val="20"/>
          <w:color w:val="auto"/>
        </w:rPr>
      </w:pPr>
    </w:p>
    <w:p>
      <w:pPr>
        <w:ind w:left="700" w:right="60" w:hanging="700"/>
        <w:spacing w:after="0" w:line="250" w:lineRule="auto"/>
        <w:tabs>
          <w:tab w:leader="none" w:pos="700" w:val="left"/>
        </w:tabs>
        <w:numPr>
          <w:ilvl w:val="0"/>
          <w:numId w:val="77"/>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Parties agree that Victoria’s Forest Management System (including its legislation, policies, codes, plans and management practices) provides for continuous improvement in relation to ESFM.</w:t>
      </w:r>
    </w:p>
    <w:p>
      <w:pPr>
        <w:spacing w:after="0" w:line="243" w:lineRule="exact"/>
        <w:rPr>
          <w:rFonts w:ascii="Times New Roman" w:cs="Times New Roman" w:eastAsia="Times New Roman" w:hAnsi="Times New Roman"/>
          <w:sz w:val="21"/>
          <w:szCs w:val="21"/>
          <w:color w:val="auto"/>
        </w:rPr>
      </w:pPr>
    </w:p>
    <w:p>
      <w:pPr>
        <w:ind w:left="700" w:right="40" w:hanging="700"/>
        <w:spacing w:after="0" w:line="234" w:lineRule="auto"/>
        <w:tabs>
          <w:tab w:leader="none" w:pos="700" w:val="left"/>
        </w:tabs>
        <w:numPr>
          <w:ilvl w:val="0"/>
          <w:numId w:val="7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accredits Victoria’s Forest Management System for the Central Highlands as amended by this Agreement. The system includes:</w:t>
      </w:r>
    </w:p>
    <w:p>
      <w:pPr>
        <w:ind w:left="1280" w:hanging="572"/>
        <w:spacing w:after="0" w:line="194" w:lineRule="auto"/>
        <w:tabs>
          <w:tab w:leader="none" w:pos="1280" w:val="left"/>
        </w:tabs>
        <w:numPr>
          <w:ilvl w:val="1"/>
          <w:numId w:val="77"/>
        </w:numPr>
        <w:rPr>
          <w:rFonts w:ascii="Wingdings" w:cs="Wingdings" w:eastAsia="Wingdings" w:hAnsi="Wingdings"/>
          <w:sz w:val="44"/>
          <w:szCs w:val="44"/>
          <w:color w:val="auto"/>
          <w:vertAlign w:val="superscript"/>
        </w:rPr>
      </w:pPr>
      <w:r>
        <w:rPr>
          <w:rFonts w:ascii="Times New Roman" w:cs="Times New Roman" w:eastAsia="Times New Roman" w:hAnsi="Times New Roman"/>
          <w:sz w:val="22"/>
          <w:szCs w:val="22"/>
          <w:color w:val="auto"/>
        </w:rPr>
        <w:t>Forest Management Plans and the process for their review;</w:t>
      </w:r>
    </w:p>
    <w:p>
      <w:pPr>
        <w:spacing w:after="0" w:line="166" w:lineRule="exact"/>
        <w:rPr>
          <w:rFonts w:ascii="Wingdings" w:cs="Wingdings" w:eastAsia="Wingdings" w:hAnsi="Wingdings"/>
          <w:sz w:val="44"/>
          <w:szCs w:val="44"/>
          <w:color w:val="auto"/>
          <w:vertAlign w:val="superscript"/>
        </w:rPr>
      </w:pPr>
    </w:p>
    <w:p>
      <w:pPr>
        <w:ind w:left="1280" w:hanging="572"/>
        <w:spacing w:after="0" w:line="180" w:lineRule="auto"/>
        <w:tabs>
          <w:tab w:leader="none" w:pos="1280" w:val="left"/>
        </w:tabs>
        <w:numPr>
          <w:ilvl w:val="1"/>
          <w:numId w:val="77"/>
        </w:numPr>
        <w:rPr>
          <w:rFonts w:ascii="Wingdings" w:cs="Wingdings" w:eastAsia="Wingdings" w:hAnsi="Wingdings"/>
          <w:sz w:val="28"/>
          <w:szCs w:val="28"/>
          <w:color w:val="auto"/>
          <w:vertAlign w:val="superscript"/>
        </w:rPr>
      </w:pPr>
      <w:r>
        <w:rPr>
          <w:rFonts w:ascii="Times New Roman" w:cs="Times New Roman" w:eastAsia="Times New Roman" w:hAnsi="Times New Roman"/>
          <w:sz w:val="17"/>
          <w:szCs w:val="17"/>
          <w:color w:val="auto"/>
        </w:rPr>
        <w:t xml:space="preserve">the </w:t>
      </w:r>
      <w:r>
        <w:rPr>
          <w:rFonts w:ascii="Times New Roman" w:cs="Times New Roman" w:eastAsia="Times New Roman" w:hAnsi="Times New Roman"/>
          <w:sz w:val="17"/>
          <w:szCs w:val="17"/>
          <w:i w:val="1"/>
          <w:iCs w:val="1"/>
          <w:color w:val="auto"/>
        </w:rPr>
        <w:t>Sustainable Forests (Timber) Act 2004</w:t>
      </w:r>
      <w:r>
        <w:rPr>
          <w:rFonts w:ascii="Times New Roman" w:cs="Times New Roman" w:eastAsia="Times New Roman" w:hAnsi="Times New Roman"/>
          <w:sz w:val="17"/>
          <w:szCs w:val="17"/>
          <w:color w:val="auto"/>
        </w:rPr>
        <w:t xml:space="preserve"> (Vic);</w:t>
      </w:r>
    </w:p>
    <w:p>
      <w:pPr>
        <w:spacing w:after="0" w:line="163" w:lineRule="exact"/>
        <w:rPr>
          <w:rFonts w:ascii="Wingdings" w:cs="Wingdings" w:eastAsia="Wingdings" w:hAnsi="Wingdings"/>
          <w:sz w:val="28"/>
          <w:szCs w:val="28"/>
          <w:color w:val="auto"/>
          <w:vertAlign w:val="superscript"/>
        </w:rPr>
      </w:pPr>
    </w:p>
    <w:p>
      <w:pPr>
        <w:ind w:left="1280" w:hanging="572"/>
        <w:spacing w:after="0" w:line="180" w:lineRule="auto"/>
        <w:tabs>
          <w:tab w:leader="none" w:pos="1280" w:val="left"/>
        </w:tabs>
        <w:numPr>
          <w:ilvl w:val="1"/>
          <w:numId w:val="77"/>
        </w:numPr>
        <w:rPr>
          <w:rFonts w:ascii="Wingdings" w:cs="Wingdings" w:eastAsia="Wingdings" w:hAnsi="Wingdings"/>
          <w:sz w:val="28"/>
          <w:szCs w:val="28"/>
          <w:color w:val="auto"/>
          <w:vertAlign w:val="superscript"/>
        </w:rPr>
      </w:pPr>
      <w:r>
        <w:rPr>
          <w:rFonts w:ascii="Times New Roman" w:cs="Times New Roman" w:eastAsia="Times New Roman" w:hAnsi="Times New Roman"/>
          <w:sz w:val="17"/>
          <w:szCs w:val="17"/>
          <w:color w:val="auto"/>
        </w:rPr>
        <w:t xml:space="preserve">the </w:t>
      </w:r>
      <w:r>
        <w:rPr>
          <w:rFonts w:ascii="Times New Roman" w:cs="Times New Roman" w:eastAsia="Times New Roman" w:hAnsi="Times New Roman"/>
          <w:sz w:val="17"/>
          <w:szCs w:val="17"/>
          <w:i w:val="1"/>
          <w:iCs w:val="1"/>
          <w:color w:val="auto"/>
        </w:rPr>
        <w:t>Flora and Fauna Guarantee Act 1988</w:t>
      </w:r>
      <w:r>
        <w:rPr>
          <w:rFonts w:ascii="Times New Roman" w:cs="Times New Roman" w:eastAsia="Times New Roman" w:hAnsi="Times New Roman"/>
          <w:sz w:val="17"/>
          <w:szCs w:val="17"/>
          <w:color w:val="auto"/>
        </w:rPr>
        <w:t xml:space="preserve"> (Vic);</w:t>
      </w:r>
    </w:p>
    <w:p>
      <w:pPr>
        <w:spacing w:after="0" w:line="165" w:lineRule="exact"/>
        <w:rPr>
          <w:rFonts w:ascii="Wingdings" w:cs="Wingdings" w:eastAsia="Wingdings" w:hAnsi="Wingdings"/>
          <w:sz w:val="28"/>
          <w:szCs w:val="28"/>
          <w:color w:val="auto"/>
          <w:vertAlign w:val="superscript"/>
        </w:rPr>
      </w:pPr>
    </w:p>
    <w:p>
      <w:pPr>
        <w:ind w:left="1280" w:right="340" w:hanging="572"/>
        <w:spacing w:after="0"/>
        <w:tabs>
          <w:tab w:leader="none" w:pos="1280" w:val="left"/>
        </w:tabs>
        <w:numPr>
          <w:ilvl w:val="1"/>
          <w:numId w:val="77"/>
        </w:numPr>
        <w:rPr>
          <w:rFonts w:ascii="Wingdings" w:cs="Wingdings" w:eastAsia="Wingdings" w:hAnsi="Wingdings"/>
          <w:sz w:val="42"/>
          <w:szCs w:val="42"/>
          <w:color w:val="auto"/>
          <w:vertAlign w:val="superscript"/>
        </w:rPr>
      </w:pPr>
      <w:r>
        <w:rPr>
          <w:rFonts w:ascii="Times New Roman" w:cs="Times New Roman" w:eastAsia="Times New Roman" w:hAnsi="Times New Roman"/>
          <w:sz w:val="21"/>
          <w:szCs w:val="21"/>
          <w:color w:val="auto"/>
        </w:rPr>
        <w:t>the process for forecasting the Harvest Level in the Central Highlands RFA Region; and</w:t>
      </w:r>
    </w:p>
    <w:p>
      <w:pPr>
        <w:spacing w:after="0" w:line="173" w:lineRule="exact"/>
        <w:rPr>
          <w:rFonts w:ascii="Wingdings" w:cs="Wingdings" w:eastAsia="Wingdings" w:hAnsi="Wingdings"/>
          <w:sz w:val="42"/>
          <w:szCs w:val="42"/>
          <w:color w:val="auto"/>
          <w:vertAlign w:val="superscript"/>
        </w:rPr>
      </w:pPr>
    </w:p>
    <w:p>
      <w:pPr>
        <w:ind w:left="1280" w:right="340" w:hanging="572"/>
        <w:spacing w:after="0" w:line="182" w:lineRule="auto"/>
        <w:tabs>
          <w:tab w:leader="none" w:pos="1280" w:val="left"/>
        </w:tabs>
        <w:numPr>
          <w:ilvl w:val="1"/>
          <w:numId w:val="77"/>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color w:val="auto"/>
        </w:rPr>
        <w:t>the systems and processes established by the Code of Practice for Timber Production and the Code of Practice for Bushfire Management on Public Land.</w:t>
      </w:r>
    </w:p>
    <w:p>
      <w:pPr>
        <w:spacing w:after="0" w:line="252" w:lineRule="exact"/>
        <w:rPr>
          <w:sz w:val="20"/>
          <w:szCs w:val="20"/>
          <w:color w:val="auto"/>
        </w:rPr>
      </w:pPr>
    </w:p>
    <w:p>
      <w:pPr>
        <w:jc w:val="both"/>
        <w:ind w:left="700" w:right="60" w:hanging="699"/>
        <w:spacing w:after="0" w:line="271" w:lineRule="auto"/>
        <w:tabs>
          <w:tab w:leader="none" w:pos="680" w:val="left"/>
        </w:tabs>
        <w:rPr>
          <w:sz w:val="20"/>
          <w:szCs w:val="20"/>
          <w:color w:val="auto"/>
        </w:rPr>
      </w:pPr>
      <w:r>
        <w:rPr>
          <w:rFonts w:ascii="Times New Roman" w:cs="Times New Roman" w:eastAsia="Times New Roman" w:hAnsi="Times New Roman"/>
          <w:sz w:val="22"/>
          <w:szCs w:val="22"/>
          <w:color w:val="auto"/>
        </w:rPr>
        <w:t>47A.</w:t>
        <w:tab/>
        <w:t>Victoria will notify the Commonwealth of any substantive changes to the Forest Management System in a timely manner and, where possible, discuss the proposed changes with the Commonwealth in advance of any final decision.</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Sustainability Indicators</w:t>
      </w:r>
    </w:p>
    <w:p>
      <w:pPr>
        <w:spacing w:after="0" w:line="287" w:lineRule="exact"/>
        <w:rPr>
          <w:sz w:val="20"/>
          <w:szCs w:val="20"/>
          <w:color w:val="auto"/>
        </w:rPr>
      </w:pPr>
    </w:p>
    <w:p>
      <w:pPr>
        <w:jc w:val="both"/>
        <w:ind w:left="700" w:right="40" w:hanging="700"/>
        <w:spacing w:after="0" w:line="237" w:lineRule="auto"/>
        <w:tabs>
          <w:tab w:leader="none" w:pos="700" w:val="left"/>
        </w:tabs>
        <w:numPr>
          <w:ilvl w:val="0"/>
          <w:numId w:val="7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the current Forest Management System will maintain appropriate mechanisms to monitor and review the sustainability of forest management practices. The Parties note that Victoria will continue to align key performance indicators in the Victorian State of the Forests Report with the Montreal Process Criteria and indicators (as amended from time to time), the current form of which is specified in Attachment 7, and will take into account the framework of</w:t>
      </w:r>
    </w:p>
    <w:p>
      <w:pPr>
        <w:spacing w:after="0" w:line="200" w:lineRule="exact"/>
        <w:rPr>
          <w:sz w:val="20"/>
          <w:szCs w:val="20"/>
          <w:color w:val="auto"/>
        </w:rPr>
      </w:pPr>
    </w:p>
    <w:p>
      <w:pPr>
        <w:spacing w:after="0" w:line="353"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29</w:t>
      </w:r>
    </w:p>
    <w:p>
      <w:pPr>
        <w:sectPr>
          <w:pgSz w:w="11900" w:h="16838" w:orient="portrait"/>
          <w:cols w:equalWidth="0" w:num="1">
            <w:col w:w="9240"/>
          </w:cols>
          <w:pgMar w:left="1440" w:top="1432" w:right="1226" w:bottom="149" w:gutter="0" w:footer="0" w:header="0"/>
        </w:sectPr>
      </w:pPr>
    </w:p>
    <w:bookmarkStart w:id="29" w:name="page30"/>
    <w:bookmarkEnd w:id="29"/>
    <w:p>
      <w:pPr>
        <w:spacing w:after="0" w:line="4" w:lineRule="exact"/>
        <w:rPr>
          <w:sz w:val="20"/>
          <w:szCs w:val="20"/>
          <w:color w:val="auto"/>
        </w:rPr>
      </w:pPr>
    </w:p>
    <w:p>
      <w:pPr>
        <w:jc w:val="both"/>
        <w:ind w:left="700"/>
        <w:spacing w:after="0" w:line="236" w:lineRule="auto"/>
        <w:rPr>
          <w:sz w:val="20"/>
          <w:szCs w:val="20"/>
          <w:color w:val="auto"/>
        </w:rPr>
      </w:pPr>
      <w:r>
        <w:rPr>
          <w:rFonts w:ascii="Times New Roman" w:cs="Times New Roman" w:eastAsia="Times New Roman" w:hAnsi="Times New Roman"/>
          <w:sz w:val="22"/>
          <w:szCs w:val="22"/>
          <w:color w:val="auto"/>
        </w:rPr>
        <w:t>regional indicators developed by the Montreal Process Implementation Group for Australia (MIG). Indicators will be practical, measurable, cost-effective and capable of being implemented at the regional level.</w:t>
      </w:r>
    </w:p>
    <w:p>
      <w:pPr>
        <w:spacing w:after="0" w:line="252" w:lineRule="exact"/>
        <w:rPr>
          <w:sz w:val="20"/>
          <w:szCs w:val="20"/>
          <w:color w:val="auto"/>
        </w:rPr>
      </w:pPr>
    </w:p>
    <w:p>
      <w:pPr>
        <w:ind w:left="700" w:right="300" w:hanging="558"/>
        <w:spacing w:after="0" w:line="237" w:lineRule="auto"/>
        <w:tabs>
          <w:tab w:leader="none" w:pos="700" w:val="left"/>
        </w:tabs>
        <w:numPr>
          <w:ilvl w:val="0"/>
          <w:numId w:val="7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has a set of Sustainability Indicators, which are aligned with the Montreal Process Criteria and indicators, as adapted to Australia through the Montreal Process Implementation Group for Australia, and are reported on every five years in the Victorian State of the Forests Report and inform the Five-yearly Review.</w:t>
      </w:r>
    </w:p>
    <w:p>
      <w:pPr>
        <w:spacing w:after="0" w:line="254" w:lineRule="exact"/>
        <w:rPr>
          <w:sz w:val="20"/>
          <w:szCs w:val="20"/>
          <w:color w:val="auto"/>
        </w:rPr>
      </w:pPr>
    </w:p>
    <w:p>
      <w:pPr>
        <w:jc w:val="both"/>
        <w:ind w:left="700" w:hanging="699"/>
        <w:spacing w:after="0" w:line="236" w:lineRule="auto"/>
        <w:tabs>
          <w:tab w:leader="none" w:pos="680" w:val="left"/>
        </w:tabs>
        <w:rPr>
          <w:sz w:val="20"/>
          <w:szCs w:val="20"/>
          <w:color w:val="auto"/>
        </w:rPr>
      </w:pPr>
      <w:r>
        <w:rPr>
          <w:rFonts w:ascii="Times New Roman" w:cs="Times New Roman" w:eastAsia="Times New Roman" w:hAnsi="Times New Roman"/>
          <w:sz w:val="22"/>
          <w:szCs w:val="22"/>
          <w:color w:val="auto"/>
        </w:rPr>
        <w:t>49A.</w:t>
        <w:tab/>
        <w:t>Victoria will continue to publicly report on its Sustainability Indicators every five years in its State of the Forests Report to align with and inform the Five-yearly Reviews required under this Agreement.</w:t>
      </w:r>
    </w:p>
    <w:p>
      <w:pPr>
        <w:spacing w:after="0" w:line="241"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49B.</w:t>
      </w:r>
      <w:r>
        <w:rPr>
          <w:sz w:val="20"/>
          <w:szCs w:val="20"/>
          <w:color w:val="auto"/>
        </w:rPr>
        <w:tab/>
      </w:r>
      <w:r>
        <w:rPr>
          <w:rFonts w:ascii="Times New Roman" w:cs="Times New Roman" w:eastAsia="Times New Roman" w:hAnsi="Times New Roman"/>
          <w:sz w:val="22"/>
          <w:szCs w:val="22"/>
          <w:color w:val="auto"/>
        </w:rPr>
        <w:t>Victoria will, in consultation with Traditional Owners, review its Sustainability Indicators by</w:t>
      </w:r>
    </w:p>
    <w:p>
      <w:pPr>
        <w:ind w:left="700"/>
        <w:spacing w:after="0"/>
        <w:rPr>
          <w:sz w:val="20"/>
          <w:szCs w:val="20"/>
          <w:color w:val="auto"/>
        </w:rPr>
      </w:pPr>
      <w:r>
        <w:rPr>
          <w:rFonts w:ascii="Times New Roman" w:cs="Times New Roman" w:eastAsia="Times New Roman" w:hAnsi="Times New Roman"/>
          <w:sz w:val="22"/>
          <w:szCs w:val="22"/>
          <w:color w:val="auto"/>
        </w:rPr>
        <w:t>2023 having regard to:</w:t>
      </w:r>
    </w:p>
    <w:p>
      <w:pPr>
        <w:spacing w:after="0" w:line="252" w:lineRule="exact"/>
        <w:rPr>
          <w:sz w:val="20"/>
          <w:szCs w:val="20"/>
          <w:color w:val="auto"/>
        </w:rPr>
      </w:pPr>
    </w:p>
    <w:p>
      <w:pPr>
        <w:ind w:left="1420" w:hanging="714"/>
        <w:spacing w:after="0" w:line="234" w:lineRule="auto"/>
        <w:tabs>
          <w:tab w:leader="none" w:pos="1420" w:val="left"/>
        </w:tabs>
        <w:numPr>
          <w:ilvl w:val="1"/>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maintaining a list of Sustainability Indicators which, at a minimum, will account for the Montreal Process Criteria and indicators;</w:t>
      </w:r>
    </w:p>
    <w:p>
      <w:pPr>
        <w:spacing w:after="0" w:line="241"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1"/>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United Nations Sustainable Development Goals and their successors or equivalents;</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1"/>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United Nations Declaration on the Rights of Indigenous Peoples;</w:t>
      </w:r>
    </w:p>
    <w:p>
      <w:pPr>
        <w:spacing w:after="0" w:line="241"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1"/>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Traditional Owner Knowledge and practice;</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1"/>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relevant MTOS;</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1"/>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wide range of contemporary Forest values and uses; and</w:t>
      </w:r>
    </w:p>
    <w:p>
      <w:pPr>
        <w:spacing w:after="0" w:line="241"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1"/>
          <w:numId w:val="8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relevant national targets.</w:t>
      </w:r>
    </w:p>
    <w:p>
      <w:pPr>
        <w:spacing w:after="0" w:line="250" w:lineRule="exact"/>
        <w:rPr>
          <w:rFonts w:ascii="Times New Roman" w:cs="Times New Roman" w:eastAsia="Times New Roman" w:hAnsi="Times New Roman"/>
          <w:sz w:val="22"/>
          <w:szCs w:val="22"/>
          <w:color w:val="auto"/>
        </w:rPr>
      </w:pPr>
    </w:p>
    <w:p>
      <w:pPr>
        <w:jc w:val="both"/>
        <w:ind w:left="700" w:hanging="700"/>
        <w:spacing w:after="0" w:line="236" w:lineRule="auto"/>
        <w:tabs>
          <w:tab w:leader="none" w:pos="700" w:val="left"/>
        </w:tabs>
        <w:numPr>
          <w:ilvl w:val="0"/>
          <w:numId w:val="8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 review its Sustainability Indicators following each relevant review of the National Sustainability Indicators and will, at a minimum, maintain a list of indicators that satisfies national level reporting requirements.</w:t>
      </w:r>
    </w:p>
    <w:p>
      <w:pPr>
        <w:spacing w:after="0" w:line="24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Private Land</w:t>
      </w:r>
    </w:p>
    <w:p>
      <w:pPr>
        <w:spacing w:after="0" w:line="249" w:lineRule="exact"/>
        <w:rPr>
          <w:sz w:val="20"/>
          <w:szCs w:val="20"/>
          <w:color w:val="auto"/>
        </w:rPr>
      </w:pPr>
    </w:p>
    <w:p>
      <w:pPr>
        <w:jc w:val="both"/>
        <w:ind w:left="700" w:hanging="700"/>
        <w:spacing w:after="0" w:line="237" w:lineRule="auto"/>
        <w:tabs>
          <w:tab w:leader="none" w:pos="70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reaffirm their commitments made in the NFPS to the conservation and management of the private Forest Estate. The Parties note that Victoria has, under the </w:t>
      </w:r>
      <w:r>
        <w:rPr>
          <w:rFonts w:ascii="Times New Roman" w:cs="Times New Roman" w:eastAsia="Times New Roman" w:hAnsi="Times New Roman"/>
          <w:sz w:val="22"/>
          <w:szCs w:val="22"/>
          <w:i w:val="1"/>
          <w:iCs w:val="1"/>
          <w:color w:val="auto"/>
        </w:rPr>
        <w:t>Planning and</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Environment Act 1987 </w:t>
      </w:r>
      <w:r>
        <w:rPr>
          <w:rFonts w:ascii="Times New Roman" w:cs="Times New Roman" w:eastAsia="Times New Roman" w:hAnsi="Times New Roman"/>
          <w:sz w:val="22"/>
          <w:szCs w:val="22"/>
          <w:color w:val="auto"/>
        </w:rPr>
        <w:t>(Vic), native vegetation retention controls to regulate the clearance of</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Native Forest on Private Land.</w:t>
      </w:r>
    </w:p>
    <w:p>
      <w:pPr>
        <w:spacing w:after="0" w:line="251" w:lineRule="exact"/>
        <w:rPr>
          <w:rFonts w:ascii="Times New Roman" w:cs="Times New Roman" w:eastAsia="Times New Roman" w:hAnsi="Times New Roman"/>
          <w:sz w:val="22"/>
          <w:szCs w:val="22"/>
          <w:color w:val="auto"/>
        </w:rPr>
      </w:pPr>
    </w:p>
    <w:p>
      <w:pPr>
        <w:jc w:val="both"/>
        <w:ind w:left="700" w:hanging="700"/>
        <w:spacing w:after="0" w:line="236" w:lineRule="auto"/>
        <w:tabs>
          <w:tab w:leader="none" w:pos="70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 Victorian law private Forest owners are required to ensure that their management operations are consistent with the Code of Practice for Timber Production, and to have in place adequate mechanisms to protect nature conservation and catchment values.</w:t>
      </w:r>
    </w:p>
    <w:p>
      <w:pPr>
        <w:spacing w:after="0" w:line="254" w:lineRule="exact"/>
        <w:rPr>
          <w:rFonts w:ascii="Times New Roman" w:cs="Times New Roman" w:eastAsia="Times New Roman" w:hAnsi="Times New Roman"/>
          <w:sz w:val="22"/>
          <w:szCs w:val="22"/>
          <w:color w:val="auto"/>
        </w:rPr>
      </w:pPr>
    </w:p>
    <w:p>
      <w:pPr>
        <w:jc w:val="both"/>
        <w:ind w:left="700" w:hanging="700"/>
        <w:spacing w:after="0" w:line="238" w:lineRule="auto"/>
        <w:tabs>
          <w:tab w:leader="none" w:pos="700" w:val="left"/>
        </w:tabs>
        <w:numPr>
          <w:ilvl w:val="0"/>
          <w:numId w:val="8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Ecological Vegetation Classes which were priorities for the CAR Reserve System in 1998 and which occurred on Private Land are listed in Table 3 in Attachment 1. EVCs predominantly occurring on Private Land within the RFA Region which are current priorities for conservation are identified in Tables 1a and 1b in Attachment 1. The Parties agree that priority EVCs occurring predominantly on Private Land (as identified in Tables 1a and 1b in Attachment 1) can be managed to protect values consistent with the JANIS Reserve Criteria or could contribute to the CAR Reserve System through a range of mechanisms, including (but not limited to) the mechanisms identified in Attachment 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30</w:t>
      </w:r>
    </w:p>
    <w:p>
      <w:pPr>
        <w:sectPr>
          <w:pgSz w:w="11900" w:h="16838" w:orient="portrait"/>
          <w:cols w:equalWidth="0" w:num="1">
            <w:col w:w="9200"/>
          </w:cols>
          <w:pgMar w:left="1440" w:top="1440" w:right="1266" w:bottom="149" w:gutter="0" w:footer="0" w:header="0"/>
        </w:sectPr>
      </w:pPr>
    </w:p>
    <w:bookmarkStart w:id="30" w:name="page31"/>
    <w:bookmarkEnd w:id="30"/>
    <w:p>
      <w:pPr>
        <w:spacing w:after="0" w:line="4" w:lineRule="exact"/>
        <w:rPr>
          <w:sz w:val="20"/>
          <w:szCs w:val="20"/>
          <w:color w:val="auto"/>
        </w:rPr>
      </w:pPr>
    </w:p>
    <w:p>
      <w:pPr>
        <w:jc w:val="both"/>
        <w:ind w:left="700" w:right="40" w:hanging="699"/>
        <w:spacing w:after="0" w:line="272" w:lineRule="auto"/>
        <w:tabs>
          <w:tab w:leader="none" w:pos="680" w:val="left"/>
        </w:tabs>
        <w:rPr>
          <w:sz w:val="20"/>
          <w:szCs w:val="20"/>
          <w:color w:val="auto"/>
        </w:rPr>
      </w:pPr>
      <w:r>
        <w:rPr>
          <w:rFonts w:ascii="Times New Roman" w:cs="Times New Roman" w:eastAsia="Times New Roman" w:hAnsi="Times New Roman"/>
          <w:sz w:val="22"/>
          <w:szCs w:val="22"/>
          <w:color w:val="auto"/>
        </w:rPr>
        <w:t>53A.</w:t>
        <w:tab/>
        <w:t>The Parties recognise the importance of Environment and Heritage Values, Listed Species and Communities and Ecosystem Services on Private Land. Victoria agrees to continue to support processes which will facilitate the voluntary participation by private landholders to protect these values on Private Land, which in turn becomes part of the CAR Reserve System.</w:t>
      </w:r>
    </w:p>
    <w:p>
      <w:pPr>
        <w:spacing w:after="0" w:line="257" w:lineRule="exact"/>
        <w:rPr>
          <w:sz w:val="20"/>
          <w:szCs w:val="20"/>
          <w:color w:val="auto"/>
        </w:rPr>
      </w:pPr>
    </w:p>
    <w:p>
      <w:pPr>
        <w:jc w:val="both"/>
        <w:ind w:left="700" w:right="40" w:hanging="699"/>
        <w:spacing w:after="0" w:line="270" w:lineRule="auto"/>
        <w:tabs>
          <w:tab w:leader="none" w:pos="680" w:val="left"/>
        </w:tabs>
        <w:rPr>
          <w:sz w:val="20"/>
          <w:szCs w:val="20"/>
          <w:color w:val="auto"/>
        </w:rPr>
      </w:pPr>
      <w:r>
        <w:rPr>
          <w:rFonts w:ascii="Times New Roman" w:cs="Times New Roman" w:eastAsia="Times New Roman" w:hAnsi="Times New Roman"/>
          <w:sz w:val="22"/>
          <w:szCs w:val="22"/>
          <w:color w:val="auto"/>
        </w:rPr>
        <w:t>53B.</w:t>
      </w:r>
      <w:r>
        <w:rPr>
          <w:sz w:val="20"/>
          <w:szCs w:val="20"/>
          <w:color w:val="auto"/>
        </w:rPr>
        <w:tab/>
      </w:r>
      <w:r>
        <w:rPr>
          <w:rFonts w:ascii="Times New Roman" w:cs="Times New Roman" w:eastAsia="Times New Roman" w:hAnsi="Times New Roman"/>
          <w:sz w:val="22"/>
          <w:szCs w:val="22"/>
          <w:color w:val="auto"/>
        </w:rPr>
        <w:t>Victoria will, for the duration of this Agreement, investigate and pursue opportunities to increase permanently protected areas as well as enhance conservation on Private Land through additions to the CAR Reserve System.</w:t>
      </w:r>
    </w:p>
    <w:p>
      <w:pPr>
        <w:spacing w:after="0" w:line="248" w:lineRule="exact"/>
        <w:rPr>
          <w:sz w:val="20"/>
          <w:szCs w:val="20"/>
          <w:color w:val="auto"/>
        </w:rPr>
      </w:pPr>
    </w:p>
    <w:p>
      <w:pPr>
        <w:ind w:left="700" w:hanging="616"/>
        <w:spacing w:after="0"/>
        <w:tabs>
          <w:tab w:leader="none" w:pos="700" w:val="left"/>
        </w:tabs>
        <w:numPr>
          <w:ilvl w:val="0"/>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00" w:hanging="616"/>
        <w:spacing w:after="0"/>
        <w:tabs>
          <w:tab w:leader="none" w:pos="700" w:val="left"/>
        </w:tabs>
        <w:numPr>
          <w:ilvl w:val="0"/>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00" w:hanging="616"/>
        <w:spacing w:after="0"/>
        <w:tabs>
          <w:tab w:leader="none" w:pos="700" w:val="left"/>
        </w:tabs>
        <w:numPr>
          <w:ilvl w:val="0"/>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1" w:lineRule="exact"/>
        <w:rPr>
          <w:rFonts w:ascii="Times New Roman" w:cs="Times New Roman" w:eastAsia="Times New Roman" w:hAnsi="Times New Roman"/>
          <w:sz w:val="22"/>
          <w:szCs w:val="22"/>
          <w:color w:val="auto"/>
        </w:rPr>
      </w:pPr>
    </w:p>
    <w:p>
      <w:pPr>
        <w:ind w:left="700" w:hanging="616"/>
        <w:spacing w:after="0"/>
        <w:tabs>
          <w:tab w:leader="none" w:pos="700" w:val="left"/>
        </w:tabs>
        <w:numPr>
          <w:ilvl w:val="0"/>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00" w:hanging="616"/>
        <w:spacing w:after="0"/>
        <w:tabs>
          <w:tab w:leader="none" w:pos="700" w:val="left"/>
        </w:tabs>
        <w:numPr>
          <w:ilvl w:val="0"/>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1" w:lineRule="exact"/>
        <w:rPr>
          <w:rFonts w:ascii="Times New Roman" w:cs="Times New Roman" w:eastAsia="Times New Roman" w:hAnsi="Times New Roman"/>
          <w:sz w:val="22"/>
          <w:szCs w:val="22"/>
          <w:color w:val="auto"/>
        </w:rPr>
      </w:pPr>
    </w:p>
    <w:p>
      <w:pPr>
        <w:ind w:left="700" w:hanging="616"/>
        <w:spacing w:after="0"/>
        <w:tabs>
          <w:tab w:leader="none" w:pos="700" w:val="left"/>
        </w:tabs>
        <w:numPr>
          <w:ilvl w:val="0"/>
          <w:numId w:val="8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THE CAR RESERVE SYSTEM</w:t>
      </w:r>
    </w:p>
    <w:p>
      <w:pPr>
        <w:spacing w:after="0" w:line="246" w:lineRule="exact"/>
        <w:rPr>
          <w:sz w:val="20"/>
          <w:szCs w:val="20"/>
          <w:color w:val="auto"/>
        </w:rPr>
      </w:pPr>
    </w:p>
    <w:p>
      <w:pPr>
        <w:jc w:val="both"/>
        <w:ind w:left="720" w:right="40" w:hanging="720"/>
        <w:spacing w:after="0" w:line="237" w:lineRule="auto"/>
        <w:tabs>
          <w:tab w:leader="none" w:pos="720" w:val="left"/>
        </w:tabs>
        <w:numPr>
          <w:ilvl w:val="0"/>
          <w:numId w:val="8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the primary function of the CAR Reserve System is to ensure the long-term conservation and protection of Environment and Heritage Values, Listed Species and Communities and Ecosystem Services, and that the CAR Reserve System will be maintained for this purpose. The CAR Reserve System includes the land described in Attachment 1.</w:t>
      </w:r>
    </w:p>
    <w:p>
      <w:pPr>
        <w:spacing w:after="0" w:line="254" w:lineRule="exact"/>
        <w:rPr>
          <w:sz w:val="20"/>
          <w:szCs w:val="20"/>
          <w:color w:val="auto"/>
        </w:rPr>
      </w:pPr>
    </w:p>
    <w:p>
      <w:pPr>
        <w:jc w:val="both"/>
        <w:ind w:left="700" w:right="40" w:hanging="699"/>
        <w:spacing w:after="0" w:line="237" w:lineRule="auto"/>
        <w:tabs>
          <w:tab w:leader="none" w:pos="680" w:val="left"/>
        </w:tabs>
        <w:rPr>
          <w:sz w:val="20"/>
          <w:szCs w:val="20"/>
          <w:color w:val="auto"/>
        </w:rPr>
      </w:pPr>
      <w:r>
        <w:rPr>
          <w:rFonts w:ascii="Times New Roman" w:cs="Times New Roman" w:eastAsia="Times New Roman" w:hAnsi="Times New Roman"/>
          <w:sz w:val="22"/>
          <w:szCs w:val="22"/>
          <w:color w:val="auto"/>
        </w:rPr>
        <w:t>60A.</w:t>
        <w:tab/>
        <w:t>The Parties acknowledge that, in addition to the maintenance of the CAR Reserve System, achieving the long-term conservation and protection of Environment and Heritage Values, Listed Species and Communities and Ecosystem Services requires active management by Victoria to address Threatening Processes.</w:t>
      </w:r>
    </w:p>
    <w:p>
      <w:pPr>
        <w:spacing w:after="0" w:line="254" w:lineRule="exact"/>
        <w:rPr>
          <w:sz w:val="20"/>
          <w:szCs w:val="20"/>
          <w:color w:val="auto"/>
        </w:rPr>
      </w:pPr>
    </w:p>
    <w:p>
      <w:pPr>
        <w:jc w:val="both"/>
        <w:ind w:left="720" w:right="40" w:hanging="720"/>
        <w:spacing w:after="0" w:line="237" w:lineRule="auto"/>
        <w:tabs>
          <w:tab w:leader="none" w:pos="720" w:val="left"/>
        </w:tabs>
        <w:numPr>
          <w:ilvl w:val="0"/>
          <w:numId w:val="8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the CAR Reserve System described in Attachment 1, in conjunction with the arrangements proposed for Private Land in Attachment 1, satisfies the JANIS Reserve Criteria, through the provision of each of the constituent elements as described in clause 61A. Each element of the reserve system will be administered in accordance with Victorian legislation</w:t>
      </w:r>
      <w:r>
        <w:rPr>
          <w:rFonts w:ascii="Times New Roman" w:cs="Times New Roman" w:eastAsia="Times New Roman" w:hAnsi="Times New Roman"/>
          <w:sz w:val="22"/>
          <w:szCs w:val="22"/>
          <w:color w:val="00B050"/>
        </w:rPr>
        <w:t>.</w:t>
      </w:r>
    </w:p>
    <w:p>
      <w:pPr>
        <w:spacing w:after="0" w:line="252" w:lineRule="exact"/>
        <w:rPr>
          <w:sz w:val="20"/>
          <w:szCs w:val="20"/>
          <w:color w:val="auto"/>
        </w:rPr>
      </w:pPr>
    </w:p>
    <w:p>
      <w:pPr>
        <w:jc w:val="both"/>
        <w:ind w:left="700" w:hanging="699"/>
        <w:spacing w:after="0" w:line="250" w:lineRule="auto"/>
        <w:tabs>
          <w:tab w:leader="none" w:pos="680" w:val="left"/>
        </w:tabs>
        <w:rPr>
          <w:sz w:val="20"/>
          <w:szCs w:val="20"/>
          <w:color w:val="auto"/>
        </w:rPr>
      </w:pPr>
      <w:r>
        <w:rPr>
          <w:rFonts w:ascii="Times New Roman" w:cs="Times New Roman" w:eastAsia="Times New Roman" w:hAnsi="Times New Roman"/>
          <w:sz w:val="22"/>
          <w:szCs w:val="22"/>
          <w:color w:val="auto"/>
        </w:rPr>
        <w:t>61A.</w:t>
      </w:r>
      <w:r>
        <w:rPr>
          <w:sz w:val="20"/>
          <w:szCs w:val="20"/>
          <w:color w:val="auto"/>
        </w:rPr>
        <w:tab/>
      </w:r>
      <w:r>
        <w:rPr>
          <w:rFonts w:ascii="Times New Roman" w:cs="Times New Roman" w:eastAsia="Times New Roman" w:hAnsi="Times New Roman"/>
          <w:sz w:val="22"/>
          <w:szCs w:val="22"/>
          <w:color w:val="auto"/>
        </w:rPr>
        <w:t>The Parties agree that the CAR Reserve System established in accordance with this Agreement (including as it has been progressively added to and as further defined in Attachment 1), comprises:</w:t>
      </w:r>
    </w:p>
    <w:p>
      <w:pPr>
        <w:spacing w:after="0" w:line="249" w:lineRule="exact"/>
        <w:rPr>
          <w:sz w:val="20"/>
          <w:szCs w:val="20"/>
          <w:color w:val="auto"/>
        </w:rPr>
      </w:pPr>
    </w:p>
    <w:p>
      <w:pPr>
        <w:ind w:left="1420" w:hanging="714"/>
        <w:spacing w:after="0"/>
        <w:tabs>
          <w:tab w:leader="none" w:pos="1420" w:val="left"/>
        </w:tabs>
        <w:numPr>
          <w:ilvl w:val="0"/>
          <w:numId w:val="8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Dedicated Reserves;</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8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Informal Reserves;</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8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areas with CAR Values protected by prescription; and</w:t>
      </w:r>
    </w:p>
    <w:p>
      <w:pPr>
        <w:spacing w:after="0" w:line="253" w:lineRule="exact"/>
        <w:rPr>
          <w:rFonts w:ascii="Times New Roman" w:cs="Times New Roman" w:eastAsia="Times New Roman" w:hAnsi="Times New Roman"/>
          <w:sz w:val="22"/>
          <w:szCs w:val="22"/>
          <w:color w:val="auto"/>
        </w:rPr>
      </w:pPr>
    </w:p>
    <w:p>
      <w:pPr>
        <w:ind w:left="1420" w:right="40" w:hanging="714"/>
        <w:spacing w:after="0" w:line="234" w:lineRule="auto"/>
        <w:tabs>
          <w:tab w:leader="none" w:pos="1420" w:val="left"/>
        </w:tabs>
        <w:numPr>
          <w:ilvl w:val="0"/>
          <w:numId w:val="8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Private Land with CAR Values protected under secure management arrangements entered into with Private Land owners,</w:t>
      </w:r>
    </w:p>
    <w:p>
      <w:pPr>
        <w:spacing w:after="0" w:line="253" w:lineRule="exact"/>
        <w:rPr>
          <w:sz w:val="20"/>
          <w:szCs w:val="20"/>
          <w:color w:val="auto"/>
        </w:rPr>
      </w:pPr>
    </w:p>
    <w:p>
      <w:pPr>
        <w:ind w:left="700" w:right="700"/>
        <w:spacing w:after="0" w:line="264" w:lineRule="auto"/>
        <w:rPr>
          <w:sz w:val="20"/>
          <w:szCs w:val="20"/>
          <w:color w:val="auto"/>
        </w:rPr>
      </w:pPr>
      <w:r>
        <w:rPr>
          <w:rFonts w:ascii="Times New Roman" w:cs="Times New Roman" w:eastAsia="Times New Roman" w:hAnsi="Times New Roman"/>
          <w:sz w:val="22"/>
          <w:szCs w:val="22"/>
          <w:color w:val="auto"/>
        </w:rPr>
        <w:t>and that changes to the composition of these constituent elements enable the provision of adaptive and ecologically sustainable management of Forests.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31</w:t>
      </w:r>
    </w:p>
    <w:p>
      <w:pPr>
        <w:sectPr>
          <w:pgSz w:w="11900" w:h="16838" w:orient="portrait"/>
          <w:cols w:equalWidth="0" w:num="1">
            <w:col w:w="9240"/>
          </w:cols>
          <w:pgMar w:left="1440" w:top="1440" w:right="1226" w:bottom="149" w:gutter="0" w:footer="0" w:header="0"/>
        </w:sectPr>
      </w:pPr>
    </w:p>
    <w:bookmarkStart w:id="31" w:name="page32"/>
    <w:bookmarkEnd w:id="31"/>
    <w:p>
      <w:pPr>
        <w:spacing w:after="0" w:line="4" w:lineRule="exact"/>
        <w:rPr>
          <w:sz w:val="20"/>
          <w:szCs w:val="20"/>
          <w:color w:val="auto"/>
        </w:rPr>
      </w:pPr>
    </w:p>
    <w:p>
      <w:pPr>
        <w:ind w:left="720" w:hanging="720"/>
        <w:spacing w:after="0" w:line="234" w:lineRule="auto"/>
        <w:tabs>
          <w:tab w:leader="none" w:pos="720" w:val="left"/>
        </w:tabs>
        <w:numPr>
          <w:ilvl w:val="0"/>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 implement the CAR Reserve System described in Attachment 1</w:t>
      </w:r>
      <w:r>
        <w:rPr>
          <w:rFonts w:ascii="Times New Roman" w:cs="Times New Roman" w:eastAsia="Times New Roman" w:hAnsi="Times New Roman"/>
          <w:sz w:val="22"/>
          <w:szCs w:val="22"/>
          <w:b w:val="1"/>
          <w:bCs w:val="1"/>
          <w:color w:val="auto"/>
        </w:rPr>
        <w:t>.</w:t>
      </w:r>
      <w:r>
        <w:rPr>
          <w:rFonts w:ascii="Times New Roman" w:cs="Times New Roman" w:eastAsia="Times New Roman" w:hAnsi="Times New Roman"/>
          <w:sz w:val="22"/>
          <w:szCs w:val="22"/>
          <w:color w:val="auto"/>
        </w:rPr>
        <w:t xml:space="preserve"> The extent of the CAR Reserve System within Dedicated Reserves and Informal Reserves:</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at the time of the establishment of the Agreement in 1998 is identified on Map 1;</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at December 2019 is identified on Map 2; and</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8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be periodically mapped and made publicly available.</w:t>
      </w:r>
    </w:p>
    <w:p>
      <w:pPr>
        <w:spacing w:after="0" w:line="251" w:lineRule="exact"/>
        <w:rPr>
          <w:sz w:val="20"/>
          <w:szCs w:val="20"/>
          <w:color w:val="auto"/>
        </w:rPr>
      </w:pPr>
    </w:p>
    <w:p>
      <w:pPr>
        <w:jc w:val="both"/>
        <w:ind w:left="700" w:hanging="699"/>
        <w:spacing w:after="0" w:line="237" w:lineRule="auto"/>
        <w:tabs>
          <w:tab w:leader="none" w:pos="680" w:val="left"/>
        </w:tabs>
        <w:rPr>
          <w:sz w:val="20"/>
          <w:szCs w:val="20"/>
          <w:color w:val="auto"/>
        </w:rPr>
      </w:pPr>
      <w:r>
        <w:rPr>
          <w:rFonts w:ascii="Times New Roman" w:cs="Times New Roman" w:eastAsia="Times New Roman" w:hAnsi="Times New Roman"/>
          <w:sz w:val="22"/>
          <w:szCs w:val="22"/>
          <w:color w:val="auto"/>
        </w:rPr>
        <w:t>62A.</w:t>
        <w:tab/>
        <w:t>Victoria agrees to maintain a CAR Reserve System in the Central Highlands RFA Region that satisfies the JANIS Reserve Criteria (through the provision of each of the constituent elements as described in clause 61A) and contributes towards the National Reserve System in respect of Forest communities.</w:t>
      </w:r>
    </w:p>
    <w:p>
      <w:pPr>
        <w:spacing w:after="0" w:line="254" w:lineRule="exact"/>
        <w:rPr>
          <w:sz w:val="20"/>
          <w:szCs w:val="20"/>
          <w:color w:val="auto"/>
        </w:rPr>
      </w:pPr>
    </w:p>
    <w:p>
      <w:pPr>
        <w:jc w:val="both"/>
        <w:ind w:left="700" w:right="20" w:hanging="699"/>
        <w:spacing w:after="0" w:line="234" w:lineRule="auto"/>
        <w:tabs>
          <w:tab w:leader="none" w:pos="680" w:val="left"/>
        </w:tabs>
        <w:rPr>
          <w:sz w:val="20"/>
          <w:szCs w:val="20"/>
          <w:color w:val="auto"/>
        </w:rPr>
      </w:pPr>
      <w:r>
        <w:rPr>
          <w:rFonts w:ascii="Times New Roman" w:cs="Times New Roman" w:eastAsia="Times New Roman" w:hAnsi="Times New Roman"/>
          <w:sz w:val="22"/>
          <w:szCs w:val="22"/>
          <w:color w:val="auto"/>
        </w:rPr>
        <w:t>62B.</w:t>
      </w:r>
      <w:r>
        <w:rPr>
          <w:sz w:val="20"/>
          <w:szCs w:val="20"/>
          <w:color w:val="auto"/>
        </w:rPr>
        <w:tab/>
      </w:r>
      <w:r>
        <w:rPr>
          <w:rFonts w:ascii="Times New Roman" w:cs="Times New Roman" w:eastAsia="Times New Roman" w:hAnsi="Times New Roman"/>
          <w:sz w:val="22"/>
          <w:szCs w:val="22"/>
          <w:color w:val="auto"/>
        </w:rPr>
        <w:t>Victoria will use its best endeavours to progressively increase protection levels for priority EVCs as soon as practicable, subject to wood supply commitments.</w:t>
      </w:r>
    </w:p>
    <w:p>
      <w:pPr>
        <w:spacing w:after="0" w:line="253" w:lineRule="exact"/>
        <w:rPr>
          <w:sz w:val="20"/>
          <w:szCs w:val="20"/>
          <w:color w:val="auto"/>
        </w:rPr>
      </w:pPr>
    </w:p>
    <w:p>
      <w:pPr>
        <w:jc w:val="both"/>
        <w:ind w:left="700" w:right="20" w:hanging="699"/>
        <w:spacing w:after="0" w:line="235" w:lineRule="auto"/>
        <w:tabs>
          <w:tab w:leader="none" w:pos="680" w:val="left"/>
        </w:tabs>
        <w:rPr>
          <w:sz w:val="20"/>
          <w:szCs w:val="20"/>
          <w:color w:val="auto"/>
        </w:rPr>
      </w:pPr>
      <w:r>
        <w:rPr>
          <w:rFonts w:ascii="Times New Roman" w:cs="Times New Roman" w:eastAsia="Times New Roman" w:hAnsi="Times New Roman"/>
          <w:sz w:val="22"/>
          <w:szCs w:val="22"/>
          <w:color w:val="auto"/>
        </w:rPr>
        <w:t>62C.</w:t>
      </w:r>
      <w:r>
        <w:rPr>
          <w:sz w:val="20"/>
          <w:szCs w:val="20"/>
          <w:color w:val="auto"/>
        </w:rPr>
        <w:tab/>
      </w:r>
      <w:r>
        <w:rPr>
          <w:rFonts w:ascii="Times New Roman" w:cs="Times New Roman" w:eastAsia="Times New Roman" w:hAnsi="Times New Roman"/>
          <w:sz w:val="22"/>
          <w:szCs w:val="22"/>
          <w:color w:val="auto"/>
        </w:rPr>
        <w:t>Victoria will use its best endeavours to conserve and protect all EVCs, with a particular focus on vulnerable, rare and endangered EVCs, both within the CAR Reserve System and off reserve (non-CAR Reserve components of State Forests and Private Land), by:</w:t>
      </w:r>
    </w:p>
    <w:p>
      <w:pPr>
        <w:spacing w:after="0" w:line="244" w:lineRule="exact"/>
        <w:rPr>
          <w:sz w:val="20"/>
          <w:szCs w:val="20"/>
          <w:color w:val="auto"/>
        </w:rPr>
      </w:pPr>
    </w:p>
    <w:p>
      <w:pPr>
        <w:ind w:left="1420" w:hanging="712"/>
        <w:spacing w:after="0"/>
        <w:tabs>
          <w:tab w:leader="none" w:pos="142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identifying opportunities to reduce the extent and severity of Threatening Processes;</w:t>
      </w:r>
    </w:p>
    <w:p>
      <w:pPr>
        <w:spacing w:after="0" w:line="250" w:lineRule="exact"/>
        <w:rPr>
          <w:rFonts w:ascii="Times New Roman" w:cs="Times New Roman" w:eastAsia="Times New Roman" w:hAnsi="Times New Roman"/>
          <w:sz w:val="22"/>
          <w:szCs w:val="22"/>
          <w:color w:val="auto"/>
        </w:rPr>
      </w:pPr>
    </w:p>
    <w:p>
      <w:pPr>
        <w:ind w:left="1420" w:right="20" w:hanging="712"/>
        <w:spacing w:after="0" w:line="235" w:lineRule="auto"/>
        <w:tabs>
          <w:tab w:leader="none" w:pos="142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increasing the protection of hollow bearing trees and tree ferns in relevant EVCs to maintain ecological processes;</w:t>
      </w:r>
    </w:p>
    <w:p>
      <w:pPr>
        <w:spacing w:after="0" w:line="251"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limiting the impacts of bushfires and planned burning and associated operational activities;</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actively managing pest plants and animals;</w:t>
      </w:r>
    </w:p>
    <w:p>
      <w:pPr>
        <w:spacing w:after="0" w:line="250" w:lineRule="exact"/>
        <w:rPr>
          <w:rFonts w:ascii="Times New Roman" w:cs="Times New Roman" w:eastAsia="Times New Roman" w:hAnsi="Times New Roman"/>
          <w:sz w:val="22"/>
          <w:szCs w:val="22"/>
          <w:color w:val="auto"/>
        </w:rPr>
      </w:pPr>
    </w:p>
    <w:p>
      <w:pPr>
        <w:ind w:left="1420" w:right="20" w:hanging="712"/>
        <w:spacing w:after="0" w:line="235" w:lineRule="auto"/>
        <w:tabs>
          <w:tab w:leader="none" w:pos="142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investigating opportunities to implement alternative silviculture techniques such as variable retention harvesting;</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adapting to the impacts of natural disturbances, such as bushfires; and</w:t>
      </w:r>
    </w:p>
    <w:p>
      <w:pPr>
        <w:spacing w:after="0" w:line="252"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0"/>
          <w:numId w:val="8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implementing any other mechanisms considered appropriate, as determined based on the best available science.</w:t>
      </w:r>
    </w:p>
    <w:p>
      <w:pPr>
        <w:spacing w:after="0" w:line="254" w:lineRule="exact"/>
        <w:rPr>
          <w:sz w:val="20"/>
          <w:szCs w:val="20"/>
          <w:color w:val="auto"/>
        </w:rPr>
      </w:pPr>
    </w:p>
    <w:p>
      <w:pPr>
        <w:jc w:val="both"/>
        <w:ind w:left="700" w:right="20" w:hanging="705"/>
        <w:spacing w:after="0" w:line="234" w:lineRule="auto"/>
        <w:tabs>
          <w:tab w:leader="none" w:pos="680" w:val="left"/>
        </w:tabs>
        <w:rPr>
          <w:sz w:val="20"/>
          <w:szCs w:val="20"/>
          <w:color w:val="auto"/>
        </w:rPr>
      </w:pPr>
      <w:r>
        <w:rPr>
          <w:rFonts w:ascii="Times New Roman" w:cs="Times New Roman" w:eastAsia="Times New Roman" w:hAnsi="Times New Roman"/>
          <w:sz w:val="22"/>
          <w:szCs w:val="22"/>
          <w:color w:val="auto"/>
        </w:rPr>
        <w:t>62D.</w:t>
        <w:tab/>
        <w:t>Victoria commits to review the conservation status of EVCs prior to the commencement of each Five-yearly Review under this Agreement.</w:t>
      </w:r>
    </w:p>
    <w:p>
      <w:pPr>
        <w:spacing w:after="0" w:line="251" w:lineRule="exact"/>
        <w:rPr>
          <w:sz w:val="20"/>
          <w:szCs w:val="20"/>
          <w:color w:val="auto"/>
        </w:rPr>
      </w:pPr>
    </w:p>
    <w:p>
      <w:pPr>
        <w:jc w:val="both"/>
        <w:ind w:left="700" w:hanging="699"/>
        <w:spacing w:after="0" w:line="236" w:lineRule="auto"/>
        <w:tabs>
          <w:tab w:leader="none" w:pos="680" w:val="left"/>
        </w:tabs>
        <w:rPr>
          <w:sz w:val="20"/>
          <w:szCs w:val="20"/>
          <w:color w:val="auto"/>
        </w:rPr>
      </w:pPr>
      <w:r>
        <w:rPr>
          <w:rFonts w:ascii="Times New Roman" w:cs="Times New Roman" w:eastAsia="Times New Roman" w:hAnsi="Times New Roman"/>
          <w:sz w:val="22"/>
          <w:szCs w:val="22"/>
          <w:color w:val="auto"/>
        </w:rPr>
        <w:t>62E.</w:t>
      </w:r>
      <w:r>
        <w:rPr>
          <w:sz w:val="20"/>
          <w:szCs w:val="20"/>
          <w:color w:val="auto"/>
        </w:rPr>
        <w:tab/>
      </w:r>
      <w:r>
        <w:rPr>
          <w:rFonts w:ascii="Times New Roman" w:cs="Times New Roman" w:eastAsia="Times New Roman" w:hAnsi="Times New Roman"/>
          <w:sz w:val="22"/>
          <w:szCs w:val="22"/>
          <w:color w:val="auto"/>
        </w:rPr>
        <w:t>Subject to clauses 63 and 63A, the Parties agree that changes will be periodically required to the CAR Reserve System to reflect changes in information or management arrangements and the impacts of natural disturbances such as bushfires.</w:t>
      </w:r>
    </w:p>
    <w:p>
      <w:pPr>
        <w:spacing w:after="0" w:line="255" w:lineRule="exact"/>
        <w:rPr>
          <w:sz w:val="20"/>
          <w:szCs w:val="20"/>
          <w:color w:val="auto"/>
        </w:rPr>
      </w:pPr>
    </w:p>
    <w:p>
      <w:pPr>
        <w:jc w:val="both"/>
        <w:ind w:left="720" w:hanging="720"/>
        <w:spacing w:after="0" w:line="235" w:lineRule="auto"/>
        <w:tabs>
          <w:tab w:leader="none" w:pos="720" w:val="left"/>
        </w:tabs>
        <w:numPr>
          <w:ilvl w:val="0"/>
          <w:numId w:val="8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changes to that component of the CAR Reserve System in State Forest will only occur in accordance with this Agreement, will not lead to a net deterioration in the protection of identified CAR Values, and will be publicly available.</w:t>
      </w:r>
    </w:p>
    <w:p>
      <w:pPr>
        <w:spacing w:after="0" w:line="253" w:lineRule="exact"/>
        <w:rPr>
          <w:sz w:val="20"/>
          <w:szCs w:val="20"/>
          <w:color w:val="auto"/>
        </w:rPr>
      </w:pPr>
    </w:p>
    <w:p>
      <w:pPr>
        <w:ind w:left="720" w:right="20" w:hanging="719"/>
        <w:spacing w:after="0" w:line="235" w:lineRule="auto"/>
        <w:tabs>
          <w:tab w:leader="none" w:pos="700" w:val="left"/>
        </w:tabs>
        <w:rPr>
          <w:sz w:val="20"/>
          <w:szCs w:val="20"/>
          <w:color w:val="auto"/>
        </w:rPr>
      </w:pPr>
      <w:r>
        <w:rPr>
          <w:rFonts w:ascii="Times New Roman" w:cs="Times New Roman" w:eastAsia="Times New Roman" w:hAnsi="Times New Roman"/>
          <w:sz w:val="22"/>
          <w:szCs w:val="22"/>
          <w:color w:val="auto"/>
        </w:rPr>
        <w:t>63A.</w:t>
      </w:r>
      <w:r>
        <w:rPr>
          <w:sz w:val="20"/>
          <w:szCs w:val="20"/>
          <w:color w:val="auto"/>
        </w:rPr>
        <w:tab/>
      </w:r>
      <w:r>
        <w:rPr>
          <w:rFonts w:ascii="Times New Roman" w:cs="Times New Roman" w:eastAsia="Times New Roman" w:hAnsi="Times New Roman"/>
          <w:sz w:val="22"/>
          <w:szCs w:val="22"/>
          <w:color w:val="auto"/>
        </w:rPr>
        <w:t>The Parties note that, for the purposes of clause 63, the principles and guiding considerations that will inform changes to the CAR Reserve System in State Forests are:</w:t>
      </w:r>
    </w:p>
    <w:p>
      <w:pPr>
        <w:spacing w:after="0" w:line="239" w:lineRule="exact"/>
        <w:rPr>
          <w:sz w:val="20"/>
          <w:szCs w:val="20"/>
          <w:color w:val="auto"/>
        </w:rPr>
      </w:pPr>
    </w:p>
    <w:p>
      <w:pPr>
        <w:ind w:left="1420" w:hanging="714"/>
        <w:spacing w:after="0"/>
        <w:tabs>
          <w:tab w:leader="none" w:pos="1420" w:val="left"/>
        </w:tabs>
        <w:numPr>
          <w:ilvl w:val="0"/>
          <w:numId w:val="9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for the highest and best value uses of Forests (greatest benefits);</w:t>
      </w:r>
    </w:p>
    <w:p>
      <w:pPr>
        <w:spacing w:after="0" w:line="241"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0"/>
          <w:numId w:val="9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climate Refugia for Listed Species and Communities;</w:t>
      </w:r>
    </w:p>
    <w:p>
      <w:pPr>
        <w:spacing w:after="0" w:line="200" w:lineRule="exact"/>
        <w:rPr>
          <w:sz w:val="20"/>
          <w:szCs w:val="20"/>
          <w:color w:val="auto"/>
        </w:rPr>
      </w:pPr>
    </w:p>
    <w:p>
      <w:pPr>
        <w:spacing w:after="0" w:line="36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32</w:t>
      </w:r>
    </w:p>
    <w:p>
      <w:pPr>
        <w:sectPr>
          <w:pgSz w:w="11900" w:h="16838" w:orient="portrait"/>
          <w:cols w:equalWidth="0" w:num="1">
            <w:col w:w="9200"/>
          </w:cols>
          <w:pgMar w:left="1440" w:top="1440" w:right="1266" w:bottom="149" w:gutter="0" w:footer="0" w:header="0"/>
        </w:sectPr>
      </w:pPr>
    </w:p>
    <w:bookmarkStart w:id="32" w:name="page33"/>
    <w:bookmarkEnd w:id="32"/>
    <w:p>
      <w:pPr>
        <w:ind w:left="1420" w:hanging="714"/>
        <w:spacing w:after="0"/>
        <w:tabs>
          <w:tab w:leader="none" w:pos="1420" w:val="left"/>
        </w:tabs>
        <w:numPr>
          <w:ilvl w:val="1"/>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increasing habitat connectivity;</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1"/>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addressing Climate Change Vulnerability;</w:t>
      </w:r>
    </w:p>
    <w:p>
      <w:pPr>
        <w:spacing w:after="0" w:line="241"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1"/>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considering the impacts on Forest Industries and other uses;</w:t>
      </w:r>
    </w:p>
    <w:p>
      <w:pPr>
        <w:spacing w:after="0" w:line="239" w:lineRule="exact"/>
        <w:rPr>
          <w:rFonts w:ascii="Times New Roman" w:cs="Times New Roman" w:eastAsia="Times New Roman" w:hAnsi="Times New Roman"/>
          <w:sz w:val="22"/>
          <w:szCs w:val="22"/>
          <w:color w:val="auto"/>
        </w:rPr>
      </w:pPr>
    </w:p>
    <w:p>
      <w:pPr>
        <w:ind w:left="1420" w:hanging="714"/>
        <w:spacing w:after="0"/>
        <w:tabs>
          <w:tab w:leader="none" w:pos="1420" w:val="left"/>
        </w:tabs>
        <w:numPr>
          <w:ilvl w:val="1"/>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considering the impacts on Ecosystem Services;</w:t>
      </w:r>
    </w:p>
    <w:p>
      <w:pPr>
        <w:spacing w:after="0" w:line="252" w:lineRule="exact"/>
        <w:rPr>
          <w:rFonts w:ascii="Times New Roman" w:cs="Times New Roman" w:eastAsia="Times New Roman" w:hAnsi="Times New Roman"/>
          <w:sz w:val="22"/>
          <w:szCs w:val="22"/>
          <w:color w:val="auto"/>
        </w:rPr>
      </w:pPr>
    </w:p>
    <w:p>
      <w:pPr>
        <w:jc w:val="both"/>
        <w:ind w:left="1420" w:hanging="714"/>
        <w:spacing w:after="0" w:line="235" w:lineRule="auto"/>
        <w:tabs>
          <w:tab w:leader="none" w:pos="1420" w:val="left"/>
        </w:tabs>
        <w:numPr>
          <w:ilvl w:val="1"/>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providing for appropriate Forest structure and age distribution and sufficient protection and management of areas of maturing Forest to facilitate Old Growth Forest recruitment; and</w:t>
      </w:r>
    </w:p>
    <w:p>
      <w:pPr>
        <w:spacing w:after="0" w:line="243"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9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adapting to the impacts of natural disturbances such as bushfires on Forest </w:t>
      </w:r>
      <w:r>
        <w:rPr>
          <w:rFonts w:ascii="Times New Roman" w:cs="Times New Roman" w:eastAsia="Times New Roman" w:hAnsi="Times New Roman"/>
          <w:sz w:val="22"/>
          <w:szCs w:val="22"/>
          <w:b w:val="1"/>
          <w:bCs w:val="1"/>
          <w:color w:val="auto"/>
        </w:rPr>
        <w:t>v</w:t>
      </w:r>
      <w:r>
        <w:rPr>
          <w:rFonts w:ascii="Times New Roman" w:cs="Times New Roman" w:eastAsia="Times New Roman" w:hAnsi="Times New Roman"/>
          <w:sz w:val="22"/>
          <w:szCs w:val="22"/>
          <w:color w:val="auto"/>
        </w:rPr>
        <w:t>alues.</w:t>
      </w:r>
    </w:p>
    <w:p>
      <w:pPr>
        <w:spacing w:after="0" w:line="239" w:lineRule="exact"/>
        <w:rPr>
          <w:rFonts w:ascii="Times New Roman" w:cs="Times New Roman" w:eastAsia="Times New Roman" w:hAnsi="Times New Roman"/>
          <w:sz w:val="22"/>
          <w:szCs w:val="22"/>
          <w:color w:val="auto"/>
        </w:rPr>
      </w:pPr>
    </w:p>
    <w:p>
      <w:pPr>
        <w:ind w:left="700" w:hanging="700"/>
        <w:spacing w:after="0"/>
        <w:tabs>
          <w:tab w:leader="none" w:pos="700" w:val="left"/>
        </w:tabs>
        <w:numPr>
          <w:ilvl w:val="0"/>
          <w:numId w:val="9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3" w:lineRule="exact"/>
        <w:rPr>
          <w:sz w:val="20"/>
          <w:szCs w:val="20"/>
          <w:color w:val="auto"/>
        </w:rPr>
      </w:pPr>
    </w:p>
    <w:p>
      <w:pPr>
        <w:ind w:left="700" w:right="60" w:hanging="699"/>
        <w:spacing w:after="0" w:line="234" w:lineRule="auto"/>
        <w:tabs>
          <w:tab w:leader="none" w:pos="680" w:val="left"/>
        </w:tabs>
        <w:rPr>
          <w:sz w:val="20"/>
          <w:szCs w:val="20"/>
          <w:color w:val="auto"/>
        </w:rPr>
      </w:pPr>
      <w:r>
        <w:rPr>
          <w:rFonts w:ascii="Times New Roman" w:cs="Times New Roman" w:eastAsia="Times New Roman" w:hAnsi="Times New Roman"/>
          <w:sz w:val="22"/>
          <w:szCs w:val="22"/>
          <w:color w:val="auto"/>
        </w:rPr>
        <w:t>64A.</w:t>
        <w:tab/>
        <w:t>Victoria will notify the Commonwealth of any substantive changes to the CAR Reserve System that may significantly impact on MNES or wood supply to industry.</w:t>
      </w:r>
    </w:p>
    <w:p>
      <w:pPr>
        <w:spacing w:after="0" w:line="239" w:lineRule="exact"/>
        <w:rPr>
          <w:sz w:val="20"/>
          <w:szCs w:val="20"/>
          <w:color w:val="auto"/>
        </w:rPr>
      </w:pPr>
    </w:p>
    <w:p>
      <w:pPr>
        <w:ind w:left="720" w:hanging="720"/>
        <w:spacing w:after="0"/>
        <w:tabs>
          <w:tab w:leader="none" w:pos="720" w:val="left"/>
        </w:tabs>
        <w:numPr>
          <w:ilvl w:val="0"/>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w:t>
      </w:r>
    </w:p>
    <w:p>
      <w:pPr>
        <w:spacing w:after="0" w:line="252"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produce, publish and maintain in force at any given time one or more Forest Management Plans that apply to the land within the RFA Region; and</w:t>
      </w:r>
    </w:p>
    <w:p>
      <w:pPr>
        <w:spacing w:after="0" w:line="253" w:lineRule="exact"/>
        <w:rPr>
          <w:rFonts w:ascii="Times New Roman" w:cs="Times New Roman" w:eastAsia="Times New Roman" w:hAnsi="Times New Roman"/>
          <w:sz w:val="22"/>
          <w:szCs w:val="22"/>
          <w:color w:val="auto"/>
        </w:rPr>
      </w:pPr>
    </w:p>
    <w:p>
      <w:pPr>
        <w:jc w:val="both"/>
        <w:ind w:left="1420" w:hanging="712"/>
        <w:spacing w:after="0" w:line="236" w:lineRule="auto"/>
        <w:tabs>
          <w:tab w:leader="none" w:pos="1420" w:val="left"/>
        </w:tabs>
        <w:numPr>
          <w:ilvl w:val="1"/>
          <w:numId w:val="9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review and update any Forest Management Plan that applies, either in part or wholly, to land within the RFA Region by December 2023 and at least every ten years thereafter for so long as this Agreement remains in effect.</w:t>
      </w:r>
    </w:p>
    <w:p>
      <w:pPr>
        <w:spacing w:after="0" w:line="253" w:lineRule="exact"/>
        <w:rPr>
          <w:sz w:val="20"/>
          <w:szCs w:val="20"/>
          <w:color w:val="auto"/>
        </w:rPr>
      </w:pPr>
    </w:p>
    <w:p>
      <w:pPr>
        <w:ind w:left="700" w:right="20" w:hanging="699"/>
        <w:spacing w:after="0" w:line="234" w:lineRule="auto"/>
        <w:tabs>
          <w:tab w:leader="none" w:pos="680" w:val="left"/>
        </w:tabs>
        <w:rPr>
          <w:sz w:val="20"/>
          <w:szCs w:val="20"/>
          <w:color w:val="auto"/>
        </w:rPr>
      </w:pPr>
      <w:r>
        <w:rPr>
          <w:rFonts w:ascii="Times New Roman" w:cs="Times New Roman" w:eastAsia="Times New Roman" w:hAnsi="Times New Roman"/>
          <w:sz w:val="22"/>
          <w:szCs w:val="22"/>
          <w:color w:val="auto"/>
        </w:rPr>
        <w:t>65A.</w:t>
        <w:tab/>
        <w:t>For the purposes of clause 65, in reviewing the Forest Management Plans Victoria will have regard to all relevant matters, including (but not limited to):</w:t>
      </w:r>
    </w:p>
    <w:p>
      <w:pPr>
        <w:spacing w:after="0" w:line="242" w:lineRule="exact"/>
        <w:rPr>
          <w:sz w:val="20"/>
          <w:szCs w:val="20"/>
          <w:color w:val="auto"/>
        </w:rPr>
      </w:pPr>
    </w:p>
    <w:p>
      <w:pPr>
        <w:ind w:left="1420" w:hanging="712"/>
        <w:spacing w:after="0"/>
        <w:tabs>
          <w:tab w:leader="none" w:pos="1420" w:val="left"/>
        </w:tabs>
        <w:numPr>
          <w:ilvl w:val="1"/>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needs of the Forest in order to maintain ecosystem health and vitality;</w:t>
      </w:r>
    </w:p>
    <w:p>
      <w:pPr>
        <w:spacing w:after="0" w:line="250" w:lineRule="exact"/>
        <w:rPr>
          <w:rFonts w:ascii="Times New Roman" w:cs="Times New Roman" w:eastAsia="Times New Roman" w:hAnsi="Times New Roman"/>
          <w:sz w:val="22"/>
          <w:szCs w:val="22"/>
          <w:color w:val="auto"/>
        </w:rPr>
      </w:pPr>
    </w:p>
    <w:p>
      <w:pPr>
        <w:ind w:left="1420" w:right="20" w:hanging="712"/>
        <w:spacing w:after="0" w:line="235" w:lineRule="auto"/>
        <w:tabs>
          <w:tab w:leader="none" w:pos="1420" w:val="left"/>
        </w:tabs>
        <w:numPr>
          <w:ilvl w:val="1"/>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Traditional Owner Country Plans or equivalent, associated strategies and agreements or relevant documents;</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objectives, targets and metrics in Victoria’s current biodiversity strategy;</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broad range of values and uses of the Forest;</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impacts of Climate Change;</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community aspirations and objectives;</w:t>
      </w:r>
    </w:p>
    <w:p>
      <w:pPr>
        <w:spacing w:after="0" w:line="252" w:lineRule="exact"/>
        <w:rPr>
          <w:rFonts w:ascii="Times New Roman" w:cs="Times New Roman" w:eastAsia="Times New Roman" w:hAnsi="Times New Roman"/>
          <w:sz w:val="22"/>
          <w:szCs w:val="22"/>
          <w:color w:val="auto"/>
        </w:rPr>
      </w:pPr>
    </w:p>
    <w:p>
      <w:pPr>
        <w:ind w:left="1420" w:hanging="712"/>
        <w:spacing w:after="0" w:line="234" w:lineRule="auto"/>
        <w:tabs>
          <w:tab w:leader="none" w:pos="1420" w:val="left"/>
        </w:tabs>
        <w:numPr>
          <w:ilvl w:val="1"/>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 for active management to reduce bushfire risk and support the recovery of Forests and communities that depend on them after bushfire;</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threat management; and</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9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actions for surface and groundwater catchment management and soils.</w:t>
      </w:r>
    </w:p>
    <w:p>
      <w:pPr>
        <w:spacing w:after="0" w:line="250" w:lineRule="exact"/>
        <w:rPr>
          <w:rFonts w:ascii="Times New Roman" w:cs="Times New Roman" w:eastAsia="Times New Roman" w:hAnsi="Times New Roman"/>
          <w:sz w:val="22"/>
          <w:szCs w:val="22"/>
          <w:color w:val="auto"/>
        </w:rPr>
      </w:pPr>
    </w:p>
    <w:p>
      <w:pPr>
        <w:jc w:val="both"/>
        <w:ind w:left="700" w:hanging="700"/>
        <w:spacing w:after="0" w:line="237" w:lineRule="auto"/>
        <w:tabs>
          <w:tab w:leader="none" w:pos="700" w:val="left"/>
        </w:tabs>
        <w:numPr>
          <w:ilvl w:val="0"/>
          <w:numId w:val="9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that all Victorian Rainforest is protected from timber harvesting through the Forest Management System which, in addition to protecting Rainforest from disturbance will provide for the recovery of Rainforest in areas where it has been fragmented or disturbed. Victoria will protect Rainforest communities from the impacts of timber harvesting through the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33</w:t>
      </w:r>
    </w:p>
    <w:p>
      <w:pPr>
        <w:sectPr>
          <w:pgSz w:w="11900" w:h="16838" w:orient="portrait"/>
          <w:cols w:equalWidth="0" w:num="1">
            <w:col w:w="9200"/>
          </w:cols>
          <w:pgMar w:left="1440" w:top="1432" w:right="1266" w:bottom="149" w:gutter="0" w:footer="0" w:header="0"/>
        </w:sectPr>
      </w:pPr>
    </w:p>
    <w:bookmarkStart w:id="33" w:name="page34"/>
    <w:bookmarkEnd w:id="33"/>
    <w:p>
      <w:pPr>
        <w:spacing w:after="0" w:line="4" w:lineRule="exact"/>
        <w:rPr>
          <w:sz w:val="20"/>
          <w:szCs w:val="20"/>
          <w:color w:val="auto"/>
        </w:rPr>
      </w:pPr>
    </w:p>
    <w:p>
      <w:pPr>
        <w:ind w:left="700" w:right="20"/>
        <w:spacing w:after="0" w:line="234" w:lineRule="auto"/>
        <w:rPr>
          <w:sz w:val="20"/>
          <w:szCs w:val="20"/>
          <w:color w:val="auto"/>
        </w:rPr>
      </w:pPr>
      <w:r>
        <w:rPr>
          <w:rFonts w:ascii="Times New Roman" w:cs="Times New Roman" w:eastAsia="Times New Roman" w:hAnsi="Times New Roman"/>
          <w:sz w:val="22"/>
          <w:szCs w:val="22"/>
          <w:color w:val="auto"/>
        </w:rPr>
        <w:t>use of appropriate buffers to maintain microclimatic conditions and protect from disease and other disturbance.</w:t>
      </w:r>
    </w:p>
    <w:p>
      <w:pPr>
        <w:spacing w:after="0" w:line="253" w:lineRule="exact"/>
        <w:rPr>
          <w:sz w:val="20"/>
          <w:szCs w:val="20"/>
          <w:color w:val="auto"/>
        </w:rPr>
      </w:pPr>
    </w:p>
    <w:p>
      <w:pPr>
        <w:jc w:val="both"/>
        <w:ind w:left="700" w:hanging="699"/>
        <w:spacing w:after="0" w:line="237" w:lineRule="auto"/>
        <w:tabs>
          <w:tab w:leader="none" w:pos="680" w:val="left"/>
        </w:tabs>
        <w:rPr>
          <w:sz w:val="20"/>
          <w:szCs w:val="20"/>
          <w:color w:val="auto"/>
        </w:rPr>
      </w:pPr>
      <w:r>
        <w:rPr>
          <w:rFonts w:ascii="Times New Roman" w:cs="Times New Roman" w:eastAsia="Times New Roman" w:hAnsi="Times New Roman"/>
          <w:sz w:val="22"/>
          <w:szCs w:val="22"/>
          <w:color w:val="auto"/>
        </w:rPr>
        <w:t>66A.</w:t>
        <w:tab/>
        <w:t>The Parties note that, on 7 November 2019, Victoria committed to protecting all Old Growth Forest within Native Forests on Public Land from timber harvesting. Victoria will include in the Forest Management System mechanisms to protect all Old Growth Forest within Native Forests on Public Land from timber harvesting.</w:t>
      </w:r>
    </w:p>
    <w:p>
      <w:pPr>
        <w:spacing w:after="0" w:line="254" w:lineRule="exact"/>
        <w:rPr>
          <w:sz w:val="20"/>
          <w:szCs w:val="20"/>
          <w:color w:val="auto"/>
        </w:rPr>
      </w:pPr>
    </w:p>
    <w:p>
      <w:pPr>
        <w:jc w:val="both"/>
        <w:ind w:left="700" w:hanging="699"/>
        <w:spacing w:after="0" w:line="235" w:lineRule="auto"/>
        <w:tabs>
          <w:tab w:leader="none" w:pos="680" w:val="left"/>
        </w:tabs>
        <w:rPr>
          <w:sz w:val="20"/>
          <w:szCs w:val="20"/>
          <w:color w:val="auto"/>
        </w:rPr>
      </w:pPr>
      <w:r>
        <w:rPr>
          <w:rFonts w:ascii="Times New Roman" w:cs="Times New Roman" w:eastAsia="Times New Roman" w:hAnsi="Times New Roman"/>
          <w:sz w:val="22"/>
          <w:szCs w:val="22"/>
          <w:color w:val="auto"/>
        </w:rPr>
        <w:t>66B.</w:t>
      </w:r>
      <w:r>
        <w:rPr>
          <w:sz w:val="20"/>
          <w:szCs w:val="20"/>
          <w:color w:val="auto"/>
        </w:rPr>
        <w:tab/>
      </w:r>
      <w:r>
        <w:rPr>
          <w:rFonts w:ascii="Times New Roman" w:cs="Times New Roman" w:eastAsia="Times New Roman" w:hAnsi="Times New Roman"/>
          <w:sz w:val="22"/>
          <w:szCs w:val="22"/>
          <w:color w:val="auto"/>
        </w:rPr>
        <w:t>Victoria commits to ensuring that, for the duration of the Agreement, all Rainforest and Old Growth Forest within Native Forests on Public Land will remain protected from timber harvesting.</w:t>
      </w:r>
    </w:p>
    <w:p>
      <w:pPr>
        <w:spacing w:after="0" w:line="24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Protection of Environment and Heritage Values</w:t>
      </w:r>
    </w:p>
    <w:p>
      <w:pPr>
        <w:spacing w:after="0" w:line="246" w:lineRule="exact"/>
        <w:rPr>
          <w:sz w:val="20"/>
          <w:szCs w:val="20"/>
          <w:color w:val="auto"/>
        </w:rPr>
      </w:pPr>
    </w:p>
    <w:p>
      <w:pPr>
        <w:jc w:val="both"/>
        <w:ind w:left="720" w:hanging="719"/>
        <w:spacing w:after="0" w:line="236" w:lineRule="auto"/>
        <w:tabs>
          <w:tab w:leader="none" w:pos="700" w:val="left"/>
        </w:tabs>
        <w:rPr>
          <w:sz w:val="20"/>
          <w:szCs w:val="20"/>
          <w:color w:val="auto"/>
        </w:rPr>
      </w:pPr>
      <w:r>
        <w:rPr>
          <w:rFonts w:ascii="Times New Roman" w:cs="Times New Roman" w:eastAsia="Times New Roman" w:hAnsi="Times New Roman"/>
          <w:sz w:val="22"/>
          <w:szCs w:val="22"/>
          <w:color w:val="auto"/>
        </w:rPr>
        <w:t>66C.</w:t>
      </w:r>
      <w:r>
        <w:rPr>
          <w:sz w:val="20"/>
          <w:szCs w:val="20"/>
          <w:color w:val="auto"/>
        </w:rPr>
        <w:tab/>
      </w:r>
      <w:r>
        <w:rPr>
          <w:rFonts w:ascii="Times New Roman" w:cs="Times New Roman" w:eastAsia="Times New Roman" w:hAnsi="Times New Roman"/>
          <w:sz w:val="22"/>
          <w:szCs w:val="22"/>
          <w:color w:val="auto"/>
        </w:rPr>
        <w:t>The Parties agree to maintain the level of protection of Environment and Heritage Values in the RFA Region, but recognise that minor changes to the manner in which such protections are implemented may occur as a result of changes to the CAR Reserve System in State Forest.</w:t>
      </w:r>
    </w:p>
    <w:p>
      <w:pPr>
        <w:spacing w:after="0" w:line="252" w:lineRule="exact"/>
        <w:rPr>
          <w:sz w:val="20"/>
          <w:szCs w:val="20"/>
          <w:color w:val="auto"/>
        </w:rPr>
      </w:pPr>
    </w:p>
    <w:p>
      <w:pPr>
        <w:jc w:val="both"/>
        <w:ind w:left="720" w:right="20" w:hanging="719"/>
        <w:spacing w:after="0" w:line="237" w:lineRule="auto"/>
        <w:tabs>
          <w:tab w:leader="none" w:pos="700" w:val="left"/>
        </w:tabs>
        <w:rPr>
          <w:sz w:val="20"/>
          <w:szCs w:val="20"/>
          <w:color w:val="auto"/>
        </w:rPr>
      </w:pPr>
      <w:r>
        <w:rPr>
          <w:rFonts w:ascii="Times New Roman" w:cs="Times New Roman" w:eastAsia="Times New Roman" w:hAnsi="Times New Roman"/>
          <w:sz w:val="22"/>
          <w:szCs w:val="22"/>
          <w:color w:val="auto"/>
        </w:rPr>
        <w:t>66D.</w:t>
      </w:r>
      <w:r>
        <w:rPr>
          <w:sz w:val="20"/>
          <w:szCs w:val="20"/>
          <w:color w:val="auto"/>
        </w:rPr>
        <w:tab/>
      </w:r>
      <w:r>
        <w:rPr>
          <w:rFonts w:ascii="Times New Roman" w:cs="Times New Roman" w:eastAsia="Times New Roman" w:hAnsi="Times New Roman"/>
          <w:sz w:val="22"/>
          <w:szCs w:val="22"/>
          <w:color w:val="auto"/>
        </w:rPr>
        <w:t>The Parties agree that the CAR Reserve System, established in accordance with this Agreement, and the application of the Forest Management System in Victoria, protects Environment and Heritage Values. Further protection is provided through other mechanisms within the Forest Management System.</w:t>
      </w:r>
    </w:p>
    <w:p>
      <w:pPr>
        <w:spacing w:after="0" w:line="24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Climate Change</w:t>
      </w:r>
    </w:p>
    <w:p>
      <w:pPr>
        <w:spacing w:after="0" w:line="235"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66E.</w:t>
      </w:r>
      <w:r>
        <w:rPr>
          <w:sz w:val="20"/>
          <w:szCs w:val="20"/>
          <w:color w:val="auto"/>
        </w:rPr>
        <w:tab/>
      </w:r>
      <w:r>
        <w:rPr>
          <w:rFonts w:ascii="Times New Roman" w:cs="Times New Roman" w:eastAsia="Times New Roman" w:hAnsi="Times New Roman"/>
          <w:sz w:val="22"/>
          <w:szCs w:val="22"/>
          <w:color w:val="auto"/>
        </w:rPr>
        <w:t>The Parties acknowledge:</w:t>
      </w:r>
    </w:p>
    <w:p>
      <w:pPr>
        <w:spacing w:after="0" w:line="253" w:lineRule="exact"/>
        <w:rPr>
          <w:sz w:val="20"/>
          <w:szCs w:val="20"/>
          <w:color w:val="auto"/>
        </w:rPr>
      </w:pPr>
    </w:p>
    <w:p>
      <w:pPr>
        <w:ind w:left="1420" w:hanging="712"/>
        <w:spacing w:after="0" w:line="250" w:lineRule="auto"/>
        <w:tabs>
          <w:tab w:leader="none" w:pos="1420" w:val="left"/>
        </w:tabs>
        <w:numPr>
          <w:ilvl w:val="0"/>
          <w:numId w:val="96"/>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Climate Change is driving more extreme weather and disturbance events that will impact on a wide range of Forest values, including Biodiversity, water and Timber Resources;</w:t>
      </w:r>
    </w:p>
    <w:p>
      <w:pPr>
        <w:spacing w:after="0" w:line="243" w:lineRule="exact"/>
        <w:rPr>
          <w:rFonts w:ascii="Times New Roman" w:cs="Times New Roman" w:eastAsia="Times New Roman" w:hAnsi="Times New Roman"/>
          <w:sz w:val="21"/>
          <w:szCs w:val="21"/>
          <w:color w:val="auto"/>
        </w:rPr>
      </w:pPr>
    </w:p>
    <w:p>
      <w:pPr>
        <w:ind w:left="1420" w:hanging="712"/>
        <w:spacing w:after="0" w:line="234" w:lineRule="auto"/>
        <w:tabs>
          <w:tab w:leader="none" w:pos="142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Climate Change is a continuing and Threatening Process for Listed Species and Communities and other MNES;</w:t>
      </w:r>
    </w:p>
    <w:p>
      <w:pPr>
        <w:spacing w:after="0" w:line="250"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Climate Change will have an impact on ESFM, the CAR Reserve System and the stability of Forests and Forest Industries;</w:t>
      </w:r>
    </w:p>
    <w:p>
      <w:pPr>
        <w:spacing w:after="0" w:line="250" w:lineRule="exact"/>
        <w:rPr>
          <w:rFonts w:ascii="Times New Roman" w:cs="Times New Roman" w:eastAsia="Times New Roman" w:hAnsi="Times New Roman"/>
          <w:sz w:val="22"/>
          <w:szCs w:val="22"/>
          <w:color w:val="auto"/>
        </w:rPr>
      </w:pPr>
    </w:p>
    <w:p>
      <w:pPr>
        <w:jc w:val="both"/>
        <w:ind w:left="1420" w:hanging="709"/>
        <w:spacing w:after="0" w:line="236" w:lineRule="auto"/>
        <w:tabs>
          <w:tab w:leader="none" w:pos="142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integrating Climate Change adaptation into Forest Management, including the management of Listed Species and Communities and other MNES, is required to build resilience and manage climate risks and meet the objectives of ESFM;</w:t>
      </w:r>
    </w:p>
    <w:p>
      <w:pPr>
        <w:spacing w:after="0" w:line="252"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 to manage Forests to maintain or enhance the sequestration and storage of carbon;</w:t>
      </w:r>
    </w:p>
    <w:p>
      <w:pPr>
        <w:spacing w:after="0" w:line="250" w:lineRule="exact"/>
        <w:rPr>
          <w:rFonts w:ascii="Times New Roman" w:cs="Times New Roman" w:eastAsia="Times New Roman" w:hAnsi="Times New Roman"/>
          <w:sz w:val="22"/>
          <w:szCs w:val="22"/>
          <w:color w:val="auto"/>
        </w:rPr>
      </w:pPr>
    </w:p>
    <w:p>
      <w:pPr>
        <w:jc w:val="both"/>
        <w:ind w:left="1420" w:hanging="712"/>
        <w:spacing w:after="0" w:line="236" w:lineRule="auto"/>
        <w:tabs>
          <w:tab w:leader="none" w:pos="142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maintaining Native Forests, through the CAR Reserve System, the Forest Management System and other mechanisms, plays an important role in the effective management of carbon within the carbon cycle; and</w:t>
      </w:r>
    </w:p>
    <w:p>
      <w:pPr>
        <w:spacing w:after="0" w:line="252" w:lineRule="exact"/>
        <w:rPr>
          <w:rFonts w:ascii="Times New Roman" w:cs="Times New Roman" w:eastAsia="Times New Roman" w:hAnsi="Times New Roman"/>
          <w:sz w:val="22"/>
          <w:szCs w:val="22"/>
          <w:color w:val="auto"/>
        </w:rPr>
      </w:pPr>
    </w:p>
    <w:p>
      <w:pPr>
        <w:ind w:left="1420" w:right="20" w:hanging="712"/>
        <w:spacing w:after="0" w:line="235" w:lineRule="auto"/>
        <w:tabs>
          <w:tab w:leader="none" w:pos="1420" w:val="left"/>
        </w:tabs>
        <w:numPr>
          <w:ilvl w:val="0"/>
          <w:numId w:val="9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effective management of Forests to maintain functioning Forest Ecosystems in a changing climate is required to maintain the quality and quantity of water resources.</w:t>
      </w:r>
    </w:p>
    <w:p>
      <w:pPr>
        <w:spacing w:after="0" w:line="251" w:lineRule="exact"/>
        <w:rPr>
          <w:sz w:val="20"/>
          <w:szCs w:val="20"/>
          <w:color w:val="auto"/>
        </w:rPr>
      </w:pPr>
    </w:p>
    <w:p>
      <w:pPr>
        <w:jc w:val="both"/>
        <w:ind w:left="700" w:hanging="699"/>
        <w:spacing w:after="0" w:line="236" w:lineRule="auto"/>
        <w:tabs>
          <w:tab w:leader="none" w:pos="680" w:val="left"/>
        </w:tabs>
        <w:rPr>
          <w:sz w:val="20"/>
          <w:szCs w:val="20"/>
          <w:color w:val="auto"/>
        </w:rPr>
      </w:pPr>
      <w:r>
        <w:rPr>
          <w:rFonts w:ascii="Times New Roman" w:cs="Times New Roman" w:eastAsia="Times New Roman" w:hAnsi="Times New Roman"/>
          <w:sz w:val="22"/>
          <w:szCs w:val="22"/>
          <w:color w:val="auto"/>
        </w:rPr>
        <w:t>66F.</w:t>
      </w:r>
      <w:r>
        <w:rPr>
          <w:sz w:val="20"/>
          <w:szCs w:val="20"/>
          <w:color w:val="auto"/>
        </w:rPr>
        <w:tab/>
      </w:r>
      <w:r>
        <w:rPr>
          <w:rFonts w:ascii="Times New Roman" w:cs="Times New Roman" w:eastAsia="Times New Roman" w:hAnsi="Times New Roman"/>
          <w:sz w:val="22"/>
          <w:szCs w:val="22"/>
          <w:color w:val="auto"/>
        </w:rPr>
        <w:t>The Parties agree to use their best endeavours to improve Climate Change resilience and future viability of Listed Species and Communities and other MNES informed by best practice approaches, best available science and Traditional Owner Knowledge.</w:t>
      </w:r>
    </w:p>
    <w:p>
      <w:pPr>
        <w:spacing w:after="0" w:line="255"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66G.</w:t>
      </w:r>
      <w:r>
        <w:rPr>
          <w:sz w:val="20"/>
          <w:szCs w:val="20"/>
          <w:color w:val="auto"/>
        </w:rPr>
        <w:tab/>
      </w:r>
      <w:r>
        <w:rPr>
          <w:rFonts w:ascii="Times New Roman" w:cs="Times New Roman" w:eastAsia="Times New Roman" w:hAnsi="Times New Roman"/>
          <w:sz w:val="22"/>
          <w:szCs w:val="22"/>
          <w:color w:val="auto"/>
        </w:rPr>
        <w:t>Victoria:</w:t>
      </w: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34</w:t>
      </w:r>
    </w:p>
    <w:p>
      <w:pPr>
        <w:sectPr>
          <w:pgSz w:w="11900" w:h="16838" w:orient="portrait"/>
          <w:cols w:equalWidth="0" w:num="1">
            <w:col w:w="9200"/>
          </w:cols>
          <w:pgMar w:left="1440" w:top="1440" w:right="1266" w:bottom="149" w:gutter="0" w:footer="0" w:header="0"/>
        </w:sectPr>
      </w:pPr>
    </w:p>
    <w:bookmarkStart w:id="34" w:name="page35"/>
    <w:bookmarkEnd w:id="34"/>
    <w:p>
      <w:pPr>
        <w:spacing w:after="0" w:line="4" w:lineRule="exact"/>
        <w:rPr>
          <w:sz w:val="20"/>
          <w:szCs w:val="20"/>
          <w:color w:val="auto"/>
        </w:rPr>
      </w:pPr>
    </w:p>
    <w:p>
      <w:pPr>
        <w:ind w:left="1420" w:right="20" w:hanging="712"/>
        <w:spacing w:after="0" w:line="234" w:lineRule="auto"/>
        <w:tabs>
          <w:tab w:leader="none" w:pos="1420" w:val="left"/>
        </w:tabs>
        <w:numPr>
          <w:ilvl w:val="0"/>
          <w:numId w:val="9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agrees to manage its Forests in accordance with the NFPS objectives and policies as they relate to Climate Change, adaptation and carbon;</w:t>
      </w:r>
    </w:p>
    <w:p>
      <w:pPr>
        <w:spacing w:after="0" w:line="253" w:lineRule="exact"/>
        <w:rPr>
          <w:rFonts w:ascii="Times New Roman" w:cs="Times New Roman" w:eastAsia="Times New Roman" w:hAnsi="Times New Roman"/>
          <w:sz w:val="22"/>
          <w:szCs w:val="22"/>
          <w:color w:val="auto"/>
        </w:rPr>
      </w:pPr>
    </w:p>
    <w:p>
      <w:pPr>
        <w:jc w:val="both"/>
        <w:ind w:left="1420" w:right="20" w:hanging="712"/>
        <w:spacing w:after="0" w:line="237" w:lineRule="auto"/>
        <w:tabs>
          <w:tab w:leader="none" w:pos="1420" w:val="left"/>
        </w:tabs>
        <w:numPr>
          <w:ilvl w:val="0"/>
          <w:numId w:val="9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review the comprehensiveness, adequacy and representativeness of the CAR Reserve System by December 2021, having regard to current and forecast impacts of Climate Change using the best available science, and thereafter as part of each Five-yearly Review; and</w:t>
      </w:r>
    </w:p>
    <w:p>
      <w:pPr>
        <w:spacing w:after="0" w:line="251" w:lineRule="exact"/>
        <w:rPr>
          <w:rFonts w:ascii="Times New Roman" w:cs="Times New Roman" w:eastAsia="Times New Roman" w:hAnsi="Times New Roman"/>
          <w:sz w:val="22"/>
          <w:szCs w:val="22"/>
          <w:color w:val="auto"/>
        </w:rPr>
      </w:pPr>
    </w:p>
    <w:p>
      <w:pPr>
        <w:jc w:val="both"/>
        <w:ind w:left="1420" w:right="40" w:hanging="712"/>
        <w:spacing w:after="0" w:line="236" w:lineRule="auto"/>
        <w:tabs>
          <w:tab w:leader="none" w:pos="1420" w:val="left"/>
        </w:tabs>
        <w:numPr>
          <w:ilvl w:val="0"/>
          <w:numId w:val="9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use reasonable endeavours to ensure that all EVCs that are Climate Change Vulnerable are afforded additional protections beyond that provided for under the JANIS Reserve Criteria.</w:t>
      </w:r>
    </w:p>
    <w:p>
      <w:pPr>
        <w:spacing w:after="0" w:line="255" w:lineRule="exact"/>
        <w:rPr>
          <w:sz w:val="20"/>
          <w:szCs w:val="20"/>
          <w:color w:val="auto"/>
        </w:rPr>
      </w:pPr>
    </w:p>
    <w:p>
      <w:pPr>
        <w:jc w:val="both"/>
        <w:ind w:left="720" w:right="20" w:hanging="719"/>
        <w:spacing w:after="0" w:line="235" w:lineRule="auto"/>
        <w:tabs>
          <w:tab w:leader="none" w:pos="700" w:val="left"/>
        </w:tabs>
        <w:rPr>
          <w:sz w:val="20"/>
          <w:szCs w:val="20"/>
          <w:color w:val="auto"/>
        </w:rPr>
      </w:pPr>
      <w:r>
        <w:rPr>
          <w:rFonts w:ascii="Times New Roman" w:cs="Times New Roman" w:eastAsia="Times New Roman" w:hAnsi="Times New Roman"/>
          <w:sz w:val="22"/>
          <w:szCs w:val="22"/>
          <w:color w:val="auto"/>
        </w:rPr>
        <w:t>66H.</w:t>
      </w:r>
      <w:r>
        <w:rPr>
          <w:sz w:val="20"/>
          <w:szCs w:val="20"/>
          <w:color w:val="auto"/>
        </w:rPr>
        <w:tab/>
      </w:r>
      <w:r>
        <w:rPr>
          <w:rFonts w:ascii="Times New Roman" w:cs="Times New Roman" w:eastAsia="Times New Roman" w:hAnsi="Times New Roman"/>
          <w:sz w:val="22"/>
          <w:szCs w:val="22"/>
          <w:color w:val="auto"/>
        </w:rPr>
        <w:t>The Parties agree that, if the outcome of a Five-yearly Review indicates that Climate Change has had, or is forecast to have, a significant impact on the CAR Reserve System, Victoria will consider whether changes are required to the CAR Reserve System.</w:t>
      </w:r>
    </w:p>
    <w:p>
      <w:pPr>
        <w:spacing w:after="0" w:line="267" w:lineRule="exact"/>
        <w:rPr>
          <w:sz w:val="20"/>
          <w:szCs w:val="20"/>
          <w:color w:val="auto"/>
        </w:rPr>
      </w:pPr>
    </w:p>
    <w:p>
      <w:pPr>
        <w:jc w:val="both"/>
        <w:ind w:left="720" w:right="20" w:hanging="719"/>
        <w:spacing w:after="0" w:line="236" w:lineRule="auto"/>
        <w:tabs>
          <w:tab w:leader="none" w:pos="700" w:val="left"/>
        </w:tabs>
        <w:rPr>
          <w:sz w:val="20"/>
          <w:szCs w:val="20"/>
          <w:color w:val="auto"/>
        </w:rPr>
      </w:pPr>
      <w:r>
        <w:rPr>
          <w:rFonts w:ascii="Times New Roman" w:cs="Times New Roman" w:eastAsia="Times New Roman" w:hAnsi="Times New Roman"/>
          <w:sz w:val="22"/>
          <w:szCs w:val="22"/>
          <w:color w:val="auto"/>
        </w:rPr>
        <w:t>66I.</w:t>
      </w:r>
      <w:r>
        <w:rPr>
          <w:sz w:val="20"/>
          <w:szCs w:val="20"/>
          <w:color w:val="auto"/>
        </w:rPr>
        <w:tab/>
      </w:r>
      <w:r>
        <w:rPr>
          <w:rFonts w:ascii="Times New Roman" w:cs="Times New Roman" w:eastAsia="Times New Roman" w:hAnsi="Times New Roman"/>
          <w:sz w:val="22"/>
          <w:szCs w:val="22"/>
          <w:color w:val="auto"/>
        </w:rPr>
        <w:t>For the purposes of clause 66H, Victoria must consider the impact that any changes to the CAR Reserve System may have on ESFM and the long-term stability of Timber and Forestry Products Industries.</w:t>
      </w:r>
    </w:p>
    <w:p>
      <w:pPr>
        <w:spacing w:after="0" w:line="36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FOREST INDUSTRIES</w:t>
      </w:r>
    </w:p>
    <w:p>
      <w:pPr>
        <w:spacing w:after="0" w:line="234" w:lineRule="exact"/>
        <w:rPr>
          <w:sz w:val="20"/>
          <w:szCs w:val="20"/>
          <w:color w:val="auto"/>
        </w:rPr>
      </w:pPr>
    </w:p>
    <w:p>
      <w:pPr>
        <w:ind w:left="720" w:hanging="720"/>
        <w:spacing w:after="0"/>
        <w:tabs>
          <w:tab w:leader="none" w:pos="720" w:val="left"/>
        </w:tabs>
        <w:numPr>
          <w:ilvl w:val="0"/>
          <w:numId w:val="9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9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2" w:lineRule="exact"/>
        <w:rPr>
          <w:rFonts w:ascii="Times New Roman" w:cs="Times New Roman" w:eastAsia="Times New Roman" w:hAnsi="Times New Roman"/>
          <w:sz w:val="22"/>
          <w:szCs w:val="22"/>
          <w:color w:val="auto"/>
        </w:rPr>
      </w:pPr>
    </w:p>
    <w:p>
      <w:pPr>
        <w:jc w:val="both"/>
        <w:ind w:left="720" w:right="20" w:hanging="720"/>
        <w:spacing w:after="0" w:line="237" w:lineRule="auto"/>
        <w:tabs>
          <w:tab w:leader="none" w:pos="720" w:val="left"/>
        </w:tabs>
        <w:numPr>
          <w:ilvl w:val="0"/>
          <w:numId w:val="9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the importance of Forest Industries to generating jobs and economic benefits for Victorian communities. The Parties intend that this Agreement will enhance opportunities for further growth and development of Forest Industries in the Central Highlands RFA Region.</w:t>
      </w:r>
    </w:p>
    <w:p>
      <w:pPr>
        <w:spacing w:after="0" w:line="240"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69A.</w:t>
      </w:r>
      <w:r>
        <w:rPr>
          <w:sz w:val="20"/>
          <w:szCs w:val="20"/>
          <w:color w:val="auto"/>
        </w:rPr>
        <w:tab/>
      </w:r>
      <w:r>
        <w:rPr>
          <w:rFonts w:ascii="Times New Roman" w:cs="Times New Roman" w:eastAsia="Times New Roman" w:hAnsi="Times New Roman"/>
          <w:sz w:val="22"/>
          <w:szCs w:val="22"/>
          <w:color w:val="auto"/>
        </w:rPr>
        <w:t>Victoria is committed to:</w:t>
      </w:r>
    </w:p>
    <w:p>
      <w:pPr>
        <w:spacing w:after="0" w:line="253" w:lineRule="exact"/>
        <w:rPr>
          <w:sz w:val="20"/>
          <w:szCs w:val="20"/>
          <w:color w:val="auto"/>
        </w:rPr>
      </w:pPr>
    </w:p>
    <w:p>
      <w:pPr>
        <w:ind w:left="1420" w:right="40" w:hanging="712"/>
        <w:spacing w:after="0" w:line="234" w:lineRule="auto"/>
        <w:tabs>
          <w:tab w:leader="none" w:pos="1420" w:val="left"/>
        </w:tabs>
        <w:numPr>
          <w:ilvl w:val="0"/>
          <w:numId w:val="9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supporting the expansion of a range of Forest Industries to drive jobs and economic benefits to rural and regional communities;</w:t>
      </w:r>
    </w:p>
    <w:p>
      <w:pPr>
        <w:spacing w:after="0" w:line="253" w:lineRule="exact"/>
        <w:rPr>
          <w:rFonts w:ascii="Times New Roman" w:cs="Times New Roman" w:eastAsia="Times New Roman" w:hAnsi="Times New Roman"/>
          <w:sz w:val="22"/>
          <w:szCs w:val="22"/>
          <w:color w:val="auto"/>
        </w:rPr>
      </w:pPr>
    </w:p>
    <w:p>
      <w:pPr>
        <w:ind w:left="1420" w:right="40" w:hanging="712"/>
        <w:spacing w:after="0" w:line="234" w:lineRule="auto"/>
        <w:tabs>
          <w:tab w:leader="none" w:pos="1420" w:val="left"/>
        </w:tabs>
        <w:numPr>
          <w:ilvl w:val="0"/>
          <w:numId w:val="9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undertaking, as appropriate, activities to better quantify the benefits and impacts of a range of current and emerging Forest Industries; and</w:t>
      </w:r>
    </w:p>
    <w:p>
      <w:pPr>
        <w:spacing w:after="0" w:line="251" w:lineRule="exact"/>
        <w:rPr>
          <w:rFonts w:ascii="Times New Roman" w:cs="Times New Roman" w:eastAsia="Times New Roman" w:hAnsi="Times New Roman"/>
          <w:sz w:val="22"/>
          <w:szCs w:val="22"/>
          <w:color w:val="auto"/>
        </w:rPr>
      </w:pPr>
    </w:p>
    <w:p>
      <w:pPr>
        <w:ind w:left="1420" w:right="20" w:hanging="712"/>
        <w:spacing w:after="0" w:line="235" w:lineRule="auto"/>
        <w:tabs>
          <w:tab w:leader="none" w:pos="1420" w:val="left"/>
        </w:tabs>
        <w:numPr>
          <w:ilvl w:val="0"/>
          <w:numId w:val="9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including data and information about a wide range of Forest Industries, values and uses in future reviews and reporting.</w:t>
      </w:r>
    </w:p>
    <w:p>
      <w:pPr>
        <w:spacing w:after="0" w:line="251" w:lineRule="exact"/>
        <w:rPr>
          <w:sz w:val="20"/>
          <w:szCs w:val="20"/>
          <w:color w:val="auto"/>
        </w:rPr>
      </w:pPr>
    </w:p>
    <w:p>
      <w:pPr>
        <w:ind w:left="700" w:right="40" w:hanging="699"/>
        <w:spacing w:after="0" w:line="235" w:lineRule="auto"/>
        <w:tabs>
          <w:tab w:leader="none" w:pos="680" w:val="left"/>
        </w:tabs>
        <w:rPr>
          <w:sz w:val="20"/>
          <w:szCs w:val="20"/>
          <w:color w:val="auto"/>
        </w:rPr>
      </w:pPr>
      <w:r>
        <w:rPr>
          <w:rFonts w:ascii="Times New Roman" w:cs="Times New Roman" w:eastAsia="Times New Roman" w:hAnsi="Times New Roman"/>
          <w:sz w:val="22"/>
          <w:szCs w:val="22"/>
          <w:color w:val="auto"/>
        </w:rPr>
        <w:t>69B.</w:t>
      </w:r>
      <w:r>
        <w:rPr>
          <w:sz w:val="20"/>
          <w:szCs w:val="20"/>
          <w:color w:val="auto"/>
        </w:rPr>
        <w:tab/>
      </w:r>
      <w:r>
        <w:rPr>
          <w:rFonts w:ascii="Times New Roman" w:cs="Times New Roman" w:eastAsia="Times New Roman" w:hAnsi="Times New Roman"/>
          <w:sz w:val="22"/>
          <w:szCs w:val="22"/>
          <w:color w:val="auto"/>
        </w:rPr>
        <w:t>Victoria will facilitate greater collaboration between Forest Industries to enable the highest and best use of the available Forest resources.</w:t>
      </w:r>
    </w:p>
    <w:p>
      <w:pPr>
        <w:spacing w:after="0" w:line="200" w:lineRule="exact"/>
        <w:rPr>
          <w:sz w:val="20"/>
          <w:szCs w:val="20"/>
          <w:color w:val="auto"/>
        </w:rPr>
      </w:pPr>
    </w:p>
    <w:p>
      <w:pPr>
        <w:spacing w:after="0" w:line="35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i w:val="1"/>
          <w:iCs w:val="1"/>
          <w:color w:val="auto"/>
        </w:rPr>
        <w:t>Timber and Forestry Products Industries</w:t>
      </w:r>
    </w:p>
    <w:p>
      <w:pPr>
        <w:spacing w:after="0" w:line="260" w:lineRule="exact"/>
        <w:rPr>
          <w:sz w:val="20"/>
          <w:szCs w:val="20"/>
          <w:color w:val="auto"/>
        </w:rPr>
      </w:pPr>
    </w:p>
    <w:p>
      <w:pPr>
        <w:ind w:left="720" w:right="12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69C.</w:t>
      </w:r>
      <w:r>
        <w:rPr>
          <w:sz w:val="20"/>
          <w:szCs w:val="20"/>
          <w:color w:val="auto"/>
        </w:rPr>
        <w:tab/>
      </w:r>
      <w:r>
        <w:rPr>
          <w:rFonts w:ascii="Times New Roman" w:cs="Times New Roman" w:eastAsia="Times New Roman" w:hAnsi="Times New Roman"/>
          <w:sz w:val="22"/>
          <w:szCs w:val="22"/>
          <w:color w:val="auto"/>
        </w:rPr>
        <w:t>The Parties recognise that, from 1 July 2030, all commercial harvesting of Timber Resources from Native Forests on Public Land in Victoria will cease.</w:t>
      </w:r>
    </w:p>
    <w:p>
      <w:pPr>
        <w:spacing w:after="0" w:line="265" w:lineRule="exact"/>
        <w:rPr>
          <w:sz w:val="20"/>
          <w:szCs w:val="20"/>
          <w:color w:val="auto"/>
        </w:rPr>
      </w:pPr>
    </w:p>
    <w:p>
      <w:pPr>
        <w:jc w:val="both"/>
        <w:ind w:left="720" w:hanging="719"/>
        <w:spacing w:after="0" w:line="236" w:lineRule="auto"/>
        <w:tabs>
          <w:tab w:leader="none" w:pos="700" w:val="left"/>
        </w:tabs>
        <w:rPr>
          <w:sz w:val="20"/>
          <w:szCs w:val="20"/>
          <w:color w:val="auto"/>
        </w:rPr>
      </w:pPr>
      <w:r>
        <w:rPr>
          <w:rFonts w:ascii="Times New Roman" w:cs="Times New Roman" w:eastAsia="Times New Roman" w:hAnsi="Times New Roman"/>
          <w:sz w:val="22"/>
          <w:szCs w:val="22"/>
          <w:color w:val="auto"/>
        </w:rPr>
        <w:t>69D.</w:t>
      </w:r>
      <w:r>
        <w:rPr>
          <w:sz w:val="20"/>
          <w:szCs w:val="20"/>
          <w:color w:val="auto"/>
        </w:rPr>
        <w:tab/>
      </w:r>
      <w:r>
        <w:rPr>
          <w:rFonts w:ascii="Times New Roman" w:cs="Times New Roman" w:eastAsia="Times New Roman" w:hAnsi="Times New Roman"/>
          <w:sz w:val="22"/>
          <w:szCs w:val="22"/>
          <w:color w:val="auto"/>
        </w:rPr>
        <w:t xml:space="preserve">The Parties recognise that, until 30 June 2030, State Forest outside the CAR Reserve System can be available for timber harvesting in accordance with the </w:t>
      </w:r>
      <w:r>
        <w:rPr>
          <w:rFonts w:ascii="Times New Roman" w:cs="Times New Roman" w:eastAsia="Times New Roman" w:hAnsi="Times New Roman"/>
          <w:sz w:val="22"/>
          <w:szCs w:val="22"/>
          <w:i w:val="1"/>
          <w:iCs w:val="1"/>
          <w:color w:val="auto"/>
        </w:rPr>
        <w:t>Sustainable Forests (Timber) Act 2004</w:t>
      </w:r>
      <w:r>
        <w:rPr>
          <w:rFonts w:ascii="Times New Roman" w:cs="Times New Roman" w:eastAsia="Times New Roman" w:hAnsi="Times New Roman"/>
          <w:sz w:val="22"/>
          <w:szCs w:val="22"/>
          <w:color w:val="auto"/>
        </w:rPr>
        <w:t xml:space="preserve"> (Vic) and the Code of Practice for Timber Production.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35</w:t>
      </w:r>
    </w:p>
    <w:p>
      <w:pPr>
        <w:sectPr>
          <w:pgSz w:w="11900" w:h="16838" w:orient="portrait"/>
          <w:cols w:equalWidth="0" w:num="1">
            <w:col w:w="9220"/>
          </w:cols>
          <w:pgMar w:left="1440" w:top="1440" w:right="1246" w:bottom="149" w:gutter="0" w:footer="0" w:header="0"/>
        </w:sectPr>
      </w:pPr>
    </w:p>
    <w:bookmarkStart w:id="35" w:name="page36"/>
    <w:bookmarkEnd w:id="35"/>
    <w:p>
      <w:pPr>
        <w:spacing w:after="0" w:line="4" w:lineRule="exact"/>
        <w:rPr>
          <w:sz w:val="20"/>
          <w:szCs w:val="20"/>
          <w:color w:val="auto"/>
        </w:rPr>
      </w:pPr>
    </w:p>
    <w:p>
      <w:pPr>
        <w:jc w:val="both"/>
        <w:ind w:left="720" w:hanging="719"/>
        <w:spacing w:after="0" w:line="237" w:lineRule="auto"/>
        <w:tabs>
          <w:tab w:leader="none" w:pos="700" w:val="left"/>
        </w:tabs>
        <w:rPr>
          <w:sz w:val="20"/>
          <w:szCs w:val="20"/>
          <w:color w:val="auto"/>
        </w:rPr>
      </w:pPr>
      <w:r>
        <w:rPr>
          <w:rFonts w:ascii="Times New Roman" w:cs="Times New Roman" w:eastAsia="Times New Roman" w:hAnsi="Times New Roman"/>
          <w:sz w:val="22"/>
          <w:szCs w:val="22"/>
          <w:color w:val="auto"/>
        </w:rPr>
        <w:t>69E.</w:t>
      </w:r>
      <w:r>
        <w:rPr>
          <w:sz w:val="20"/>
          <w:szCs w:val="20"/>
          <w:color w:val="auto"/>
        </w:rPr>
        <w:tab/>
      </w:r>
      <w:r>
        <w:rPr>
          <w:rFonts w:ascii="Times New Roman" w:cs="Times New Roman" w:eastAsia="Times New Roman" w:hAnsi="Times New Roman"/>
          <w:sz w:val="22"/>
          <w:szCs w:val="22"/>
          <w:color w:val="auto"/>
        </w:rPr>
        <w:t>Victoria recognises that, until 30 June 2030, the provision of forecasts of the long- and medium-term supply of available Timber Resources from State Forest plays a vital role in supporting investment and diversification by Timber and Forestry Products Industries. In addition, Victoria recognises that the provision of supply forecasts and the basis for their calculation is important to other Forest Industries and users, and the broader Victorian community.</w:t>
      </w:r>
    </w:p>
    <w:p>
      <w:pPr>
        <w:spacing w:after="0" w:line="256" w:lineRule="exact"/>
        <w:rPr>
          <w:sz w:val="20"/>
          <w:szCs w:val="20"/>
          <w:color w:val="auto"/>
        </w:rPr>
      </w:pPr>
    </w:p>
    <w:p>
      <w:pPr>
        <w:jc w:val="both"/>
        <w:ind w:left="720" w:right="20" w:hanging="719"/>
        <w:spacing w:after="0" w:line="250" w:lineRule="auto"/>
        <w:tabs>
          <w:tab w:leader="none" w:pos="700" w:val="left"/>
        </w:tabs>
        <w:rPr>
          <w:sz w:val="20"/>
          <w:szCs w:val="20"/>
          <w:color w:val="auto"/>
        </w:rPr>
      </w:pPr>
      <w:r>
        <w:rPr>
          <w:rFonts w:ascii="Times New Roman" w:cs="Times New Roman" w:eastAsia="Times New Roman" w:hAnsi="Times New Roman"/>
          <w:sz w:val="21"/>
          <w:szCs w:val="21"/>
          <w:color w:val="auto"/>
        </w:rPr>
        <w:t>69F.</w:t>
      </w:r>
      <w:r>
        <w:rPr>
          <w:sz w:val="20"/>
          <w:szCs w:val="20"/>
          <w:color w:val="auto"/>
        </w:rPr>
        <w:tab/>
      </w:r>
      <w:r>
        <w:rPr>
          <w:rFonts w:ascii="Times New Roman" w:cs="Times New Roman" w:eastAsia="Times New Roman" w:hAnsi="Times New Roman"/>
          <w:sz w:val="21"/>
          <w:szCs w:val="21"/>
          <w:color w:val="auto"/>
        </w:rPr>
        <w:t>Victoria will forecast and make publicly available the Harvest Level from State Forests in the RFA Region. In determining the Harvest Level, Victoria will have regard to the following factors:</w:t>
      </w:r>
    </w:p>
    <w:p>
      <w:pPr>
        <w:spacing w:after="0" w:line="232" w:lineRule="exact"/>
        <w:rPr>
          <w:sz w:val="20"/>
          <w:szCs w:val="20"/>
          <w:color w:val="auto"/>
        </w:rPr>
      </w:pPr>
    </w:p>
    <w:p>
      <w:pPr>
        <w:ind w:left="1420" w:hanging="712"/>
        <w:spacing w:after="0"/>
        <w:tabs>
          <w:tab w:leader="none" w:pos="142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requirements of ESFM for the RFA Region;</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area available for timber harvesting;</w:t>
      </w:r>
    </w:p>
    <w:p>
      <w:pPr>
        <w:spacing w:after="0" w:line="251" w:lineRule="exact"/>
        <w:rPr>
          <w:rFonts w:ascii="Times New Roman" w:cs="Times New Roman" w:eastAsia="Times New Roman" w:hAnsi="Times New Roman"/>
          <w:sz w:val="22"/>
          <w:szCs w:val="22"/>
          <w:color w:val="auto"/>
        </w:rPr>
      </w:pPr>
    </w:p>
    <w:p>
      <w:pPr>
        <w:ind w:left="1420" w:right="20" w:hanging="712"/>
        <w:spacing w:after="0" w:line="234" w:lineRule="auto"/>
        <w:tabs>
          <w:tab w:leader="none" w:pos="142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inventory of timbers of each productive forest type (ash and mixed species eucalypt) in the area available for timber harvesting;</w:t>
      </w:r>
    </w:p>
    <w:p>
      <w:pPr>
        <w:spacing w:after="0" w:line="253" w:lineRule="exact"/>
        <w:rPr>
          <w:rFonts w:ascii="Times New Roman" w:cs="Times New Roman" w:eastAsia="Times New Roman" w:hAnsi="Times New Roman"/>
          <w:sz w:val="22"/>
          <w:szCs w:val="22"/>
          <w:color w:val="auto"/>
        </w:rPr>
      </w:pPr>
    </w:p>
    <w:p>
      <w:pPr>
        <w:ind w:left="1420" w:right="20" w:hanging="712"/>
        <w:spacing w:after="0" w:line="234" w:lineRule="auto"/>
        <w:tabs>
          <w:tab w:leader="none" w:pos="142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forecast structure and growth rates of forests in the RFA Region having consideration to Climate Change, bushfires and other relevant factors;</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policy and regulatory obligations; and</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0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other relevant factors.</w:t>
      </w:r>
    </w:p>
    <w:p>
      <w:pPr>
        <w:spacing w:after="0" w:line="248" w:lineRule="exact"/>
        <w:rPr>
          <w:sz w:val="20"/>
          <w:szCs w:val="20"/>
          <w:color w:val="auto"/>
        </w:rPr>
      </w:pPr>
    </w:p>
    <w:p>
      <w:pPr>
        <w:jc w:val="both"/>
        <w:ind w:left="700" w:right="40" w:hanging="699"/>
        <w:spacing w:after="0" w:line="266" w:lineRule="auto"/>
        <w:tabs>
          <w:tab w:leader="none" w:pos="680" w:val="left"/>
        </w:tabs>
        <w:rPr>
          <w:sz w:val="20"/>
          <w:szCs w:val="20"/>
          <w:color w:val="auto"/>
        </w:rPr>
      </w:pPr>
      <w:r>
        <w:rPr>
          <w:rFonts w:ascii="Times New Roman" w:cs="Times New Roman" w:eastAsia="Times New Roman" w:hAnsi="Times New Roman"/>
          <w:sz w:val="22"/>
          <w:szCs w:val="22"/>
          <w:color w:val="auto"/>
        </w:rPr>
        <w:t>69G.</w:t>
        <w:tab/>
        <w:t>When publishing and making available the Harvest Level, Victoria will specify the methodology and assumptions used to forecast the Harvest Level.</w:t>
      </w:r>
    </w:p>
    <w:p>
      <w:pPr>
        <w:spacing w:after="0" w:line="265" w:lineRule="exact"/>
        <w:rPr>
          <w:sz w:val="20"/>
          <w:szCs w:val="20"/>
          <w:color w:val="auto"/>
        </w:rPr>
      </w:pPr>
    </w:p>
    <w:p>
      <w:pPr>
        <w:jc w:val="both"/>
        <w:ind w:left="700" w:right="20" w:hanging="699"/>
        <w:spacing w:after="0" w:line="235" w:lineRule="auto"/>
        <w:tabs>
          <w:tab w:leader="none" w:pos="680" w:val="left"/>
        </w:tabs>
        <w:rPr>
          <w:sz w:val="20"/>
          <w:szCs w:val="20"/>
          <w:color w:val="auto"/>
        </w:rPr>
      </w:pPr>
      <w:r>
        <w:rPr>
          <w:rFonts w:ascii="Times New Roman" w:cs="Times New Roman" w:eastAsia="Times New Roman" w:hAnsi="Times New Roman"/>
          <w:sz w:val="22"/>
          <w:szCs w:val="22"/>
          <w:color w:val="auto"/>
        </w:rPr>
        <w:t>69H.</w:t>
        <w:tab/>
        <w:t>Victoria commits to ensuring that the volume of Timber Resources harvested from State Forest in the RFA Region over the period 1 July 2019 to 30 June 2030, for both ash and mixed species, will not:</w:t>
      </w:r>
    </w:p>
    <w:p>
      <w:pPr>
        <w:spacing w:after="0" w:line="255" w:lineRule="exact"/>
        <w:rPr>
          <w:sz w:val="20"/>
          <w:szCs w:val="20"/>
          <w:color w:val="auto"/>
        </w:rPr>
      </w:pPr>
    </w:p>
    <w:p>
      <w:pPr>
        <w:ind w:left="1420" w:right="20" w:hanging="712"/>
        <w:spacing w:after="0" w:line="234" w:lineRule="auto"/>
        <w:tabs>
          <w:tab w:leader="none" w:pos="142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over any five year period from 1 July 2019 to 30 June 2030, exceed the cumulative total of the Harvest Level as calculated for each year of that five year period; or</w:t>
      </w:r>
    </w:p>
    <w:p>
      <w:pPr>
        <w:spacing w:after="0" w:line="253" w:lineRule="exact"/>
        <w:rPr>
          <w:rFonts w:ascii="Times New Roman" w:cs="Times New Roman" w:eastAsia="Times New Roman" w:hAnsi="Times New Roman"/>
          <w:sz w:val="22"/>
          <w:szCs w:val="22"/>
          <w:color w:val="auto"/>
        </w:rPr>
      </w:pPr>
    </w:p>
    <w:p>
      <w:pPr>
        <w:ind w:left="1420" w:right="20" w:hanging="712"/>
        <w:spacing w:after="0" w:line="234" w:lineRule="auto"/>
        <w:tabs>
          <w:tab w:leader="none" w:pos="1420" w:val="left"/>
        </w:tabs>
        <w:numPr>
          <w:ilvl w:val="0"/>
          <w:numId w:val="10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any given year, amount to more than 120 per cent of the annual Harvest Level for that year.</w:t>
      </w:r>
    </w:p>
    <w:p>
      <w:pPr>
        <w:spacing w:after="0" w:line="242"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69I.</w:t>
      </w:r>
      <w:r>
        <w:rPr>
          <w:sz w:val="20"/>
          <w:szCs w:val="20"/>
          <w:color w:val="auto"/>
        </w:rPr>
        <w:tab/>
      </w:r>
      <w:r>
        <w:rPr>
          <w:rFonts w:ascii="Times New Roman" w:cs="Times New Roman" w:eastAsia="Times New Roman" w:hAnsi="Times New Roman"/>
          <w:sz w:val="22"/>
          <w:szCs w:val="22"/>
          <w:color w:val="auto"/>
        </w:rPr>
        <w:t>Up until 30 June 2030, Victoria will:</w:t>
      </w:r>
    </w:p>
    <w:p>
      <w:pPr>
        <w:spacing w:after="0" w:line="210" w:lineRule="exact"/>
        <w:rPr>
          <w:sz w:val="20"/>
          <w:szCs w:val="20"/>
          <w:color w:val="auto"/>
        </w:rPr>
      </w:pPr>
    </w:p>
    <w:p>
      <w:pPr>
        <w:jc w:val="both"/>
        <w:ind w:left="1420" w:right="20" w:hanging="712"/>
        <w:spacing w:after="0" w:line="251" w:lineRule="auto"/>
        <w:tabs>
          <w:tab w:leader="none" w:pos="1420" w:val="left"/>
        </w:tabs>
        <w:numPr>
          <w:ilvl w:val="0"/>
          <w:numId w:val="102"/>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review and, as necessary, adjust the Harvest Level at least once in every five-year period, taking into consideration the findings of the most recently completed RFA Five-yearly Review process and the findings of the most recent Major Event Review (if any); and</w:t>
      </w:r>
    </w:p>
    <w:p>
      <w:pPr>
        <w:spacing w:after="0" w:line="190" w:lineRule="exact"/>
        <w:rPr>
          <w:rFonts w:ascii="Times New Roman" w:cs="Times New Roman" w:eastAsia="Times New Roman" w:hAnsi="Times New Roman"/>
          <w:sz w:val="21"/>
          <w:szCs w:val="21"/>
          <w:color w:val="auto"/>
        </w:rPr>
      </w:pPr>
    </w:p>
    <w:p>
      <w:pPr>
        <w:ind w:left="1420" w:hanging="712"/>
        <w:spacing w:after="0"/>
        <w:tabs>
          <w:tab w:leader="none" w:pos="1420" w:val="left"/>
        </w:tabs>
        <w:numPr>
          <w:ilvl w:val="0"/>
          <w:numId w:val="10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make the outcomes of these reviews publicly available.</w:t>
      </w:r>
    </w:p>
    <w:p>
      <w:pPr>
        <w:spacing w:after="0" w:line="251" w:lineRule="exact"/>
        <w:rPr>
          <w:sz w:val="20"/>
          <w:szCs w:val="20"/>
          <w:color w:val="auto"/>
        </w:rPr>
      </w:pPr>
    </w:p>
    <w:p>
      <w:pPr>
        <w:jc w:val="both"/>
        <w:ind w:left="720" w:right="20" w:hanging="719"/>
        <w:spacing w:after="0" w:line="251" w:lineRule="auto"/>
        <w:tabs>
          <w:tab w:leader="none" w:pos="700" w:val="left"/>
        </w:tabs>
        <w:rPr>
          <w:sz w:val="20"/>
          <w:szCs w:val="20"/>
          <w:color w:val="auto"/>
        </w:rPr>
      </w:pPr>
      <w:r>
        <w:rPr>
          <w:rFonts w:ascii="Times New Roman" w:cs="Times New Roman" w:eastAsia="Times New Roman" w:hAnsi="Times New Roman"/>
          <w:sz w:val="21"/>
          <w:szCs w:val="21"/>
          <w:color w:val="auto"/>
        </w:rPr>
        <w:t>69J.</w:t>
      </w:r>
      <w:r>
        <w:rPr>
          <w:sz w:val="20"/>
          <w:szCs w:val="20"/>
          <w:color w:val="auto"/>
        </w:rPr>
        <w:tab/>
      </w:r>
      <w:r>
        <w:rPr>
          <w:rFonts w:ascii="Times New Roman" w:cs="Times New Roman" w:eastAsia="Times New Roman" w:hAnsi="Times New Roman"/>
          <w:sz w:val="21"/>
          <w:szCs w:val="21"/>
          <w:color w:val="auto"/>
        </w:rPr>
        <w:t>Should a Major Event with the potential to significantly impact the Harvest Level occur, Victoria commits to commencing a review of the Harvest Level within 12 months. A review undertaken following a Major Event can constitute the next regular review required under clause 69I.</w:t>
      </w:r>
    </w:p>
    <w:p>
      <w:pPr>
        <w:spacing w:after="0" w:line="241" w:lineRule="exact"/>
        <w:rPr>
          <w:sz w:val="20"/>
          <w:szCs w:val="20"/>
          <w:color w:val="auto"/>
        </w:rPr>
      </w:pPr>
    </w:p>
    <w:p>
      <w:pPr>
        <w:jc w:val="both"/>
        <w:ind w:left="720" w:right="20" w:hanging="719"/>
        <w:spacing w:after="0" w:line="237" w:lineRule="auto"/>
        <w:tabs>
          <w:tab w:leader="none" w:pos="700" w:val="left"/>
        </w:tabs>
        <w:rPr>
          <w:sz w:val="20"/>
          <w:szCs w:val="20"/>
          <w:color w:val="auto"/>
        </w:rPr>
      </w:pPr>
      <w:r>
        <w:rPr>
          <w:rFonts w:ascii="Times New Roman" w:cs="Times New Roman" w:eastAsia="Times New Roman" w:hAnsi="Times New Roman"/>
          <w:sz w:val="22"/>
          <w:szCs w:val="22"/>
          <w:color w:val="auto"/>
        </w:rPr>
        <w:t>69K.</w:t>
      </w:r>
      <w:r>
        <w:rPr>
          <w:sz w:val="20"/>
          <w:szCs w:val="20"/>
          <w:color w:val="auto"/>
        </w:rPr>
        <w:tab/>
      </w:r>
      <w:r>
        <w:rPr>
          <w:rFonts w:ascii="Times New Roman" w:cs="Times New Roman" w:eastAsia="Times New Roman" w:hAnsi="Times New Roman"/>
          <w:sz w:val="22"/>
          <w:szCs w:val="22"/>
          <w:color w:val="auto"/>
        </w:rPr>
        <w:t>Victoria will annually report on the annual and cumulative harvest volume of Timber Resources taken for commercial purposes (including sawlog, pulp wood and commercial firewood) from State Forests in the RFA Region that has occurred since 1 July 2019 up until harvesting ceases on 30 June 2030.</w:t>
      </w:r>
    </w:p>
    <w:p>
      <w:pPr>
        <w:spacing w:after="0" w:line="254" w:lineRule="exact"/>
        <w:rPr>
          <w:sz w:val="20"/>
          <w:szCs w:val="20"/>
          <w:color w:val="auto"/>
        </w:rPr>
      </w:pPr>
    </w:p>
    <w:p>
      <w:pPr>
        <w:jc w:val="both"/>
        <w:ind w:left="700" w:right="20" w:hanging="699"/>
        <w:spacing w:after="0" w:line="250" w:lineRule="auto"/>
        <w:tabs>
          <w:tab w:leader="none" w:pos="680" w:val="left"/>
        </w:tabs>
        <w:rPr>
          <w:sz w:val="20"/>
          <w:szCs w:val="20"/>
          <w:color w:val="auto"/>
        </w:rPr>
      </w:pPr>
      <w:r>
        <w:rPr>
          <w:rFonts w:ascii="Times New Roman" w:cs="Times New Roman" w:eastAsia="Times New Roman" w:hAnsi="Times New Roman"/>
          <w:sz w:val="21"/>
          <w:szCs w:val="21"/>
          <w:color w:val="auto"/>
        </w:rPr>
        <w:t>69L.</w:t>
      </w:r>
      <w:r>
        <w:rPr>
          <w:sz w:val="20"/>
          <w:szCs w:val="20"/>
          <w:color w:val="auto"/>
        </w:rPr>
        <w:tab/>
      </w:r>
      <w:r>
        <w:rPr>
          <w:rFonts w:ascii="Times New Roman" w:cs="Times New Roman" w:eastAsia="Times New Roman" w:hAnsi="Times New Roman"/>
          <w:sz w:val="21"/>
          <w:szCs w:val="21"/>
          <w:color w:val="auto"/>
        </w:rPr>
        <w:t>The Parties commit to working to remove regulatory barriers to, and stimulate private and public investment in, Timber and Forestry Products Industries across Victoria’s Forest Estate, including:</w:t>
      </w: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36</w:t>
      </w:r>
    </w:p>
    <w:p>
      <w:pPr>
        <w:sectPr>
          <w:pgSz w:w="11900" w:h="16838" w:orient="portrait"/>
          <w:cols w:equalWidth="0" w:num="1">
            <w:col w:w="9220"/>
          </w:cols>
          <w:pgMar w:left="1440" w:top="1440" w:right="1246" w:bottom="149" w:gutter="0" w:footer="0" w:header="0"/>
        </w:sectPr>
      </w:pPr>
    </w:p>
    <w:bookmarkStart w:id="36" w:name="page37"/>
    <w:bookmarkEnd w:id="36"/>
    <w:p>
      <w:pPr>
        <w:spacing w:after="0" w:line="4" w:lineRule="exact"/>
        <w:rPr>
          <w:sz w:val="20"/>
          <w:szCs w:val="20"/>
          <w:color w:val="auto"/>
        </w:rPr>
      </w:pPr>
    </w:p>
    <w:p>
      <w:pPr>
        <w:ind w:left="1420" w:hanging="712"/>
        <w:spacing w:after="0" w:line="234" w:lineRule="auto"/>
        <w:tabs>
          <w:tab w:leader="none" w:pos="1420" w:val="left"/>
        </w:tabs>
        <w:numPr>
          <w:ilvl w:val="1"/>
          <w:numId w:val="10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new research and development, innovation and technology to maximise job creation and the efficient, high-value utilisation of timber; and</w:t>
      </w:r>
    </w:p>
    <w:p>
      <w:pPr>
        <w:spacing w:after="0" w:line="212"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1"/>
          <w:numId w:val="10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Plantation and farm forestry development, downstream processing, value-adding industries.</w:t>
      </w:r>
    </w:p>
    <w:p>
      <w:pPr>
        <w:spacing w:after="0" w:line="250" w:lineRule="exact"/>
        <w:rPr>
          <w:rFonts w:ascii="Times New Roman" w:cs="Times New Roman" w:eastAsia="Times New Roman" w:hAnsi="Times New Roman"/>
          <w:sz w:val="22"/>
          <w:szCs w:val="22"/>
          <w:color w:val="auto"/>
        </w:rPr>
      </w:pPr>
    </w:p>
    <w:p>
      <w:pPr>
        <w:jc w:val="both"/>
        <w:ind w:left="720" w:hanging="720"/>
        <w:spacing w:after="0" w:line="236" w:lineRule="auto"/>
        <w:tabs>
          <w:tab w:leader="none" w:pos="720" w:val="left"/>
        </w:tabs>
        <w:numPr>
          <w:ilvl w:val="0"/>
          <w:numId w:val="10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As part of providing greater security of access to resources, the Commonwealth will not prevent enterprises obtaining, using or exporting Processed and Unprocessed Wood sourced from Forests in the Central Highlands RFA Region in accordance with this Agreement.</w:t>
      </w:r>
    </w:p>
    <w:p>
      <w:pPr>
        <w:spacing w:after="0" w:line="240"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10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1"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10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10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i w:val="1"/>
          <w:iCs w:val="1"/>
          <w:color w:val="auto"/>
        </w:rPr>
        <w:t>Apiculture</w:t>
      </w:r>
    </w:p>
    <w:p>
      <w:pPr>
        <w:spacing w:after="0" w:line="248" w:lineRule="exact"/>
        <w:rPr>
          <w:sz w:val="20"/>
          <w:szCs w:val="20"/>
          <w:color w:val="auto"/>
        </w:rPr>
      </w:pPr>
    </w:p>
    <w:p>
      <w:pPr>
        <w:jc w:val="both"/>
        <w:ind w:left="720" w:right="10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73A.</w:t>
      </w:r>
      <w:r>
        <w:rPr>
          <w:sz w:val="20"/>
          <w:szCs w:val="20"/>
          <w:color w:val="auto"/>
        </w:rPr>
        <w:tab/>
      </w:r>
      <w:r>
        <w:rPr>
          <w:rFonts w:ascii="Times New Roman" w:cs="Times New Roman" w:eastAsia="Times New Roman" w:hAnsi="Times New Roman"/>
          <w:sz w:val="22"/>
          <w:szCs w:val="22"/>
          <w:color w:val="auto"/>
        </w:rPr>
        <w:t>The Parties recognise that the apiculture industry contributes to food security through the provision of crop pollination services and requires access to floral resources within Forests.</w:t>
      </w:r>
    </w:p>
    <w:p>
      <w:pPr>
        <w:spacing w:after="0" w:line="253" w:lineRule="exact"/>
        <w:rPr>
          <w:sz w:val="20"/>
          <w:szCs w:val="20"/>
          <w:color w:val="auto"/>
        </w:rPr>
      </w:pPr>
    </w:p>
    <w:p>
      <w:pPr>
        <w:jc w:val="both"/>
        <w:ind w:left="720" w:right="10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73B.</w:t>
      </w:r>
      <w:r>
        <w:rPr>
          <w:sz w:val="20"/>
          <w:szCs w:val="20"/>
          <w:color w:val="auto"/>
        </w:rPr>
        <w:tab/>
      </w:r>
      <w:r>
        <w:rPr>
          <w:rFonts w:ascii="Times New Roman" w:cs="Times New Roman" w:eastAsia="Times New Roman" w:hAnsi="Times New Roman"/>
          <w:sz w:val="22"/>
          <w:szCs w:val="22"/>
          <w:color w:val="auto"/>
        </w:rPr>
        <w:t>The Parties support access to and management of select areas of Native Forest on Public Land to provide beekeepers with access to apiary sites for the purposes of apiculture.</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i w:val="1"/>
          <w:iCs w:val="1"/>
          <w:color w:val="auto"/>
        </w:rPr>
        <w:t>Tourism and recreation</w:t>
      </w:r>
    </w:p>
    <w:p>
      <w:pPr>
        <w:spacing w:after="0" w:line="249" w:lineRule="exact"/>
        <w:rPr>
          <w:sz w:val="20"/>
          <w:szCs w:val="20"/>
          <w:color w:val="auto"/>
        </w:rPr>
      </w:pPr>
    </w:p>
    <w:p>
      <w:pPr>
        <w:jc w:val="both"/>
        <w:ind w:left="720" w:right="100" w:hanging="719"/>
        <w:spacing w:after="0" w:line="270" w:lineRule="auto"/>
        <w:tabs>
          <w:tab w:leader="none" w:pos="700" w:val="left"/>
        </w:tabs>
        <w:rPr>
          <w:sz w:val="20"/>
          <w:szCs w:val="20"/>
          <w:color w:val="auto"/>
        </w:rPr>
      </w:pPr>
      <w:r>
        <w:rPr>
          <w:rFonts w:ascii="Times New Roman" w:cs="Times New Roman" w:eastAsia="Times New Roman" w:hAnsi="Times New Roman"/>
          <w:sz w:val="22"/>
          <w:szCs w:val="22"/>
          <w:color w:val="auto"/>
        </w:rPr>
        <w:t>73C.</w:t>
      </w:r>
      <w:r>
        <w:rPr>
          <w:sz w:val="20"/>
          <w:szCs w:val="20"/>
          <w:color w:val="auto"/>
        </w:rPr>
        <w:tab/>
      </w:r>
      <w:r>
        <w:rPr>
          <w:rFonts w:ascii="Times New Roman" w:cs="Times New Roman" w:eastAsia="Times New Roman" w:hAnsi="Times New Roman"/>
          <w:sz w:val="22"/>
          <w:szCs w:val="22"/>
          <w:color w:val="auto"/>
        </w:rPr>
        <w:t>The Parties acknowledge that nature-based tourism, cultural tourism and recreation associated with Native Forests provide a growing source of employment and revenue for regional communities.</w:t>
      </w:r>
    </w:p>
    <w:p>
      <w:pPr>
        <w:spacing w:after="0" w:line="260" w:lineRule="exact"/>
        <w:rPr>
          <w:sz w:val="20"/>
          <w:szCs w:val="20"/>
          <w:color w:val="auto"/>
        </w:rPr>
      </w:pPr>
    </w:p>
    <w:p>
      <w:pPr>
        <w:jc w:val="both"/>
        <w:ind w:left="720" w:right="10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73D.</w:t>
      </w:r>
      <w:r>
        <w:rPr>
          <w:sz w:val="20"/>
          <w:szCs w:val="20"/>
          <w:color w:val="auto"/>
        </w:rPr>
        <w:tab/>
      </w:r>
      <w:r>
        <w:rPr>
          <w:rFonts w:ascii="Times New Roman" w:cs="Times New Roman" w:eastAsia="Times New Roman" w:hAnsi="Times New Roman"/>
          <w:sz w:val="22"/>
          <w:szCs w:val="22"/>
          <w:color w:val="auto"/>
        </w:rPr>
        <w:t>The Parties support access to and management of select areas of Native Forest on Public Land to provide opportunities for a diverse range of recreation and tourism experiences.</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i w:val="1"/>
          <w:iCs w:val="1"/>
          <w:color w:val="auto"/>
        </w:rPr>
        <w:t>Carbon markets</w:t>
      </w:r>
    </w:p>
    <w:p>
      <w:pPr>
        <w:spacing w:after="0" w:line="248" w:lineRule="exact"/>
        <w:rPr>
          <w:sz w:val="20"/>
          <w:szCs w:val="20"/>
          <w:color w:val="auto"/>
        </w:rPr>
      </w:pPr>
    </w:p>
    <w:p>
      <w:pPr>
        <w:jc w:val="both"/>
        <w:ind w:left="720" w:right="10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73E.</w:t>
      </w:r>
      <w:r>
        <w:rPr>
          <w:sz w:val="20"/>
          <w:szCs w:val="20"/>
          <w:color w:val="auto"/>
        </w:rPr>
        <w:tab/>
      </w:r>
      <w:r>
        <w:rPr>
          <w:rFonts w:ascii="Times New Roman" w:cs="Times New Roman" w:eastAsia="Times New Roman" w:hAnsi="Times New Roman"/>
          <w:sz w:val="22"/>
          <w:szCs w:val="22"/>
          <w:color w:val="auto"/>
        </w:rPr>
        <w:t>The Parties acknowledge the social, environmental and economic opportunities from Forests presented by emerging carbon markets.</w:t>
      </w:r>
    </w:p>
    <w:p>
      <w:pPr>
        <w:spacing w:after="0" w:line="24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INDIGENOUS HERITAGE AND TRADITIONAL OWNER RIGHTS AND PARTNERSHIPS</w:t>
      </w:r>
    </w:p>
    <w:p>
      <w:pPr>
        <w:spacing w:after="0" w:line="246" w:lineRule="exact"/>
        <w:rPr>
          <w:sz w:val="20"/>
          <w:szCs w:val="20"/>
          <w:color w:val="auto"/>
        </w:rPr>
      </w:pPr>
    </w:p>
    <w:p>
      <w:pPr>
        <w:ind w:left="700" w:right="300" w:hanging="700"/>
        <w:spacing w:after="0" w:line="236" w:lineRule="auto"/>
        <w:tabs>
          <w:tab w:leader="none" w:pos="700" w:val="left"/>
        </w:tabs>
        <w:numPr>
          <w:ilvl w:val="0"/>
          <w:numId w:val="10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agrees to ensure the appropriate management and protection of Aboriginal heritage including the maintenance of Traditional Owner identified living natural and biocultural uses and values.</w:t>
      </w:r>
    </w:p>
    <w:p>
      <w:pPr>
        <w:spacing w:after="0" w:line="252" w:lineRule="exact"/>
        <w:rPr>
          <w:sz w:val="20"/>
          <w:szCs w:val="20"/>
          <w:color w:val="auto"/>
        </w:rPr>
      </w:pPr>
    </w:p>
    <w:p>
      <w:pPr>
        <w:jc w:val="both"/>
        <w:ind w:left="700" w:right="20" w:hanging="699"/>
        <w:spacing w:after="0" w:line="235" w:lineRule="auto"/>
        <w:tabs>
          <w:tab w:leader="none" w:pos="680" w:val="left"/>
        </w:tabs>
        <w:rPr>
          <w:sz w:val="20"/>
          <w:szCs w:val="20"/>
          <w:color w:val="auto"/>
        </w:rPr>
      </w:pPr>
      <w:r>
        <w:rPr>
          <w:rFonts w:ascii="Times New Roman" w:cs="Times New Roman" w:eastAsia="Times New Roman" w:hAnsi="Times New Roman"/>
          <w:sz w:val="22"/>
          <w:szCs w:val="22"/>
          <w:color w:val="auto"/>
        </w:rPr>
        <w:t>74A.</w:t>
        <w:tab/>
        <w:t>The Parties agree that the Forest Management System provides a framework for the protection of Aboriginal Heritage Values.</w:t>
      </w:r>
    </w:p>
    <w:p>
      <w:pPr>
        <w:spacing w:after="0" w:line="251" w:lineRule="exact"/>
        <w:rPr>
          <w:sz w:val="20"/>
          <w:szCs w:val="20"/>
          <w:color w:val="auto"/>
        </w:rPr>
      </w:pPr>
    </w:p>
    <w:p>
      <w:pPr>
        <w:ind w:left="700" w:hanging="707"/>
        <w:spacing w:after="0" w:line="234" w:lineRule="auto"/>
        <w:tabs>
          <w:tab w:leader="none" w:pos="680" w:val="left"/>
        </w:tabs>
        <w:rPr>
          <w:sz w:val="20"/>
          <w:szCs w:val="20"/>
          <w:color w:val="auto"/>
        </w:rPr>
      </w:pPr>
      <w:r>
        <w:rPr>
          <w:rFonts w:ascii="Times New Roman" w:cs="Times New Roman" w:eastAsia="Times New Roman" w:hAnsi="Times New Roman"/>
          <w:sz w:val="22"/>
          <w:szCs w:val="22"/>
          <w:color w:val="auto"/>
        </w:rPr>
        <w:t>74B.</w:t>
      </w:r>
      <w:r>
        <w:rPr>
          <w:sz w:val="20"/>
          <w:szCs w:val="20"/>
          <w:color w:val="auto"/>
        </w:rPr>
        <w:tab/>
      </w:r>
      <w:r>
        <w:rPr>
          <w:rFonts w:ascii="Times New Roman" w:cs="Times New Roman" w:eastAsia="Times New Roman" w:hAnsi="Times New Roman"/>
          <w:sz w:val="22"/>
          <w:szCs w:val="22"/>
          <w:color w:val="auto"/>
        </w:rPr>
        <w:t>Victoria will ensure that the Forest Management System provides for the management and protection of Traditional Owner identified living natural and biocultural values and uses.</w:t>
      </w:r>
    </w:p>
    <w:p>
      <w:pPr>
        <w:spacing w:after="0" w:line="253" w:lineRule="exact"/>
        <w:rPr>
          <w:sz w:val="20"/>
          <w:szCs w:val="20"/>
          <w:color w:val="auto"/>
        </w:rPr>
      </w:pPr>
    </w:p>
    <w:p>
      <w:pPr>
        <w:jc w:val="both"/>
        <w:ind w:left="700" w:hanging="699"/>
        <w:spacing w:after="0" w:line="236" w:lineRule="auto"/>
        <w:tabs>
          <w:tab w:leader="none" w:pos="680" w:val="left"/>
        </w:tabs>
        <w:rPr>
          <w:sz w:val="20"/>
          <w:szCs w:val="20"/>
          <w:color w:val="auto"/>
        </w:rPr>
      </w:pPr>
      <w:r>
        <w:rPr>
          <w:rFonts w:ascii="Times New Roman" w:cs="Times New Roman" w:eastAsia="Times New Roman" w:hAnsi="Times New Roman"/>
          <w:sz w:val="22"/>
          <w:szCs w:val="22"/>
          <w:color w:val="auto"/>
        </w:rPr>
        <w:t>74C.</w:t>
      </w:r>
      <w:r>
        <w:rPr>
          <w:sz w:val="20"/>
          <w:szCs w:val="20"/>
          <w:color w:val="auto"/>
        </w:rPr>
        <w:tab/>
      </w:r>
      <w:r>
        <w:rPr>
          <w:rFonts w:ascii="Times New Roman" w:cs="Times New Roman" w:eastAsia="Times New Roman" w:hAnsi="Times New Roman"/>
          <w:sz w:val="22"/>
          <w:szCs w:val="22"/>
          <w:color w:val="auto"/>
        </w:rPr>
        <w:t>Through self-determination, Victoria will empower Traditional Owners to lead the application of Traditional Owner Knowledge in land management practices and innovations, including tangible and intangible heritage and identity.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6"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37</w:t>
      </w:r>
    </w:p>
    <w:p>
      <w:pPr>
        <w:sectPr>
          <w:pgSz w:w="11900" w:h="16838" w:orient="portrait"/>
          <w:cols w:equalWidth="0" w:num="1">
            <w:col w:w="9200"/>
          </w:cols>
          <w:pgMar w:left="1440" w:top="1440" w:right="1266" w:bottom="149" w:gutter="0" w:footer="0" w:header="0"/>
        </w:sectPr>
      </w:pPr>
    </w:p>
    <w:bookmarkStart w:id="37" w:name="page38"/>
    <w:bookmarkEnd w:id="37"/>
    <w:p>
      <w:pPr>
        <w:spacing w:after="0" w:line="4" w:lineRule="exact"/>
        <w:rPr>
          <w:sz w:val="20"/>
          <w:szCs w:val="20"/>
          <w:color w:val="auto"/>
        </w:rPr>
      </w:pPr>
    </w:p>
    <w:p>
      <w:pPr>
        <w:jc w:val="both"/>
        <w:ind w:left="700" w:hanging="671"/>
        <w:spacing w:after="0" w:line="237" w:lineRule="auto"/>
        <w:tabs>
          <w:tab w:leader="none" w:pos="700" w:val="left"/>
        </w:tabs>
        <w:numPr>
          <w:ilvl w:val="0"/>
          <w:numId w:val="10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This Agreement is not intended to influence either current or future Native Title claims in any way. The Parties acknowledge that if any implementation of this Agreement could affect Native Title rights and interests, that action will be taken in accordance with the </w:t>
      </w:r>
      <w:r>
        <w:rPr>
          <w:rFonts w:ascii="Times New Roman" w:cs="Times New Roman" w:eastAsia="Times New Roman" w:hAnsi="Times New Roman"/>
          <w:sz w:val="22"/>
          <w:szCs w:val="22"/>
          <w:i w:val="1"/>
          <w:iCs w:val="1"/>
          <w:color w:val="auto"/>
        </w:rPr>
        <w:t>Native Title Act 1993</w:t>
      </w:r>
      <w:r>
        <w:rPr>
          <w:rFonts w:ascii="Times New Roman" w:cs="Times New Roman" w:eastAsia="Times New Roman" w:hAnsi="Times New Roman"/>
          <w:sz w:val="22"/>
          <w:szCs w:val="22"/>
          <w:color w:val="auto"/>
        </w:rPr>
        <w:t xml:space="preserve"> (Cth) and any future State legislation which deals with Native Title matters.</w:t>
      </w:r>
    </w:p>
    <w:p>
      <w:pPr>
        <w:spacing w:after="0" w:line="254" w:lineRule="exact"/>
        <w:rPr>
          <w:sz w:val="20"/>
          <w:szCs w:val="20"/>
          <w:color w:val="auto"/>
        </w:rPr>
      </w:pPr>
    </w:p>
    <w:p>
      <w:pPr>
        <w:jc w:val="both"/>
        <w:ind w:left="700" w:hanging="699"/>
        <w:spacing w:after="0" w:line="238" w:lineRule="auto"/>
        <w:tabs>
          <w:tab w:leader="none" w:pos="680" w:val="left"/>
        </w:tabs>
        <w:rPr>
          <w:sz w:val="20"/>
          <w:szCs w:val="20"/>
          <w:color w:val="auto"/>
        </w:rPr>
      </w:pPr>
      <w:r>
        <w:rPr>
          <w:rFonts w:ascii="Times New Roman" w:cs="Times New Roman" w:eastAsia="Times New Roman" w:hAnsi="Times New Roman"/>
          <w:sz w:val="22"/>
          <w:szCs w:val="22"/>
          <w:color w:val="auto"/>
        </w:rPr>
        <w:t>75A.</w:t>
        <w:tab/>
        <w:t xml:space="preserve">This Agreement is not intended to influence or impact upon any agreements entered into under the </w:t>
      </w:r>
      <w:r>
        <w:rPr>
          <w:rFonts w:ascii="Times New Roman" w:cs="Times New Roman" w:eastAsia="Times New Roman" w:hAnsi="Times New Roman"/>
          <w:sz w:val="22"/>
          <w:szCs w:val="22"/>
          <w:i w:val="1"/>
          <w:iCs w:val="1"/>
          <w:color w:val="auto"/>
        </w:rPr>
        <w:t>Traditional Owner Settlement Act 2010</w:t>
      </w:r>
      <w:r>
        <w:rPr>
          <w:rFonts w:ascii="Times New Roman" w:cs="Times New Roman" w:eastAsia="Times New Roman" w:hAnsi="Times New Roman"/>
          <w:sz w:val="22"/>
          <w:szCs w:val="22"/>
          <w:color w:val="auto"/>
        </w:rPr>
        <w:t xml:space="preserve"> (Vic), or those currently under negotiation. The Parties acknowledge that if the implementation of this Agreement could affect rights under the </w:t>
      </w:r>
      <w:r>
        <w:rPr>
          <w:rFonts w:ascii="Times New Roman" w:cs="Times New Roman" w:eastAsia="Times New Roman" w:hAnsi="Times New Roman"/>
          <w:sz w:val="22"/>
          <w:szCs w:val="22"/>
          <w:i w:val="1"/>
          <w:iCs w:val="1"/>
          <w:color w:val="auto"/>
        </w:rPr>
        <w:t xml:space="preserve">Traditional Owner Settlement Act 2010 </w:t>
      </w:r>
      <w:r>
        <w:rPr>
          <w:rFonts w:ascii="Times New Roman" w:cs="Times New Roman" w:eastAsia="Times New Roman" w:hAnsi="Times New Roman"/>
          <w:sz w:val="22"/>
          <w:szCs w:val="22"/>
          <w:color w:val="auto"/>
        </w:rPr>
        <w:t>(Vic), that action will be taken in accordance with the</w:t>
      </w:r>
      <w:r>
        <w:rPr>
          <w:rFonts w:ascii="Times New Roman" w:cs="Times New Roman" w:eastAsia="Times New Roman" w:hAnsi="Times New Roman"/>
          <w:sz w:val="22"/>
          <w:szCs w:val="22"/>
          <w:i w:val="1"/>
          <w:iCs w:val="1"/>
          <w:color w:val="auto"/>
        </w:rPr>
        <w:t xml:space="preserve"> Traditional Owner Settlement Act 2010 </w:t>
      </w:r>
      <w:r>
        <w:rPr>
          <w:rFonts w:ascii="Times New Roman" w:cs="Times New Roman" w:eastAsia="Times New Roman" w:hAnsi="Times New Roman"/>
          <w:sz w:val="22"/>
          <w:szCs w:val="22"/>
          <w:color w:val="auto"/>
        </w:rPr>
        <w:t>(Vic), and any agreements made under that Act that</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remain in force.</w:t>
      </w:r>
    </w:p>
    <w:p>
      <w:pPr>
        <w:spacing w:after="0" w:line="241"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2"/>
          <w:szCs w:val="22"/>
          <w:color w:val="auto"/>
        </w:rPr>
        <w:t>75B.</w:t>
      </w:r>
      <w:r>
        <w:rPr>
          <w:sz w:val="20"/>
          <w:szCs w:val="20"/>
          <w:color w:val="auto"/>
        </w:rPr>
        <w:tab/>
      </w:r>
      <w:r>
        <w:rPr>
          <w:rFonts w:ascii="Times New Roman" w:cs="Times New Roman" w:eastAsia="Times New Roman" w:hAnsi="Times New Roman"/>
          <w:sz w:val="22"/>
          <w:szCs w:val="22"/>
          <w:color w:val="auto"/>
        </w:rPr>
        <w:t>The Parties acknowledge the:</w:t>
      </w:r>
    </w:p>
    <w:p>
      <w:pPr>
        <w:spacing w:after="0" w:line="131" w:lineRule="exact"/>
        <w:rPr>
          <w:sz w:val="20"/>
          <w:szCs w:val="20"/>
          <w:color w:val="auto"/>
        </w:rPr>
      </w:pPr>
    </w:p>
    <w:p>
      <w:pPr>
        <w:ind w:left="1420" w:right="180" w:hanging="712"/>
        <w:spacing w:after="0" w:line="235" w:lineRule="auto"/>
        <w:tabs>
          <w:tab w:leader="none" w:pos="1420" w:val="left"/>
        </w:tabs>
        <w:numPr>
          <w:ilvl w:val="0"/>
          <w:numId w:val="10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cultural obligations and responsibilities of Traditional Owners under Traditional Owner cultural lore, including spiritual, mythological, religious and cultural practices;</w:t>
      </w:r>
    </w:p>
    <w:p>
      <w:pPr>
        <w:spacing w:after="0" w:line="130" w:lineRule="exact"/>
        <w:rPr>
          <w:rFonts w:ascii="Times New Roman" w:cs="Times New Roman" w:eastAsia="Times New Roman" w:hAnsi="Times New Roman"/>
          <w:sz w:val="22"/>
          <w:szCs w:val="22"/>
          <w:color w:val="auto"/>
        </w:rPr>
      </w:pPr>
    </w:p>
    <w:p>
      <w:pPr>
        <w:jc w:val="both"/>
        <w:ind w:left="1420" w:right="180" w:hanging="712"/>
        <w:spacing w:after="0" w:line="236" w:lineRule="auto"/>
        <w:tabs>
          <w:tab w:leader="none" w:pos="1420" w:val="left"/>
        </w:tabs>
        <w:numPr>
          <w:ilvl w:val="0"/>
          <w:numId w:val="10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legal rights of Victorian Traditional Owners to partner in land, cultural heritage, cultural, natural resource and ecological management on Country as provided for under law; and</w:t>
      </w:r>
    </w:p>
    <w:p>
      <w:pPr>
        <w:spacing w:after="0" w:line="134" w:lineRule="exact"/>
        <w:rPr>
          <w:rFonts w:ascii="Times New Roman" w:cs="Times New Roman" w:eastAsia="Times New Roman" w:hAnsi="Times New Roman"/>
          <w:sz w:val="22"/>
          <w:szCs w:val="22"/>
          <w:color w:val="auto"/>
        </w:rPr>
      </w:pPr>
    </w:p>
    <w:p>
      <w:pPr>
        <w:ind w:left="1420" w:right="180" w:hanging="712"/>
        <w:spacing w:after="0" w:line="234" w:lineRule="auto"/>
        <w:tabs>
          <w:tab w:leader="none" w:pos="1420" w:val="left"/>
        </w:tabs>
        <w:numPr>
          <w:ilvl w:val="0"/>
          <w:numId w:val="10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rights of Traditional Owners to practice cultural activities and generate economic, environmental, cultural and social benefits from the management and use of Country.</w:t>
      </w:r>
    </w:p>
    <w:p>
      <w:pPr>
        <w:spacing w:after="0" w:line="239"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75C.</w:t>
      </w:r>
      <w:r>
        <w:rPr>
          <w:sz w:val="20"/>
          <w:szCs w:val="20"/>
          <w:color w:val="auto"/>
        </w:rPr>
        <w:tab/>
      </w:r>
      <w:r>
        <w:rPr>
          <w:rFonts w:ascii="Times New Roman" w:cs="Times New Roman" w:eastAsia="Times New Roman" w:hAnsi="Times New Roman"/>
          <w:sz w:val="22"/>
          <w:szCs w:val="22"/>
          <w:color w:val="auto"/>
        </w:rPr>
        <w:t>Victoria:</w:t>
      </w:r>
    </w:p>
    <w:p>
      <w:pPr>
        <w:spacing w:after="0" w:line="171" w:lineRule="exact"/>
        <w:rPr>
          <w:sz w:val="20"/>
          <w:szCs w:val="20"/>
          <w:color w:val="auto"/>
        </w:rPr>
      </w:pPr>
    </w:p>
    <w:p>
      <w:pPr>
        <w:ind w:left="1420" w:right="180" w:hanging="712"/>
        <w:spacing w:after="0" w:line="234" w:lineRule="auto"/>
        <w:tabs>
          <w:tab w:leader="none" w:pos="1420" w:val="left"/>
        </w:tabs>
        <w:numPr>
          <w:ilvl w:val="0"/>
          <w:numId w:val="10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ensure that Traditional Owners are empowered to have an active role in the management of Forests on Public Land on Country;</w:t>
      </w:r>
    </w:p>
    <w:p>
      <w:pPr>
        <w:spacing w:after="0" w:line="11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0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is committed to ensuring the involvement of Traditional Owners in decision making;</w:t>
      </w:r>
    </w:p>
    <w:p>
      <w:pPr>
        <w:spacing w:after="0" w:line="132" w:lineRule="exact"/>
        <w:rPr>
          <w:rFonts w:ascii="Times New Roman" w:cs="Times New Roman" w:eastAsia="Times New Roman" w:hAnsi="Times New Roman"/>
          <w:sz w:val="22"/>
          <w:szCs w:val="22"/>
          <w:color w:val="auto"/>
        </w:rPr>
      </w:pPr>
    </w:p>
    <w:p>
      <w:pPr>
        <w:ind w:left="1420" w:right="160" w:hanging="712"/>
        <w:spacing w:after="0" w:line="234" w:lineRule="auto"/>
        <w:tabs>
          <w:tab w:leader="none" w:pos="1420" w:val="left"/>
        </w:tabs>
        <w:numPr>
          <w:ilvl w:val="0"/>
          <w:numId w:val="10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agrees to support the development of a Traditional Owner cultural landscapes strategy, which it will actively seek to implement once developed;</w:t>
      </w:r>
    </w:p>
    <w:p>
      <w:pPr>
        <w:spacing w:after="0" w:line="12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0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actively seek to:</w:t>
      </w:r>
    </w:p>
    <w:p>
      <w:pPr>
        <w:spacing w:after="0" w:line="130" w:lineRule="exact"/>
        <w:rPr>
          <w:rFonts w:ascii="Times New Roman" w:cs="Times New Roman" w:eastAsia="Times New Roman" w:hAnsi="Times New Roman"/>
          <w:sz w:val="22"/>
          <w:szCs w:val="22"/>
          <w:color w:val="auto"/>
        </w:rPr>
      </w:pPr>
    </w:p>
    <w:p>
      <w:pPr>
        <w:ind w:left="2120" w:hanging="708"/>
        <w:spacing w:after="0" w:line="234" w:lineRule="auto"/>
        <w:tabs>
          <w:tab w:leader="none" w:pos="2120" w:val="left"/>
        </w:tabs>
        <w:numPr>
          <w:ilvl w:val="1"/>
          <w:numId w:val="10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implement relevant Traditional Owner Country Plans or equivalent, associated strategies and agreements; and</w:t>
      </w:r>
    </w:p>
    <w:p>
      <w:pPr>
        <w:spacing w:after="0" w:line="121" w:lineRule="exact"/>
        <w:rPr>
          <w:rFonts w:ascii="Times New Roman" w:cs="Times New Roman" w:eastAsia="Times New Roman" w:hAnsi="Times New Roman"/>
          <w:sz w:val="22"/>
          <w:szCs w:val="22"/>
          <w:color w:val="auto"/>
        </w:rPr>
      </w:pPr>
    </w:p>
    <w:p>
      <w:pPr>
        <w:ind w:left="2120" w:hanging="708"/>
        <w:spacing w:after="0"/>
        <w:tabs>
          <w:tab w:leader="none" w:pos="2120" w:val="left"/>
        </w:tabs>
        <w:numPr>
          <w:ilvl w:val="1"/>
          <w:numId w:val="10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incorporate Traditional Owner Knowledge,</w:t>
      </w:r>
    </w:p>
    <w:p>
      <w:pPr>
        <w:spacing w:after="0" w:line="119"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2"/>
          <w:szCs w:val="22"/>
          <w:color w:val="auto"/>
        </w:rPr>
        <w:t>when making decisions regarding the management of Forests;</w:t>
      </w:r>
    </w:p>
    <w:p>
      <w:pPr>
        <w:spacing w:after="0" w:line="122" w:lineRule="exact"/>
        <w:rPr>
          <w:sz w:val="20"/>
          <w:szCs w:val="20"/>
          <w:color w:val="auto"/>
        </w:rPr>
      </w:pPr>
    </w:p>
    <w:p>
      <w:pPr>
        <w:ind w:left="1420" w:hanging="712"/>
        <w:spacing w:after="0"/>
        <w:tabs>
          <w:tab w:leader="none" w:pos="1420" w:val="left"/>
        </w:tabs>
        <w:numPr>
          <w:ilvl w:val="0"/>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will empower Traditional Owners to:</w:t>
      </w:r>
    </w:p>
    <w:p>
      <w:pPr>
        <w:spacing w:after="0" w:line="130" w:lineRule="exact"/>
        <w:rPr>
          <w:rFonts w:ascii="Times New Roman" w:cs="Times New Roman" w:eastAsia="Times New Roman" w:hAnsi="Times New Roman"/>
          <w:sz w:val="22"/>
          <w:szCs w:val="22"/>
          <w:color w:val="auto"/>
        </w:rPr>
      </w:pPr>
    </w:p>
    <w:p>
      <w:pPr>
        <w:ind w:left="2120" w:hanging="708"/>
        <w:spacing w:after="0" w:line="234" w:lineRule="auto"/>
        <w:tabs>
          <w:tab w:leader="none" w:pos="2120" w:val="left"/>
        </w:tabs>
        <w:numPr>
          <w:ilvl w:val="1"/>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develop a sustainable funding model to enable Traditional Owners to meaningfully partner in Forest Management;</w:t>
      </w:r>
    </w:p>
    <w:p>
      <w:pPr>
        <w:spacing w:after="0" w:line="133" w:lineRule="exact"/>
        <w:rPr>
          <w:rFonts w:ascii="Times New Roman" w:cs="Times New Roman" w:eastAsia="Times New Roman" w:hAnsi="Times New Roman"/>
          <w:sz w:val="22"/>
          <w:szCs w:val="22"/>
          <w:color w:val="auto"/>
        </w:rPr>
      </w:pPr>
    </w:p>
    <w:p>
      <w:pPr>
        <w:ind w:left="2120" w:right="20" w:hanging="708"/>
        <w:spacing w:after="0" w:line="234" w:lineRule="auto"/>
        <w:tabs>
          <w:tab w:leader="none" w:pos="2120" w:val="left"/>
        </w:tabs>
        <w:numPr>
          <w:ilvl w:val="1"/>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 opportunities for Traditional Owners to partner in land, water, fire and environmental management;</w:t>
      </w:r>
    </w:p>
    <w:p>
      <w:pPr>
        <w:spacing w:after="0" w:line="133" w:lineRule="exact"/>
        <w:rPr>
          <w:rFonts w:ascii="Times New Roman" w:cs="Times New Roman" w:eastAsia="Times New Roman" w:hAnsi="Times New Roman"/>
          <w:sz w:val="22"/>
          <w:szCs w:val="22"/>
          <w:color w:val="auto"/>
        </w:rPr>
      </w:pPr>
    </w:p>
    <w:p>
      <w:pPr>
        <w:jc w:val="both"/>
        <w:ind w:left="2120" w:hanging="708"/>
        <w:spacing w:after="0" w:line="250" w:lineRule="auto"/>
        <w:tabs>
          <w:tab w:leader="none" w:pos="2120" w:val="left"/>
        </w:tabs>
        <w:numPr>
          <w:ilvl w:val="1"/>
          <w:numId w:val="109"/>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facilitate, where possible, the use of Country for traditional cultural practices including, but not limited to, cultural burning and healing by Traditional Owners;</w:t>
      </w:r>
    </w:p>
    <w:p>
      <w:pPr>
        <w:spacing w:after="0" w:line="120" w:lineRule="exact"/>
        <w:rPr>
          <w:rFonts w:ascii="Times New Roman" w:cs="Times New Roman" w:eastAsia="Times New Roman" w:hAnsi="Times New Roman"/>
          <w:sz w:val="21"/>
          <w:szCs w:val="21"/>
          <w:color w:val="auto"/>
        </w:rPr>
      </w:pPr>
    </w:p>
    <w:p>
      <w:pPr>
        <w:ind w:left="2120" w:hanging="708"/>
        <w:spacing w:after="0" w:line="235" w:lineRule="auto"/>
        <w:tabs>
          <w:tab w:leader="none" w:pos="2120" w:val="left"/>
        </w:tabs>
        <w:numPr>
          <w:ilvl w:val="1"/>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lead the development of Traditional Owner knowledge management systems including identification and monitoring of MTOS;</w:t>
      </w:r>
    </w:p>
    <w:p>
      <w:pPr>
        <w:spacing w:after="0" w:line="119" w:lineRule="exact"/>
        <w:rPr>
          <w:rFonts w:ascii="Times New Roman" w:cs="Times New Roman" w:eastAsia="Times New Roman" w:hAnsi="Times New Roman"/>
          <w:sz w:val="22"/>
          <w:szCs w:val="22"/>
          <w:color w:val="auto"/>
        </w:rPr>
      </w:pPr>
    </w:p>
    <w:p>
      <w:pPr>
        <w:ind w:left="2120" w:hanging="708"/>
        <w:spacing w:after="0"/>
        <w:tabs>
          <w:tab w:leader="none" w:pos="2120" w:val="left"/>
        </w:tabs>
        <w:numPr>
          <w:ilvl w:val="1"/>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build awareness and appreciation of Traditional Owner cultures; and</w:t>
      </w:r>
    </w:p>
    <w:p>
      <w:pPr>
        <w:spacing w:after="0" w:line="121" w:lineRule="exact"/>
        <w:rPr>
          <w:rFonts w:ascii="Times New Roman" w:cs="Times New Roman" w:eastAsia="Times New Roman" w:hAnsi="Times New Roman"/>
          <w:sz w:val="22"/>
          <w:szCs w:val="22"/>
          <w:color w:val="auto"/>
        </w:rPr>
      </w:pPr>
    </w:p>
    <w:p>
      <w:pPr>
        <w:ind w:left="2120" w:hanging="708"/>
        <w:spacing w:after="0"/>
        <w:tabs>
          <w:tab w:leader="none" w:pos="2120" w:val="left"/>
        </w:tabs>
        <w:numPr>
          <w:ilvl w:val="1"/>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identify economic and employment opportunities from Forests;</w:t>
      </w:r>
    </w:p>
    <w:p>
      <w:pPr>
        <w:spacing w:after="0" w:line="130" w:lineRule="exact"/>
        <w:rPr>
          <w:rFonts w:ascii="Times New Roman" w:cs="Times New Roman" w:eastAsia="Times New Roman" w:hAnsi="Times New Roman"/>
          <w:sz w:val="22"/>
          <w:szCs w:val="22"/>
          <w:color w:val="auto"/>
        </w:rPr>
      </w:pPr>
    </w:p>
    <w:p>
      <w:pPr>
        <w:ind w:left="1420" w:right="160" w:hanging="712"/>
        <w:spacing w:after="0" w:line="235" w:lineRule="auto"/>
        <w:tabs>
          <w:tab w:leader="none" w:pos="1420" w:val="left"/>
        </w:tabs>
        <w:numPr>
          <w:ilvl w:val="0"/>
          <w:numId w:val="10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recognises that Traditional Owners seek greater access to privately managed Forests; and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38</w:t>
      </w:r>
    </w:p>
    <w:p>
      <w:pPr>
        <w:sectPr>
          <w:pgSz w:w="11900" w:h="16838" w:orient="portrait"/>
          <w:cols w:equalWidth="0" w:num="1">
            <w:col w:w="9200"/>
          </w:cols>
          <w:pgMar w:left="1440" w:top="1440" w:right="1266" w:bottom="149" w:gutter="0" w:footer="0" w:header="0"/>
        </w:sectPr>
      </w:pPr>
    </w:p>
    <w:bookmarkStart w:id="38" w:name="page39"/>
    <w:bookmarkEnd w:id="38"/>
    <w:p>
      <w:pPr>
        <w:spacing w:after="0" w:line="4" w:lineRule="exact"/>
        <w:rPr>
          <w:sz w:val="20"/>
          <w:szCs w:val="20"/>
          <w:color w:val="auto"/>
        </w:rPr>
      </w:pPr>
    </w:p>
    <w:p>
      <w:pPr>
        <w:jc w:val="both"/>
        <w:ind w:left="1420" w:hanging="712"/>
        <w:spacing w:after="0" w:line="236" w:lineRule="auto"/>
        <w:tabs>
          <w:tab w:leader="none" w:pos="1420" w:val="left"/>
        </w:tabs>
        <w:numPr>
          <w:ilvl w:val="0"/>
          <w:numId w:val="11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acknowledges that the development and maintenance of Traditional Owner knowledge management systems will need to be adequately resourced to meaningfully inform Forest Management and Five-yearly Reviews.</w:t>
      </w:r>
    </w:p>
    <w:p>
      <w:pPr>
        <w:spacing w:after="0" w:line="252" w:lineRule="exact"/>
        <w:rPr>
          <w:sz w:val="20"/>
          <w:szCs w:val="20"/>
          <w:color w:val="auto"/>
        </w:rPr>
      </w:pPr>
    </w:p>
    <w:p>
      <w:pPr>
        <w:jc w:val="both"/>
        <w:ind w:left="720" w:right="20" w:hanging="719"/>
        <w:spacing w:after="0" w:line="272" w:lineRule="auto"/>
        <w:tabs>
          <w:tab w:leader="none" w:pos="700" w:val="left"/>
        </w:tabs>
        <w:rPr>
          <w:sz w:val="20"/>
          <w:szCs w:val="20"/>
          <w:color w:val="auto"/>
        </w:rPr>
      </w:pPr>
      <w:r>
        <w:rPr>
          <w:rFonts w:ascii="Times New Roman" w:cs="Times New Roman" w:eastAsia="Times New Roman" w:hAnsi="Times New Roman"/>
          <w:sz w:val="22"/>
          <w:szCs w:val="22"/>
          <w:color w:val="auto"/>
        </w:rPr>
        <w:t>75D.</w:t>
      </w:r>
      <w:r>
        <w:rPr>
          <w:sz w:val="20"/>
          <w:szCs w:val="20"/>
          <w:color w:val="auto"/>
        </w:rPr>
        <w:tab/>
      </w:r>
      <w:r>
        <w:rPr>
          <w:rFonts w:ascii="Times New Roman" w:cs="Times New Roman" w:eastAsia="Times New Roman" w:hAnsi="Times New Roman"/>
          <w:sz w:val="22"/>
          <w:szCs w:val="22"/>
          <w:color w:val="auto"/>
        </w:rPr>
        <w:t>The Parties recognise the United Nations Declaration on the Rights of Indigenous Peoples, including the right for the Aboriginal people of Victoria to practise and revitalise their cultural traditions and customs. This includes the right to maintain, protect and develop their cultural traditions and customs, and Data Sovereignty.</w:t>
      </w:r>
    </w:p>
    <w:p>
      <w:pPr>
        <w:spacing w:after="0" w:line="25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PLANTATIONS</w:t>
      </w:r>
    </w:p>
    <w:p>
      <w:pPr>
        <w:spacing w:after="0" w:line="248" w:lineRule="exact"/>
        <w:rPr>
          <w:sz w:val="20"/>
          <w:szCs w:val="20"/>
          <w:color w:val="auto"/>
        </w:rPr>
      </w:pPr>
    </w:p>
    <w:p>
      <w:pPr>
        <w:jc w:val="both"/>
        <w:ind w:left="720" w:right="20" w:hanging="720"/>
        <w:spacing w:after="0" w:line="237" w:lineRule="auto"/>
        <w:tabs>
          <w:tab w:leader="none" w:pos="720" w:val="left"/>
        </w:tabs>
        <w:numPr>
          <w:ilvl w:val="0"/>
          <w:numId w:val="11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note that in accordance with the terms of the </w:t>
      </w:r>
      <w:r>
        <w:rPr>
          <w:rFonts w:ascii="Times New Roman" w:cs="Times New Roman" w:eastAsia="Times New Roman" w:hAnsi="Times New Roman"/>
          <w:sz w:val="22"/>
          <w:szCs w:val="22"/>
          <w:i w:val="1"/>
          <w:iCs w:val="1"/>
          <w:color w:val="auto"/>
        </w:rPr>
        <w:t>Export Control Act 1982</w:t>
      </w:r>
      <w:r>
        <w:rPr>
          <w:rFonts w:ascii="Times New Roman" w:cs="Times New Roman" w:eastAsia="Times New Roman" w:hAnsi="Times New Roman"/>
          <w:sz w:val="22"/>
          <w:szCs w:val="22"/>
          <w:color w:val="auto"/>
        </w:rPr>
        <w:t xml:space="preserve"> (Cth) or the regulations made thereunder, controls on the export of Processed and Unprocessed Wood sourced from Victorian Plantations will not apply where a code of practice for Victoria has been approved under regulation 4B of the </w:t>
      </w:r>
      <w:r>
        <w:rPr>
          <w:rFonts w:ascii="Times New Roman" w:cs="Times New Roman" w:eastAsia="Times New Roman" w:hAnsi="Times New Roman"/>
          <w:sz w:val="22"/>
          <w:szCs w:val="22"/>
          <w:i w:val="1"/>
          <w:iCs w:val="1"/>
          <w:color w:val="auto"/>
        </w:rPr>
        <w:t>Export Control (Unprocessed Wood) Regulations</w:t>
      </w:r>
      <w:r>
        <w:rPr>
          <w:rFonts w:ascii="Times New Roman" w:cs="Times New Roman" w:eastAsia="Times New Roman" w:hAnsi="Times New Roman"/>
          <w:sz w:val="22"/>
          <w:szCs w:val="22"/>
          <w:color w:val="auto"/>
        </w:rPr>
        <w:t xml:space="preserve"> (Cth) and that approval remains in effect.</w:t>
      </w:r>
    </w:p>
    <w:p>
      <w:pPr>
        <w:spacing w:after="0" w:line="256" w:lineRule="exact"/>
        <w:rPr>
          <w:sz w:val="20"/>
          <w:szCs w:val="20"/>
          <w:color w:val="auto"/>
        </w:rPr>
      </w:pPr>
    </w:p>
    <w:p>
      <w:pPr>
        <w:jc w:val="both"/>
        <w:ind w:left="720" w:right="20" w:hanging="719"/>
        <w:spacing w:after="0" w:line="238" w:lineRule="auto"/>
        <w:tabs>
          <w:tab w:leader="none" w:pos="700" w:val="left"/>
        </w:tabs>
        <w:rPr>
          <w:sz w:val="20"/>
          <w:szCs w:val="20"/>
          <w:color w:val="auto"/>
        </w:rPr>
      </w:pPr>
      <w:r>
        <w:rPr>
          <w:rFonts w:ascii="Times New Roman" w:cs="Times New Roman" w:eastAsia="Times New Roman" w:hAnsi="Times New Roman"/>
          <w:sz w:val="22"/>
          <w:szCs w:val="22"/>
          <w:color w:val="auto"/>
        </w:rPr>
        <w:t>76A.</w:t>
      </w:r>
      <w:r>
        <w:rPr>
          <w:sz w:val="20"/>
          <w:szCs w:val="20"/>
          <w:color w:val="auto"/>
        </w:rPr>
        <w:tab/>
      </w:r>
      <w:r>
        <w:rPr>
          <w:rFonts w:ascii="Times New Roman" w:cs="Times New Roman" w:eastAsia="Times New Roman" w:hAnsi="Times New Roman"/>
          <w:sz w:val="22"/>
          <w:szCs w:val="22"/>
          <w:color w:val="auto"/>
        </w:rPr>
        <w:t>The Parties recognise that, while this Agreement is in place, Part 3 of the EPBC Act does not apply to Forestry Operations (including in relation to Plantations) within the Central Highlands RFA Region that are undertaken in accordance with the terms of this Agreement, except for Forestry Operations (including in relation to Plantations) that are undertaken in a World Heritage Place or Ramsar Wetland, or incidental to another action whose primary purpose does not relate to forestry.</w:t>
      </w:r>
    </w:p>
    <w:p>
      <w:pPr>
        <w:spacing w:after="0" w:line="252" w:lineRule="exact"/>
        <w:rPr>
          <w:sz w:val="20"/>
          <w:szCs w:val="20"/>
          <w:color w:val="auto"/>
        </w:rPr>
      </w:pPr>
    </w:p>
    <w:p>
      <w:pPr>
        <w:jc w:val="both"/>
        <w:ind w:left="720" w:right="20" w:hanging="719"/>
        <w:spacing w:after="0" w:line="238" w:lineRule="auto"/>
        <w:tabs>
          <w:tab w:leader="none" w:pos="700" w:val="left"/>
        </w:tabs>
        <w:rPr>
          <w:sz w:val="20"/>
          <w:szCs w:val="20"/>
          <w:color w:val="auto"/>
        </w:rPr>
      </w:pPr>
      <w:r>
        <w:rPr>
          <w:rFonts w:ascii="Times New Roman" w:cs="Times New Roman" w:eastAsia="Times New Roman" w:hAnsi="Times New Roman"/>
          <w:sz w:val="22"/>
          <w:szCs w:val="22"/>
          <w:color w:val="auto"/>
        </w:rPr>
        <w:t>76B.</w:t>
      </w:r>
      <w:r>
        <w:rPr>
          <w:sz w:val="20"/>
          <w:szCs w:val="20"/>
          <w:color w:val="auto"/>
        </w:rPr>
        <w:tab/>
      </w:r>
      <w:r>
        <w:rPr>
          <w:rFonts w:ascii="Times New Roman" w:cs="Times New Roman" w:eastAsia="Times New Roman" w:hAnsi="Times New Roman"/>
          <w:sz w:val="22"/>
          <w:szCs w:val="22"/>
          <w:color w:val="auto"/>
        </w:rPr>
        <w:t>Parties agree that an expansion in the extent of hardwood and softwood Plantations on land that was cleared of Native Forest or native vegetation prior to the commencement of this Agreement (other than land on which Native Forest was harvested and regrown), consistent with environmental and heritage objectives, would be desirable and note that a range of new and existing initiatives will encourage investment in Plantations as a source of both sawlogs and pulpwood.</w:t>
      </w:r>
    </w:p>
    <w:p>
      <w:pPr>
        <w:spacing w:after="0" w:line="254" w:lineRule="exact"/>
        <w:rPr>
          <w:sz w:val="20"/>
          <w:szCs w:val="20"/>
          <w:color w:val="auto"/>
        </w:rPr>
      </w:pPr>
    </w:p>
    <w:p>
      <w:pPr>
        <w:jc w:val="both"/>
        <w:ind w:left="720" w:right="20" w:hanging="719"/>
        <w:spacing w:after="0" w:line="237" w:lineRule="auto"/>
        <w:tabs>
          <w:tab w:leader="none" w:pos="700" w:val="left"/>
        </w:tabs>
        <w:rPr>
          <w:sz w:val="20"/>
          <w:szCs w:val="20"/>
          <w:color w:val="auto"/>
        </w:rPr>
      </w:pPr>
      <w:r>
        <w:rPr>
          <w:rFonts w:ascii="Times New Roman" w:cs="Times New Roman" w:eastAsia="Times New Roman" w:hAnsi="Times New Roman"/>
          <w:sz w:val="22"/>
          <w:szCs w:val="22"/>
          <w:color w:val="auto"/>
        </w:rPr>
        <w:t>76C.</w:t>
      </w:r>
      <w:r>
        <w:rPr>
          <w:sz w:val="20"/>
          <w:szCs w:val="20"/>
          <w:color w:val="auto"/>
        </w:rPr>
        <w:tab/>
      </w:r>
      <w:r>
        <w:rPr>
          <w:rFonts w:ascii="Times New Roman" w:cs="Times New Roman" w:eastAsia="Times New Roman" w:hAnsi="Times New Roman"/>
          <w:sz w:val="22"/>
          <w:szCs w:val="22"/>
          <w:color w:val="auto"/>
        </w:rPr>
        <w:t>The Parties recognise the important contribution of Plantations to the sustainable future of Victoria’s Timber and Forestry Products Industries and the generation of jobs and economic benefits for Victorian communities. Victoria acknowledges that the expansion of the Plantation estate will assist in supporting the Timber and Forestry Products Industries to transition out of harvesting of State Forest by 30 June 2030.</w:t>
      </w:r>
    </w:p>
    <w:p>
      <w:pPr>
        <w:spacing w:after="0" w:line="254" w:lineRule="exact"/>
        <w:rPr>
          <w:sz w:val="20"/>
          <w:szCs w:val="20"/>
          <w:color w:val="auto"/>
        </w:rPr>
      </w:pPr>
    </w:p>
    <w:p>
      <w:pPr>
        <w:jc w:val="both"/>
        <w:ind w:left="720" w:right="20" w:hanging="719"/>
        <w:spacing w:after="0" w:line="266" w:lineRule="auto"/>
        <w:tabs>
          <w:tab w:leader="none" w:pos="700" w:val="left"/>
        </w:tabs>
        <w:rPr>
          <w:sz w:val="20"/>
          <w:szCs w:val="20"/>
          <w:color w:val="auto"/>
        </w:rPr>
      </w:pPr>
      <w:r>
        <w:rPr>
          <w:rFonts w:ascii="Times New Roman" w:cs="Times New Roman" w:eastAsia="Times New Roman" w:hAnsi="Times New Roman"/>
          <w:sz w:val="22"/>
          <w:szCs w:val="22"/>
          <w:color w:val="auto"/>
        </w:rPr>
        <w:t>76D.</w:t>
      </w:r>
      <w:r>
        <w:rPr>
          <w:sz w:val="20"/>
          <w:szCs w:val="20"/>
          <w:color w:val="auto"/>
        </w:rPr>
        <w:tab/>
      </w:r>
      <w:r>
        <w:rPr>
          <w:rFonts w:ascii="Times New Roman" w:cs="Times New Roman" w:eastAsia="Times New Roman" w:hAnsi="Times New Roman"/>
          <w:sz w:val="22"/>
          <w:szCs w:val="22"/>
          <w:color w:val="auto"/>
        </w:rPr>
        <w:t>The Parties will use their best endeavours to reduce red tape associated with Plantation establishment.</w:t>
      </w:r>
    </w:p>
    <w:p>
      <w:pPr>
        <w:spacing w:after="0" w:line="262" w:lineRule="exact"/>
        <w:rPr>
          <w:sz w:val="20"/>
          <w:szCs w:val="20"/>
          <w:color w:val="auto"/>
        </w:rPr>
      </w:pPr>
    </w:p>
    <w:p>
      <w:pPr>
        <w:jc w:val="both"/>
        <w:ind w:left="720" w:right="2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76E.</w:t>
      </w:r>
      <w:r>
        <w:rPr>
          <w:sz w:val="20"/>
          <w:szCs w:val="20"/>
          <w:color w:val="auto"/>
        </w:rPr>
        <w:tab/>
      </w:r>
      <w:r>
        <w:rPr>
          <w:rFonts w:ascii="Times New Roman" w:cs="Times New Roman" w:eastAsia="Times New Roman" w:hAnsi="Times New Roman"/>
          <w:sz w:val="22"/>
          <w:szCs w:val="22"/>
          <w:color w:val="auto"/>
        </w:rPr>
        <w:t>Victoria commits to supporting local governments to resolve regulatory issues associated with Plantation establishment.</w:t>
      </w:r>
    </w:p>
    <w:p>
      <w:pPr>
        <w:spacing w:after="0" w:line="253" w:lineRule="exact"/>
        <w:rPr>
          <w:sz w:val="20"/>
          <w:szCs w:val="20"/>
          <w:color w:val="auto"/>
        </w:rPr>
      </w:pPr>
    </w:p>
    <w:p>
      <w:pPr>
        <w:jc w:val="both"/>
        <w:ind w:left="720" w:right="4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76F.</w:t>
      </w:r>
      <w:r>
        <w:rPr>
          <w:sz w:val="20"/>
          <w:szCs w:val="20"/>
          <w:color w:val="auto"/>
        </w:rPr>
        <w:tab/>
      </w:r>
      <w:r>
        <w:rPr>
          <w:rFonts w:ascii="Times New Roman" w:cs="Times New Roman" w:eastAsia="Times New Roman" w:hAnsi="Times New Roman"/>
          <w:sz w:val="22"/>
          <w:szCs w:val="22"/>
          <w:color w:val="auto"/>
        </w:rPr>
        <w:t>The Commonwealth agrees to work with Victoria to identify and pursue options for improving the regulatory environment for Plantations in Victoria.</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OTHER FOREST USES</w:t>
      </w:r>
    </w:p>
    <w:p>
      <w:pPr>
        <w:spacing w:after="0" w:line="246" w:lineRule="exact"/>
        <w:rPr>
          <w:sz w:val="20"/>
          <w:szCs w:val="20"/>
          <w:color w:val="auto"/>
        </w:rPr>
      </w:pPr>
    </w:p>
    <w:p>
      <w:pPr>
        <w:jc w:val="both"/>
        <w:ind w:left="720" w:right="20" w:hanging="720"/>
        <w:spacing w:after="0" w:line="237" w:lineRule="auto"/>
        <w:tabs>
          <w:tab w:leader="none" w:pos="720" w:val="left"/>
        </w:tabs>
        <w:numPr>
          <w:ilvl w:val="0"/>
          <w:numId w:val="11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that other Forest uses will be determined in accordance with Victorian legislation with due regard for protection of Environment and Heritage Values, Listed Species and Communities and Ecosystem Services. In some limited circumstances that do not relate to the substance of this Agreement Commonwealth legislative provisions may also apply.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39</w:t>
      </w:r>
    </w:p>
    <w:p>
      <w:pPr>
        <w:sectPr>
          <w:pgSz w:w="11900" w:h="16838" w:orient="portrait"/>
          <w:cols w:equalWidth="0" w:num="1">
            <w:col w:w="9220"/>
          </w:cols>
          <w:pgMar w:left="1440" w:top="1440" w:right="1246" w:bottom="149" w:gutter="0" w:footer="0" w:header="0"/>
        </w:sectPr>
      </w:pPr>
    </w:p>
    <w:bookmarkStart w:id="39" w:name="page40"/>
    <w:bookmarkEnd w:id="39"/>
    <w:p>
      <w:pPr>
        <w:spacing w:after="0" w:line="4" w:lineRule="exact"/>
        <w:rPr>
          <w:sz w:val="20"/>
          <w:szCs w:val="20"/>
          <w:color w:val="auto"/>
        </w:rPr>
      </w:pPr>
    </w:p>
    <w:p>
      <w:pPr>
        <w:ind w:left="12"/>
        <w:spacing w:after="0"/>
        <w:tabs>
          <w:tab w:leader="none" w:pos="711" w:val="left"/>
        </w:tabs>
        <w:rPr>
          <w:sz w:val="20"/>
          <w:szCs w:val="20"/>
          <w:color w:val="auto"/>
        </w:rPr>
      </w:pPr>
      <w:r>
        <w:rPr>
          <w:rFonts w:ascii="Times New Roman" w:cs="Times New Roman" w:eastAsia="Times New Roman" w:hAnsi="Times New Roman"/>
          <w:sz w:val="21"/>
          <w:szCs w:val="21"/>
          <w:color w:val="auto"/>
        </w:rPr>
        <w:t>77A.</w:t>
      </w:r>
      <w:r>
        <w:rPr>
          <w:sz w:val="20"/>
          <w:szCs w:val="20"/>
          <w:color w:val="auto"/>
        </w:rPr>
        <w:tab/>
      </w:r>
      <w:r>
        <w:rPr>
          <w:rFonts w:ascii="Times New Roman" w:cs="Times New Roman" w:eastAsia="Times New Roman" w:hAnsi="Times New Roman"/>
          <w:sz w:val="21"/>
          <w:szCs w:val="21"/>
          <w:color w:val="auto"/>
        </w:rPr>
        <w:t>The Parties recognise the wide range of values and uses afforded to Victorian communities from</w:t>
      </w:r>
    </w:p>
    <w:p>
      <w:pPr>
        <w:ind w:left="732"/>
        <w:spacing w:after="0"/>
        <w:rPr>
          <w:sz w:val="20"/>
          <w:szCs w:val="20"/>
          <w:color w:val="auto"/>
        </w:rPr>
      </w:pPr>
      <w:r>
        <w:rPr>
          <w:rFonts w:ascii="Times New Roman" w:cs="Times New Roman" w:eastAsia="Times New Roman" w:hAnsi="Times New Roman"/>
          <w:sz w:val="22"/>
          <w:szCs w:val="22"/>
          <w:color w:val="auto"/>
        </w:rPr>
        <w:t>Forests and acknowledge:</w:t>
      </w:r>
    </w:p>
    <w:p>
      <w:pPr>
        <w:spacing w:after="0" w:line="252" w:lineRule="exact"/>
        <w:rPr>
          <w:sz w:val="20"/>
          <w:szCs w:val="20"/>
          <w:color w:val="auto"/>
        </w:rPr>
      </w:pPr>
    </w:p>
    <w:p>
      <w:pPr>
        <w:ind w:left="1432" w:hanging="712"/>
        <w:spacing w:after="0" w:line="234" w:lineRule="auto"/>
        <w:tabs>
          <w:tab w:leader="none" w:pos="1432" w:val="left"/>
        </w:tabs>
        <w:numPr>
          <w:ilvl w:val="0"/>
          <w:numId w:val="1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that Victorians and visitors to Victoria access Forests in order to benefit from a wide range of cultural, recreation and leisure uses; and</w:t>
      </w:r>
    </w:p>
    <w:p>
      <w:pPr>
        <w:spacing w:after="0" w:line="253" w:lineRule="exact"/>
        <w:rPr>
          <w:rFonts w:ascii="Times New Roman" w:cs="Times New Roman" w:eastAsia="Times New Roman" w:hAnsi="Times New Roman"/>
          <w:sz w:val="22"/>
          <w:szCs w:val="22"/>
          <w:color w:val="auto"/>
        </w:rPr>
      </w:pPr>
    </w:p>
    <w:p>
      <w:pPr>
        <w:ind w:left="1432" w:hanging="712"/>
        <w:spacing w:after="0" w:line="234" w:lineRule="auto"/>
        <w:tabs>
          <w:tab w:leader="none" w:pos="1432" w:val="left"/>
        </w:tabs>
        <w:numPr>
          <w:ilvl w:val="0"/>
          <w:numId w:val="11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health benefits, including physical and mental well-being, that people gain by accessing Forests.</w:t>
      </w:r>
    </w:p>
    <w:p>
      <w:pPr>
        <w:spacing w:after="0" w:line="251" w:lineRule="exact"/>
        <w:rPr>
          <w:sz w:val="20"/>
          <w:szCs w:val="20"/>
          <w:color w:val="auto"/>
        </w:rPr>
      </w:pPr>
    </w:p>
    <w:p>
      <w:pPr>
        <w:jc w:val="both"/>
        <w:ind w:left="732" w:hanging="719"/>
        <w:spacing w:after="0" w:line="236" w:lineRule="auto"/>
        <w:tabs>
          <w:tab w:leader="none" w:pos="711" w:val="left"/>
        </w:tabs>
        <w:rPr>
          <w:sz w:val="20"/>
          <w:szCs w:val="20"/>
          <w:color w:val="auto"/>
        </w:rPr>
      </w:pPr>
      <w:r>
        <w:rPr>
          <w:rFonts w:ascii="Times New Roman" w:cs="Times New Roman" w:eastAsia="Times New Roman" w:hAnsi="Times New Roman"/>
          <w:sz w:val="22"/>
          <w:szCs w:val="22"/>
          <w:color w:val="auto"/>
        </w:rPr>
        <w:t>77B.</w:t>
      </w:r>
      <w:r>
        <w:rPr>
          <w:sz w:val="20"/>
          <w:szCs w:val="20"/>
          <w:color w:val="auto"/>
        </w:rPr>
        <w:tab/>
      </w:r>
      <w:r>
        <w:rPr>
          <w:rFonts w:ascii="Times New Roman" w:cs="Times New Roman" w:eastAsia="Times New Roman" w:hAnsi="Times New Roman"/>
          <w:sz w:val="22"/>
          <w:szCs w:val="22"/>
          <w:color w:val="auto"/>
        </w:rPr>
        <w:t>The Parties recognise the importance of Forest-based recreational activities to Victorians and Victorian communities. Victoria is committed to ongoing community consultation to identify opportunities to enhance the recreational experiences Victorians have in their Forests.</w:t>
      </w:r>
    </w:p>
    <w:p>
      <w:pPr>
        <w:spacing w:after="0" w:line="255" w:lineRule="exact"/>
        <w:rPr>
          <w:sz w:val="20"/>
          <w:szCs w:val="20"/>
          <w:color w:val="auto"/>
        </w:rPr>
      </w:pPr>
    </w:p>
    <w:p>
      <w:pPr>
        <w:jc w:val="both"/>
        <w:ind w:left="732" w:hanging="719"/>
        <w:spacing w:after="0" w:line="234" w:lineRule="auto"/>
        <w:tabs>
          <w:tab w:leader="none" w:pos="711" w:val="left"/>
        </w:tabs>
        <w:rPr>
          <w:sz w:val="20"/>
          <w:szCs w:val="20"/>
          <w:color w:val="auto"/>
        </w:rPr>
      </w:pPr>
      <w:r>
        <w:rPr>
          <w:rFonts w:ascii="Times New Roman" w:cs="Times New Roman" w:eastAsia="Times New Roman" w:hAnsi="Times New Roman"/>
          <w:sz w:val="22"/>
          <w:szCs w:val="22"/>
          <w:color w:val="auto"/>
        </w:rPr>
        <w:t>77C.</w:t>
      </w:r>
      <w:r>
        <w:rPr>
          <w:sz w:val="20"/>
          <w:szCs w:val="20"/>
          <w:color w:val="auto"/>
        </w:rPr>
        <w:tab/>
      </w:r>
      <w:r>
        <w:rPr>
          <w:rFonts w:ascii="Times New Roman" w:cs="Times New Roman" w:eastAsia="Times New Roman" w:hAnsi="Times New Roman"/>
          <w:sz w:val="22"/>
          <w:szCs w:val="22"/>
          <w:color w:val="auto"/>
        </w:rPr>
        <w:t>The Parties recognise that the Central Highlands region is an important source of water, particularly for Melbourne.</w:t>
      </w:r>
    </w:p>
    <w:p>
      <w:pPr>
        <w:spacing w:after="0" w:line="251" w:lineRule="exact"/>
        <w:rPr>
          <w:sz w:val="20"/>
          <w:szCs w:val="20"/>
          <w:color w:val="auto"/>
        </w:rPr>
      </w:pPr>
    </w:p>
    <w:p>
      <w:pPr>
        <w:jc w:val="both"/>
        <w:ind w:left="732" w:hanging="719"/>
        <w:spacing w:after="0" w:line="235" w:lineRule="auto"/>
        <w:tabs>
          <w:tab w:leader="none" w:pos="711" w:val="left"/>
        </w:tabs>
        <w:rPr>
          <w:sz w:val="20"/>
          <w:szCs w:val="20"/>
          <w:color w:val="auto"/>
        </w:rPr>
      </w:pPr>
      <w:r>
        <w:rPr>
          <w:rFonts w:ascii="Times New Roman" w:cs="Times New Roman" w:eastAsia="Times New Roman" w:hAnsi="Times New Roman"/>
          <w:sz w:val="22"/>
          <w:szCs w:val="22"/>
          <w:color w:val="auto"/>
        </w:rPr>
        <w:t>77D.</w:t>
      </w:r>
      <w:r>
        <w:rPr>
          <w:sz w:val="20"/>
          <w:szCs w:val="20"/>
          <w:color w:val="auto"/>
        </w:rPr>
        <w:tab/>
      </w:r>
      <w:r>
        <w:rPr>
          <w:rFonts w:ascii="Times New Roman" w:cs="Times New Roman" w:eastAsia="Times New Roman" w:hAnsi="Times New Roman"/>
          <w:sz w:val="22"/>
          <w:szCs w:val="22"/>
          <w:color w:val="auto"/>
        </w:rPr>
        <w:t>Victoria commits to, at a minimum, include specific references to the following when reviewing its Forest Management Plans (or future equivalents):</w:t>
      </w:r>
    </w:p>
    <w:p>
      <w:pPr>
        <w:spacing w:after="0" w:line="251" w:lineRule="exact"/>
        <w:rPr>
          <w:sz w:val="20"/>
          <w:szCs w:val="20"/>
          <w:color w:val="auto"/>
        </w:rPr>
      </w:pPr>
    </w:p>
    <w:p>
      <w:pPr>
        <w:ind w:left="1432" w:hanging="712"/>
        <w:spacing w:after="0" w:line="235" w:lineRule="auto"/>
        <w:tabs>
          <w:tab w:leader="none" w:pos="1432" w:val="left"/>
        </w:tabs>
        <w:numPr>
          <w:ilvl w:val="0"/>
          <w:numId w:val="1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impact of Forest Management on water supply and any associated actions for supply and catchment management;</w:t>
      </w:r>
    </w:p>
    <w:p>
      <w:pPr>
        <w:spacing w:after="0" w:line="250" w:lineRule="exact"/>
        <w:rPr>
          <w:rFonts w:ascii="Times New Roman" w:cs="Times New Roman" w:eastAsia="Times New Roman" w:hAnsi="Times New Roman"/>
          <w:sz w:val="22"/>
          <w:szCs w:val="22"/>
          <w:color w:val="auto"/>
        </w:rPr>
      </w:pPr>
    </w:p>
    <w:p>
      <w:pPr>
        <w:ind w:left="1432" w:right="20" w:hanging="712"/>
        <w:spacing w:after="0" w:line="235" w:lineRule="auto"/>
        <w:tabs>
          <w:tab w:leader="none" w:pos="1432" w:val="left"/>
        </w:tabs>
        <w:numPr>
          <w:ilvl w:val="0"/>
          <w:numId w:val="1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need for the active management of Forests within the region in order to support a range of Forest values and uses, including Forest Industries; and</w:t>
      </w:r>
    </w:p>
    <w:p>
      <w:pPr>
        <w:spacing w:after="0" w:line="239" w:lineRule="exact"/>
        <w:rPr>
          <w:rFonts w:ascii="Times New Roman" w:cs="Times New Roman" w:eastAsia="Times New Roman" w:hAnsi="Times New Roman"/>
          <w:sz w:val="22"/>
          <w:szCs w:val="22"/>
          <w:color w:val="auto"/>
        </w:rPr>
      </w:pPr>
    </w:p>
    <w:p>
      <w:pPr>
        <w:ind w:left="1432" w:hanging="712"/>
        <w:spacing w:after="0"/>
        <w:tabs>
          <w:tab w:leader="none" w:pos="1432" w:val="left"/>
        </w:tabs>
        <w:numPr>
          <w:ilvl w:val="0"/>
          <w:numId w:val="11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impacts of Climate Change.</w:t>
      </w:r>
    </w:p>
    <w:p>
      <w:pPr>
        <w:spacing w:after="0" w:line="244" w:lineRule="exact"/>
        <w:rPr>
          <w:sz w:val="20"/>
          <w:szCs w:val="20"/>
          <w:color w:val="auto"/>
        </w:rPr>
      </w:pPr>
    </w:p>
    <w:p>
      <w:pPr>
        <w:ind w:left="12"/>
        <w:spacing w:after="0"/>
        <w:rPr>
          <w:sz w:val="20"/>
          <w:szCs w:val="20"/>
          <w:color w:val="auto"/>
        </w:rPr>
      </w:pPr>
      <w:r>
        <w:rPr>
          <w:rFonts w:ascii="Times New Roman" w:cs="Times New Roman" w:eastAsia="Times New Roman" w:hAnsi="Times New Roman"/>
          <w:sz w:val="22"/>
          <w:szCs w:val="22"/>
          <w:b w:val="1"/>
          <w:bCs w:val="1"/>
          <w:i w:val="1"/>
          <w:iCs w:val="1"/>
          <w:color w:val="auto"/>
        </w:rPr>
        <w:t>Ecosystem Services</w:t>
      </w:r>
    </w:p>
    <w:p>
      <w:pPr>
        <w:spacing w:after="0" w:line="248" w:lineRule="exact"/>
        <w:rPr>
          <w:sz w:val="20"/>
          <w:szCs w:val="20"/>
          <w:color w:val="auto"/>
        </w:rPr>
      </w:pPr>
    </w:p>
    <w:p>
      <w:pPr>
        <w:ind w:left="732" w:right="20" w:hanging="719"/>
        <w:spacing w:after="0" w:line="234" w:lineRule="auto"/>
        <w:tabs>
          <w:tab w:leader="none" w:pos="711" w:val="left"/>
        </w:tabs>
        <w:rPr>
          <w:sz w:val="20"/>
          <w:szCs w:val="20"/>
          <w:color w:val="auto"/>
        </w:rPr>
      </w:pPr>
      <w:r>
        <w:rPr>
          <w:rFonts w:ascii="Times New Roman" w:cs="Times New Roman" w:eastAsia="Times New Roman" w:hAnsi="Times New Roman"/>
          <w:sz w:val="22"/>
          <w:szCs w:val="22"/>
          <w:color w:val="auto"/>
        </w:rPr>
        <w:t>77E.</w:t>
      </w:r>
      <w:r>
        <w:rPr>
          <w:sz w:val="20"/>
          <w:szCs w:val="20"/>
          <w:color w:val="auto"/>
        </w:rPr>
        <w:tab/>
      </w:r>
      <w:r>
        <w:rPr>
          <w:rFonts w:ascii="Times New Roman" w:cs="Times New Roman" w:eastAsia="Times New Roman" w:hAnsi="Times New Roman"/>
          <w:sz w:val="22"/>
          <w:szCs w:val="22"/>
          <w:color w:val="auto"/>
        </w:rPr>
        <w:t>The Parties acknowledge the range of Ecosystem Services provided by healthy Native Forests and the benefits (both market and non-market) they provide to people and communities.</w:t>
      </w:r>
    </w:p>
    <w:p>
      <w:pPr>
        <w:spacing w:after="0" w:line="253" w:lineRule="exact"/>
        <w:rPr>
          <w:sz w:val="20"/>
          <w:szCs w:val="20"/>
          <w:color w:val="auto"/>
        </w:rPr>
      </w:pPr>
    </w:p>
    <w:p>
      <w:pPr>
        <w:jc w:val="both"/>
        <w:ind w:left="732" w:hanging="719"/>
        <w:spacing w:after="0" w:line="235" w:lineRule="auto"/>
        <w:tabs>
          <w:tab w:leader="none" w:pos="711" w:val="left"/>
        </w:tabs>
        <w:rPr>
          <w:sz w:val="20"/>
          <w:szCs w:val="20"/>
          <w:color w:val="auto"/>
        </w:rPr>
      </w:pPr>
      <w:r>
        <w:rPr>
          <w:rFonts w:ascii="Times New Roman" w:cs="Times New Roman" w:eastAsia="Times New Roman" w:hAnsi="Times New Roman"/>
          <w:sz w:val="22"/>
          <w:szCs w:val="22"/>
          <w:color w:val="auto"/>
        </w:rPr>
        <w:t>77F.</w:t>
      </w:r>
      <w:r>
        <w:rPr>
          <w:sz w:val="20"/>
          <w:szCs w:val="20"/>
          <w:color w:val="auto"/>
        </w:rPr>
        <w:tab/>
      </w:r>
      <w:r>
        <w:rPr>
          <w:rFonts w:ascii="Times New Roman" w:cs="Times New Roman" w:eastAsia="Times New Roman" w:hAnsi="Times New Roman"/>
          <w:sz w:val="22"/>
          <w:szCs w:val="22"/>
          <w:color w:val="auto"/>
        </w:rPr>
        <w:t>The Parties also acknowledge the need to consider Ecosystem Services, including (but not limited to) carbon sequestration, water supply and pollination services, in actively managing Victoria’s Forests to deliver the greatest benefits to Victorian communities.</w:t>
      </w:r>
    </w:p>
    <w:p>
      <w:pPr>
        <w:spacing w:after="0" w:line="255" w:lineRule="exact"/>
        <w:rPr>
          <w:sz w:val="20"/>
          <w:szCs w:val="20"/>
          <w:color w:val="auto"/>
        </w:rPr>
      </w:pPr>
    </w:p>
    <w:p>
      <w:pPr>
        <w:jc w:val="both"/>
        <w:ind w:left="732" w:hanging="719"/>
        <w:spacing w:after="0" w:line="237" w:lineRule="auto"/>
        <w:tabs>
          <w:tab w:leader="none" w:pos="711" w:val="left"/>
        </w:tabs>
        <w:rPr>
          <w:sz w:val="20"/>
          <w:szCs w:val="20"/>
          <w:color w:val="auto"/>
        </w:rPr>
      </w:pPr>
      <w:r>
        <w:rPr>
          <w:rFonts w:ascii="Times New Roman" w:cs="Times New Roman" w:eastAsia="Times New Roman" w:hAnsi="Times New Roman"/>
          <w:sz w:val="22"/>
          <w:szCs w:val="22"/>
          <w:color w:val="auto"/>
        </w:rPr>
        <w:t>77G.</w:t>
      </w:r>
      <w:r>
        <w:rPr>
          <w:sz w:val="20"/>
          <w:szCs w:val="20"/>
          <w:color w:val="auto"/>
        </w:rPr>
        <w:tab/>
      </w:r>
      <w:r>
        <w:rPr>
          <w:rFonts w:ascii="Times New Roman" w:cs="Times New Roman" w:eastAsia="Times New Roman" w:hAnsi="Times New Roman"/>
          <w:sz w:val="22"/>
          <w:szCs w:val="22"/>
          <w:color w:val="auto"/>
        </w:rPr>
        <w:t xml:space="preserve">The Parties agree to contribute towards implementing the </w:t>
      </w:r>
      <w:r>
        <w:rPr>
          <w:rFonts w:ascii="Times New Roman" w:cs="Times New Roman" w:eastAsia="Times New Roman" w:hAnsi="Times New Roman"/>
          <w:sz w:val="22"/>
          <w:szCs w:val="22"/>
          <w:i w:val="1"/>
          <w:iCs w:val="1"/>
          <w:color w:val="auto"/>
        </w:rPr>
        <w:t>Environmental Economic Accounting:</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A common national approach – Strategy and Action Plan</w:t>
      </w:r>
      <w:r>
        <w:rPr>
          <w:rFonts w:ascii="Times New Roman" w:cs="Times New Roman" w:eastAsia="Times New Roman" w:hAnsi="Times New Roman"/>
          <w:sz w:val="22"/>
          <w:szCs w:val="22"/>
          <w:color w:val="auto"/>
        </w:rPr>
        <w:t>, including the valuation of Ecosystem</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Services, which aims to foster consistent application of the System of Environmental-Economic Accounting Framework.</w:t>
      </w:r>
    </w:p>
    <w:p>
      <w:pPr>
        <w:spacing w:after="0" w:line="245" w:lineRule="exact"/>
        <w:rPr>
          <w:sz w:val="20"/>
          <w:szCs w:val="20"/>
          <w:color w:val="auto"/>
        </w:rPr>
      </w:pPr>
    </w:p>
    <w:p>
      <w:pPr>
        <w:ind w:left="12"/>
        <w:spacing w:after="0"/>
        <w:rPr>
          <w:sz w:val="20"/>
          <w:szCs w:val="20"/>
          <w:color w:val="auto"/>
        </w:rPr>
      </w:pPr>
      <w:r>
        <w:rPr>
          <w:rFonts w:ascii="Times New Roman" w:cs="Times New Roman" w:eastAsia="Times New Roman" w:hAnsi="Times New Roman"/>
          <w:sz w:val="22"/>
          <w:szCs w:val="22"/>
          <w:b w:val="1"/>
          <w:bCs w:val="1"/>
          <w:i w:val="1"/>
          <w:iCs w:val="1"/>
          <w:color w:val="auto"/>
        </w:rPr>
        <w:t>Mining Operations</w:t>
      </w:r>
    </w:p>
    <w:p>
      <w:pPr>
        <w:spacing w:after="0" w:line="248" w:lineRule="exact"/>
        <w:rPr>
          <w:sz w:val="20"/>
          <w:szCs w:val="20"/>
          <w:color w:val="auto"/>
        </w:rPr>
      </w:pPr>
    </w:p>
    <w:p>
      <w:pPr>
        <w:jc w:val="both"/>
        <w:ind w:left="712" w:hanging="712"/>
        <w:spacing w:after="0" w:line="238" w:lineRule="auto"/>
        <w:tabs>
          <w:tab w:leader="none" w:pos="712" w:val="left"/>
        </w:tabs>
        <w:numPr>
          <w:ilvl w:val="0"/>
          <w:numId w:val="11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recognise that any licence or other authority to undertake Mining Operations can only be granted in accordance with the provisions of the </w:t>
      </w:r>
      <w:r>
        <w:rPr>
          <w:rFonts w:ascii="Times New Roman" w:cs="Times New Roman" w:eastAsia="Times New Roman" w:hAnsi="Times New Roman"/>
          <w:sz w:val="22"/>
          <w:szCs w:val="22"/>
          <w:i w:val="1"/>
          <w:iCs w:val="1"/>
          <w:color w:val="auto"/>
        </w:rPr>
        <w:t>Mineral Resources (Sustainable</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Development) Act 1990 </w:t>
      </w:r>
      <w:r>
        <w:rPr>
          <w:rFonts w:ascii="Times New Roman" w:cs="Times New Roman" w:eastAsia="Times New Roman" w:hAnsi="Times New Roman"/>
          <w:sz w:val="22"/>
          <w:szCs w:val="22"/>
          <w:color w:val="auto"/>
        </w:rPr>
        <w:t>(Vic) which, amongst other things, regulates the grant of licences and</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authorities within components of the CAR Reserve System. The Act provides that (subject to any relevant exemptions) no new licence or authority can be issued in respect of land that is within National Parks, Wilderness Parks, State Parks or Reference Areas.</w:t>
      </w:r>
    </w:p>
    <w:p>
      <w:pPr>
        <w:spacing w:after="0" w:line="251" w:lineRule="exact"/>
        <w:rPr>
          <w:rFonts w:ascii="Times New Roman" w:cs="Times New Roman" w:eastAsia="Times New Roman" w:hAnsi="Times New Roman"/>
          <w:sz w:val="22"/>
          <w:szCs w:val="22"/>
          <w:color w:val="auto"/>
        </w:rPr>
      </w:pPr>
    </w:p>
    <w:p>
      <w:pPr>
        <w:ind w:left="712" w:right="240" w:hanging="700"/>
        <w:spacing w:after="0" w:line="251" w:lineRule="auto"/>
        <w:tabs>
          <w:tab w:leader="none" w:pos="712" w:val="left"/>
        </w:tabs>
        <w:numPr>
          <w:ilvl w:val="1"/>
          <w:numId w:val="115"/>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Subject to clause 78, the Parties recognise that, to the extent permitted under Victorian and Commonwealth legislation, and subject to any required assessment of environmental impacts, exploration and Mining Operations may be permitted in parts of the CAR Reserve System where the identified conservation values are not incompatible with Mining Operations.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ind w:left="9032"/>
        <w:spacing w:after="0"/>
        <w:rPr>
          <w:sz w:val="20"/>
          <w:szCs w:val="20"/>
          <w:color w:val="auto"/>
        </w:rPr>
      </w:pPr>
      <w:r>
        <w:rPr>
          <w:rFonts w:ascii="Times New Roman" w:cs="Times New Roman" w:eastAsia="Times New Roman" w:hAnsi="Times New Roman"/>
          <w:sz w:val="18"/>
          <w:szCs w:val="18"/>
          <w:color w:val="auto"/>
        </w:rPr>
        <w:t>40</w:t>
      </w:r>
    </w:p>
    <w:p>
      <w:pPr>
        <w:sectPr>
          <w:pgSz w:w="11900" w:h="16838" w:orient="portrait"/>
          <w:cols w:equalWidth="0" w:num="1">
            <w:col w:w="9212"/>
          </w:cols>
          <w:pgMar w:left="1428" w:top="1440" w:right="1266" w:bottom="149" w:gutter="0" w:footer="0" w:header="0"/>
        </w:sectPr>
      </w:pPr>
    </w:p>
    <w:bookmarkStart w:id="40" w:name="page41"/>
    <w:bookmarkEnd w:id="40"/>
    <w:p>
      <w:pPr>
        <w:spacing w:after="0" w:line="4" w:lineRule="exact"/>
        <w:rPr>
          <w:sz w:val="20"/>
          <w:szCs w:val="20"/>
          <w:color w:val="auto"/>
        </w:rPr>
      </w:pPr>
    </w:p>
    <w:p>
      <w:pPr>
        <w:jc w:val="both"/>
        <w:ind w:left="712" w:hanging="699"/>
        <w:spacing w:after="0" w:line="238" w:lineRule="auto"/>
        <w:tabs>
          <w:tab w:leader="none" w:pos="691" w:val="left"/>
        </w:tabs>
        <w:rPr>
          <w:sz w:val="20"/>
          <w:szCs w:val="20"/>
          <w:color w:val="auto"/>
        </w:rPr>
      </w:pPr>
      <w:r>
        <w:rPr>
          <w:rFonts w:ascii="Times New Roman" w:cs="Times New Roman" w:eastAsia="Times New Roman" w:hAnsi="Times New Roman"/>
          <w:sz w:val="22"/>
          <w:szCs w:val="22"/>
          <w:color w:val="auto"/>
        </w:rPr>
        <w:t>79A.</w:t>
        <w:tab/>
        <w:t xml:space="preserve">The Parties note that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 provides for principles of sustainable development (being those specified in section 2A of the Act) to which regard should be given in the administration of the Act. These principles include the protection of biological diversity and the maintenance of ecological integrity. Victoria will ensure that these principles are considered when assessing proposals to undertake Mining Operations in the CAR Reserve System.</w:t>
      </w:r>
    </w:p>
    <w:p>
      <w:pPr>
        <w:spacing w:after="0" w:line="252" w:lineRule="exact"/>
        <w:rPr>
          <w:sz w:val="20"/>
          <w:szCs w:val="20"/>
          <w:color w:val="auto"/>
        </w:rPr>
      </w:pPr>
    </w:p>
    <w:p>
      <w:pPr>
        <w:jc w:val="both"/>
        <w:ind w:left="712" w:hanging="712"/>
        <w:spacing w:after="0" w:line="236" w:lineRule="auto"/>
        <w:tabs>
          <w:tab w:leader="none" w:pos="712" w:val="left"/>
        </w:tabs>
        <w:numPr>
          <w:ilvl w:val="0"/>
          <w:numId w:val="1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Rehabilitation of any land that is the subject of a licence or extractive industry work authority granted under the </w:t>
      </w:r>
      <w:r>
        <w:rPr>
          <w:rFonts w:ascii="Times New Roman" w:cs="Times New Roman" w:eastAsia="Times New Roman" w:hAnsi="Times New Roman"/>
          <w:sz w:val="22"/>
          <w:szCs w:val="22"/>
          <w:i w:val="1"/>
          <w:iCs w:val="1"/>
          <w:color w:val="auto"/>
        </w:rPr>
        <w:t>Mineral Resources (Sustainable Development) Act 1990</w:t>
      </w:r>
      <w:r>
        <w:rPr>
          <w:rFonts w:ascii="Times New Roman" w:cs="Times New Roman" w:eastAsia="Times New Roman" w:hAnsi="Times New Roman"/>
          <w:sz w:val="22"/>
          <w:szCs w:val="22"/>
          <w:color w:val="auto"/>
        </w:rPr>
        <w:t xml:space="preserve"> (Vic) will be carried out in accordance with the provisions of that Act.</w:t>
      </w:r>
    </w:p>
    <w:p>
      <w:pPr>
        <w:spacing w:after="0" w:line="242" w:lineRule="exact"/>
        <w:rPr>
          <w:rFonts w:ascii="Times New Roman" w:cs="Times New Roman" w:eastAsia="Times New Roman" w:hAnsi="Times New Roman"/>
          <w:sz w:val="22"/>
          <w:szCs w:val="22"/>
          <w:color w:val="auto"/>
        </w:rPr>
      </w:pPr>
    </w:p>
    <w:p>
      <w:pPr>
        <w:ind w:left="712" w:hanging="700"/>
        <w:spacing w:after="0"/>
        <w:tabs>
          <w:tab w:leader="none" w:pos="712" w:val="left"/>
        </w:tabs>
        <w:numPr>
          <w:ilvl w:val="1"/>
          <w:numId w:val="11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4" w:lineRule="exact"/>
        <w:rPr>
          <w:sz w:val="20"/>
          <w:szCs w:val="20"/>
          <w:color w:val="auto"/>
        </w:rPr>
      </w:pPr>
    </w:p>
    <w:p>
      <w:pPr>
        <w:ind w:left="12"/>
        <w:spacing w:after="0"/>
        <w:rPr>
          <w:sz w:val="20"/>
          <w:szCs w:val="20"/>
          <w:color w:val="auto"/>
        </w:rPr>
      </w:pPr>
      <w:r>
        <w:rPr>
          <w:rFonts w:ascii="Times New Roman" w:cs="Times New Roman" w:eastAsia="Times New Roman" w:hAnsi="Times New Roman"/>
          <w:sz w:val="22"/>
          <w:szCs w:val="22"/>
          <w:b w:val="1"/>
          <w:bCs w:val="1"/>
          <w:color w:val="auto"/>
        </w:rPr>
        <w:t>COMPETITION PRINCIPLES</w:t>
      </w:r>
    </w:p>
    <w:p>
      <w:pPr>
        <w:spacing w:after="0" w:line="287" w:lineRule="exact"/>
        <w:rPr>
          <w:sz w:val="20"/>
          <w:szCs w:val="20"/>
          <w:color w:val="auto"/>
        </w:rPr>
      </w:pPr>
    </w:p>
    <w:p>
      <w:pPr>
        <w:ind w:left="712" w:right="120" w:hanging="700"/>
        <w:spacing w:after="0" w:line="237" w:lineRule="auto"/>
        <w:tabs>
          <w:tab w:leader="none" w:pos="712" w:val="left"/>
        </w:tabs>
        <w:numPr>
          <w:ilvl w:val="0"/>
          <w:numId w:val="11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that under the Competition Principles Agreement, Governments aim to achieve more transparency and greater efficiency in Government owned business enterprises. The Commonwealth agrees that the day to day pricing and allocation arrangements for Forest Products from public Forests are matters for Victoria. Victoria confirms its commitment to the pricing and allocation principles set out in the National Forest Policy Statement and the application of competitive neutrality principles.</w:t>
      </w:r>
    </w:p>
    <w:p>
      <w:pPr>
        <w:spacing w:after="0" w:line="251" w:lineRule="exact"/>
        <w:rPr>
          <w:sz w:val="20"/>
          <w:szCs w:val="20"/>
          <w:color w:val="auto"/>
        </w:rPr>
      </w:pPr>
    </w:p>
    <w:p>
      <w:pPr>
        <w:ind w:left="12"/>
        <w:spacing w:after="0"/>
        <w:rPr>
          <w:sz w:val="20"/>
          <w:szCs w:val="20"/>
          <w:color w:val="auto"/>
        </w:rPr>
      </w:pPr>
      <w:r>
        <w:rPr>
          <w:rFonts w:ascii="Times New Roman" w:cs="Times New Roman" w:eastAsia="Times New Roman" w:hAnsi="Times New Roman"/>
          <w:sz w:val="22"/>
          <w:szCs w:val="22"/>
          <w:b w:val="1"/>
          <w:bCs w:val="1"/>
          <w:color w:val="auto"/>
        </w:rPr>
        <w:t>RESEARCH AND TRADITIONAL OWNER KNOWLEDGE</w:t>
      </w:r>
    </w:p>
    <w:p>
      <w:pPr>
        <w:spacing w:after="0" w:line="285" w:lineRule="exact"/>
        <w:rPr>
          <w:sz w:val="20"/>
          <w:szCs w:val="20"/>
          <w:color w:val="auto"/>
        </w:rPr>
      </w:pPr>
    </w:p>
    <w:p>
      <w:pPr>
        <w:jc w:val="both"/>
        <w:ind w:left="712" w:hanging="700"/>
        <w:spacing w:after="0" w:line="237" w:lineRule="auto"/>
        <w:tabs>
          <w:tab w:leader="none" w:pos="712" w:val="left"/>
        </w:tabs>
        <w:numPr>
          <w:ilvl w:val="0"/>
          <w:numId w:val="11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Parties note the results of the Comprehensive Regional Assessments of the Forest values of the Central Highlands RFA Region, the Further Assessment of Matters Report prepared in 2019 as part of the process of extending the Agreement, and the Victorian </w:t>
      </w:r>
      <w:r>
        <w:rPr>
          <w:rFonts w:ascii="Times New Roman" w:cs="Times New Roman" w:eastAsia="Times New Roman" w:hAnsi="Times New Roman"/>
          <w:sz w:val="22"/>
          <w:szCs w:val="22"/>
          <w:i w:val="1"/>
          <w:iCs w:val="1"/>
          <w:color w:val="auto"/>
        </w:rPr>
        <w:t>State of the Forests Report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2018.</w:t>
      </w:r>
    </w:p>
    <w:p>
      <w:pPr>
        <w:spacing w:after="0" w:line="254" w:lineRule="exact"/>
        <w:rPr>
          <w:sz w:val="20"/>
          <w:szCs w:val="20"/>
          <w:color w:val="auto"/>
        </w:rPr>
      </w:pPr>
    </w:p>
    <w:p>
      <w:pPr>
        <w:jc w:val="both"/>
        <w:ind w:left="712" w:hanging="699"/>
        <w:spacing w:after="0" w:line="271" w:lineRule="auto"/>
        <w:tabs>
          <w:tab w:leader="none" w:pos="691" w:val="left"/>
        </w:tabs>
        <w:rPr>
          <w:sz w:val="20"/>
          <w:szCs w:val="20"/>
          <w:color w:val="auto"/>
        </w:rPr>
      </w:pPr>
      <w:r>
        <w:rPr>
          <w:rFonts w:ascii="Times New Roman" w:cs="Times New Roman" w:eastAsia="Times New Roman" w:hAnsi="Times New Roman"/>
          <w:sz w:val="22"/>
          <w:szCs w:val="22"/>
          <w:color w:val="auto"/>
        </w:rPr>
        <w:t>83A.</w:t>
        <w:tab/>
        <w:t>The Parties recognise and value both Traditional Owner Knowledge and the best available science for managing Forests and acknowledge the importance of combining different forms of knowledge to deliver ESFM practices and outcomes, including adaptation to evolving environmental, climatic, economic and social factors.</w:t>
      </w:r>
    </w:p>
    <w:p>
      <w:pPr>
        <w:spacing w:after="0" w:line="259" w:lineRule="exact"/>
        <w:rPr>
          <w:sz w:val="20"/>
          <w:szCs w:val="20"/>
          <w:color w:val="auto"/>
        </w:rPr>
      </w:pPr>
    </w:p>
    <w:p>
      <w:pPr>
        <w:jc w:val="both"/>
        <w:ind w:left="712" w:hanging="699"/>
        <w:spacing w:after="0" w:line="272" w:lineRule="auto"/>
        <w:tabs>
          <w:tab w:leader="none" w:pos="691" w:val="left"/>
        </w:tabs>
        <w:rPr>
          <w:sz w:val="20"/>
          <w:szCs w:val="20"/>
          <w:color w:val="auto"/>
        </w:rPr>
      </w:pPr>
      <w:r>
        <w:rPr>
          <w:rFonts w:ascii="Times New Roman" w:cs="Times New Roman" w:eastAsia="Times New Roman" w:hAnsi="Times New Roman"/>
          <w:sz w:val="22"/>
          <w:szCs w:val="22"/>
          <w:color w:val="auto"/>
        </w:rPr>
        <w:t>83B.</w:t>
      </w:r>
      <w:r>
        <w:rPr>
          <w:sz w:val="20"/>
          <w:szCs w:val="20"/>
          <w:color w:val="auto"/>
        </w:rPr>
        <w:tab/>
      </w:r>
      <w:r>
        <w:rPr>
          <w:rFonts w:ascii="Times New Roman" w:cs="Times New Roman" w:eastAsia="Times New Roman" w:hAnsi="Times New Roman"/>
          <w:sz w:val="22"/>
          <w:szCs w:val="22"/>
          <w:color w:val="auto"/>
        </w:rPr>
        <w:t>Research priorities to support the holistic and adaptive management of Forests (including the management of Biodiversity, fire and water) will be reviewed and considered as part of each Five-yearly Review process, and will include both science and Traditional Owner Knowledge. Statewide research priorities are outlined in Attachment 6.</w:t>
      </w:r>
    </w:p>
    <w:p>
      <w:pPr>
        <w:spacing w:after="0" w:line="258" w:lineRule="exact"/>
        <w:rPr>
          <w:sz w:val="20"/>
          <w:szCs w:val="20"/>
          <w:color w:val="auto"/>
        </w:rPr>
      </w:pPr>
    </w:p>
    <w:p>
      <w:pPr>
        <w:jc w:val="both"/>
        <w:ind w:left="712" w:hanging="699"/>
        <w:spacing w:after="0" w:line="273" w:lineRule="auto"/>
        <w:tabs>
          <w:tab w:leader="none" w:pos="691" w:val="left"/>
        </w:tabs>
        <w:rPr>
          <w:sz w:val="20"/>
          <w:szCs w:val="20"/>
          <w:color w:val="auto"/>
        </w:rPr>
      </w:pPr>
      <w:r>
        <w:rPr>
          <w:rFonts w:ascii="Times New Roman" w:cs="Times New Roman" w:eastAsia="Times New Roman" w:hAnsi="Times New Roman"/>
          <w:sz w:val="22"/>
          <w:szCs w:val="22"/>
          <w:color w:val="auto"/>
        </w:rPr>
        <w:t>83C.</w:t>
      </w:r>
      <w:r>
        <w:rPr>
          <w:sz w:val="20"/>
          <w:szCs w:val="20"/>
          <w:color w:val="auto"/>
        </w:rPr>
        <w:tab/>
      </w:r>
      <w:r>
        <w:rPr>
          <w:rFonts w:ascii="Times New Roman" w:cs="Times New Roman" w:eastAsia="Times New Roman" w:hAnsi="Times New Roman"/>
          <w:sz w:val="22"/>
          <w:szCs w:val="22"/>
          <w:color w:val="auto"/>
        </w:rPr>
        <w:t>The Parties agree that Traditional Owners have the right to substantially shape directions and priorities in the application of Traditional Owner Knowledge. Victoria commits to working with Traditional Owners to agree Traditional Owner Knowledge priorities for the management of Native Forests on Public Land at least once every five years for so long as the Agreement remains in effect.</w:t>
      </w:r>
    </w:p>
    <w:p>
      <w:pPr>
        <w:spacing w:after="0" w:line="256" w:lineRule="exact"/>
        <w:rPr>
          <w:sz w:val="20"/>
          <w:szCs w:val="20"/>
          <w:color w:val="auto"/>
        </w:rPr>
      </w:pPr>
    </w:p>
    <w:p>
      <w:pPr>
        <w:jc w:val="both"/>
        <w:ind w:left="732" w:hanging="720"/>
        <w:spacing w:after="0" w:line="236" w:lineRule="auto"/>
        <w:tabs>
          <w:tab w:leader="none" w:pos="732"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to consult each other in the development of future research projects that may affect the Agreement and note that the subject areas and priorities may change throughout the duration of the Agreement.</w:t>
      </w:r>
    </w:p>
    <w:p>
      <w:pPr>
        <w:spacing w:after="0" w:line="254" w:lineRule="exact"/>
        <w:rPr>
          <w:rFonts w:ascii="Times New Roman" w:cs="Times New Roman" w:eastAsia="Times New Roman" w:hAnsi="Times New Roman"/>
          <w:sz w:val="22"/>
          <w:szCs w:val="22"/>
          <w:color w:val="auto"/>
        </w:rPr>
      </w:pPr>
    </w:p>
    <w:p>
      <w:pPr>
        <w:ind w:left="732" w:right="20" w:hanging="720"/>
        <w:spacing w:after="0" w:line="234" w:lineRule="auto"/>
        <w:tabs>
          <w:tab w:leader="none" w:pos="732" w:val="left"/>
        </w:tabs>
        <w:numPr>
          <w:ilvl w:val="0"/>
          <w:numId w:val="11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Parties agree to make publicly available, wherever possible, research reports relevant to this Agreement.</w:t>
      </w:r>
    </w:p>
    <w:p>
      <w:pPr>
        <w:spacing w:after="0" w:line="244" w:lineRule="exact"/>
        <w:rPr>
          <w:sz w:val="20"/>
          <w:szCs w:val="20"/>
          <w:color w:val="auto"/>
        </w:rPr>
      </w:pPr>
    </w:p>
    <w:p>
      <w:pPr>
        <w:ind w:left="12"/>
        <w:spacing w:after="0"/>
        <w:rPr>
          <w:sz w:val="20"/>
          <w:szCs w:val="20"/>
          <w:color w:val="auto"/>
        </w:rPr>
      </w:pPr>
      <w:r>
        <w:rPr>
          <w:rFonts w:ascii="Times New Roman" w:cs="Times New Roman" w:eastAsia="Times New Roman" w:hAnsi="Times New Roman"/>
          <w:sz w:val="22"/>
          <w:szCs w:val="22"/>
          <w:b w:val="1"/>
          <w:bCs w:val="1"/>
          <w:color w:val="auto"/>
        </w:rPr>
        <w:t>DATA SHARING</w:t>
      </w:r>
    </w:p>
    <w:p>
      <w:pPr>
        <w:spacing w:after="0" w:line="200" w:lineRule="exact"/>
        <w:rPr>
          <w:sz w:val="20"/>
          <w:szCs w:val="20"/>
          <w:color w:val="auto"/>
        </w:rPr>
      </w:pPr>
    </w:p>
    <w:p>
      <w:pPr>
        <w:spacing w:after="0" w:line="200" w:lineRule="exact"/>
        <w:rPr>
          <w:sz w:val="20"/>
          <w:szCs w:val="20"/>
          <w:color w:val="auto"/>
        </w:rPr>
      </w:pPr>
    </w:p>
    <w:p>
      <w:pPr>
        <w:spacing w:after="0" w:line="259" w:lineRule="exact"/>
        <w:rPr>
          <w:sz w:val="20"/>
          <w:szCs w:val="20"/>
          <w:color w:val="auto"/>
        </w:rPr>
      </w:pPr>
    </w:p>
    <w:p>
      <w:pPr>
        <w:ind w:left="9032"/>
        <w:spacing w:after="0"/>
        <w:rPr>
          <w:sz w:val="20"/>
          <w:szCs w:val="20"/>
          <w:color w:val="auto"/>
        </w:rPr>
      </w:pPr>
      <w:r>
        <w:rPr>
          <w:rFonts w:ascii="Times New Roman" w:cs="Times New Roman" w:eastAsia="Times New Roman" w:hAnsi="Times New Roman"/>
          <w:sz w:val="18"/>
          <w:szCs w:val="18"/>
          <w:color w:val="auto"/>
        </w:rPr>
        <w:t>41</w:t>
      </w:r>
    </w:p>
    <w:p>
      <w:pPr>
        <w:sectPr>
          <w:pgSz w:w="11900" w:h="16838" w:orient="portrait"/>
          <w:cols w:equalWidth="0" w:num="1">
            <w:col w:w="9212"/>
          </w:cols>
          <w:pgMar w:left="1428" w:top="1440" w:right="1266" w:bottom="149" w:gutter="0" w:footer="0" w:header="0"/>
        </w:sectPr>
      </w:pPr>
    </w:p>
    <w:bookmarkStart w:id="41" w:name="page42"/>
    <w:bookmarkEnd w:id="41"/>
    <w:p>
      <w:pPr>
        <w:spacing w:after="0" w:line="4" w:lineRule="exact"/>
        <w:rPr>
          <w:sz w:val="20"/>
          <w:szCs w:val="20"/>
          <w:color w:val="auto"/>
        </w:rPr>
      </w:pPr>
    </w:p>
    <w:p>
      <w:pPr>
        <w:jc w:val="both"/>
        <w:ind w:left="720" w:hanging="720"/>
        <w:spacing w:after="0" w:line="237" w:lineRule="auto"/>
        <w:tabs>
          <w:tab w:leader="none" w:pos="720" w:val="left"/>
        </w:tabs>
        <w:numPr>
          <w:ilvl w:val="0"/>
          <w:numId w:val="12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recognise that the implementation and monitoring of this Agreement depends on appropriate mutual access to and the availability of relevant information owned and held by each of them. Subject to clause 86B and the Parties’ respective obligations under law, the Parties agree to strengthen agreed arrangements for the custodianship of data as well as the sharing, updating, maintaining, accessing and archiving of data.</w:t>
      </w:r>
    </w:p>
    <w:p>
      <w:pPr>
        <w:spacing w:after="0" w:line="256" w:lineRule="exact"/>
        <w:rPr>
          <w:sz w:val="20"/>
          <w:szCs w:val="20"/>
          <w:color w:val="auto"/>
        </w:rPr>
      </w:pPr>
    </w:p>
    <w:p>
      <w:pPr>
        <w:jc w:val="both"/>
        <w:ind w:left="720" w:hanging="719"/>
        <w:spacing w:after="0" w:line="237" w:lineRule="auto"/>
        <w:tabs>
          <w:tab w:leader="none" w:pos="700" w:val="left"/>
        </w:tabs>
        <w:rPr>
          <w:sz w:val="20"/>
          <w:szCs w:val="20"/>
          <w:color w:val="auto"/>
        </w:rPr>
      </w:pPr>
      <w:r>
        <w:rPr>
          <w:rFonts w:ascii="Times New Roman" w:cs="Times New Roman" w:eastAsia="Times New Roman" w:hAnsi="Times New Roman"/>
          <w:sz w:val="22"/>
          <w:szCs w:val="22"/>
          <w:color w:val="auto"/>
        </w:rPr>
        <w:t>86A.</w:t>
      </w:r>
      <w:r>
        <w:rPr>
          <w:sz w:val="20"/>
          <w:szCs w:val="20"/>
          <w:color w:val="auto"/>
        </w:rPr>
        <w:tab/>
      </w:r>
      <w:r>
        <w:rPr>
          <w:rFonts w:ascii="Times New Roman" w:cs="Times New Roman" w:eastAsia="Times New Roman" w:hAnsi="Times New Roman"/>
          <w:sz w:val="22"/>
          <w:szCs w:val="22"/>
          <w:color w:val="auto"/>
        </w:rPr>
        <w:t>Subject to clause 86B, the Parties commit to a policy of open access to information and agree that all data held by each of them that is used for ongoing implementation and monitoring of this Agreement is published under the least restrictive AusGOAL endorsed licences (including Creative Commons) unless otherwise agreed.</w:t>
      </w:r>
    </w:p>
    <w:p>
      <w:pPr>
        <w:spacing w:after="0" w:line="254" w:lineRule="exact"/>
        <w:rPr>
          <w:sz w:val="20"/>
          <w:szCs w:val="20"/>
          <w:color w:val="auto"/>
        </w:rPr>
      </w:pPr>
    </w:p>
    <w:p>
      <w:pPr>
        <w:jc w:val="both"/>
        <w:ind w:left="720" w:hanging="719"/>
        <w:spacing w:after="0" w:line="234" w:lineRule="auto"/>
        <w:tabs>
          <w:tab w:leader="none" w:pos="700" w:val="left"/>
        </w:tabs>
        <w:rPr>
          <w:sz w:val="20"/>
          <w:szCs w:val="20"/>
          <w:color w:val="auto"/>
        </w:rPr>
      </w:pPr>
      <w:r>
        <w:rPr>
          <w:rFonts w:ascii="Times New Roman" w:cs="Times New Roman" w:eastAsia="Times New Roman" w:hAnsi="Times New Roman"/>
          <w:sz w:val="22"/>
          <w:szCs w:val="22"/>
          <w:color w:val="auto"/>
        </w:rPr>
        <w:t>86B.</w:t>
      </w:r>
      <w:r>
        <w:rPr>
          <w:sz w:val="20"/>
          <w:szCs w:val="20"/>
          <w:color w:val="auto"/>
        </w:rPr>
        <w:tab/>
      </w:r>
      <w:r>
        <w:rPr>
          <w:rFonts w:ascii="Times New Roman" w:cs="Times New Roman" w:eastAsia="Times New Roman" w:hAnsi="Times New Roman"/>
          <w:sz w:val="22"/>
          <w:szCs w:val="22"/>
          <w:color w:val="auto"/>
        </w:rPr>
        <w:t>For the purposes of clauses 86 and 86A of this Agreement, the Parties agree that neither Party is obliged to provide access to or make available information that is:</w:t>
      </w:r>
    </w:p>
    <w:p>
      <w:pPr>
        <w:spacing w:after="0" w:line="240" w:lineRule="exact"/>
        <w:rPr>
          <w:sz w:val="20"/>
          <w:szCs w:val="20"/>
          <w:color w:val="auto"/>
        </w:rPr>
      </w:pPr>
    </w:p>
    <w:p>
      <w:pPr>
        <w:ind w:left="1420" w:hanging="712"/>
        <w:spacing w:after="0"/>
        <w:tabs>
          <w:tab w:leader="none" w:pos="1420" w:val="left"/>
        </w:tabs>
        <w:numPr>
          <w:ilvl w:val="0"/>
          <w:numId w:val="1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information in respect of which Traditional Owners assert Data Sovereignty; or</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confidential; or</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2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otherwise restricted.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42</w:t>
      </w:r>
    </w:p>
    <w:p>
      <w:pPr>
        <w:sectPr>
          <w:pgSz w:w="11900" w:h="16838" w:orient="portrait"/>
          <w:cols w:equalWidth="0" w:num="1">
            <w:col w:w="9200"/>
          </w:cols>
          <w:pgMar w:left="1440" w:top="1440" w:right="1266" w:bottom="149" w:gutter="0" w:footer="0" w:header="0"/>
        </w:sectPr>
      </w:pPr>
    </w:p>
    <w:bookmarkStart w:id="42" w:name="page43"/>
    <w:bookmarkEnd w:id="42"/>
    <w:p>
      <w:pPr>
        <w:jc w:val="center"/>
        <w:spacing w:after="0"/>
        <w:rPr>
          <w:sz w:val="20"/>
          <w:szCs w:val="20"/>
          <w:color w:val="auto"/>
        </w:rPr>
      </w:pPr>
      <w:r>
        <w:rPr>
          <w:rFonts w:ascii="Times New Roman" w:cs="Times New Roman" w:eastAsia="Times New Roman" w:hAnsi="Times New Roman"/>
          <w:sz w:val="24"/>
          <w:szCs w:val="24"/>
          <w:b w:val="1"/>
          <w:bCs w:val="1"/>
          <w:color w:val="auto"/>
        </w:rPr>
        <w:t>PART 3</w:t>
      </w:r>
    </w:p>
    <w:p>
      <w:pPr>
        <w:spacing w:after="0" w:line="240"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Nature of Obligations under this Part</w:t>
      </w:r>
    </w:p>
    <w:p>
      <w:pPr>
        <w:spacing w:after="0" w:line="287" w:lineRule="exact"/>
        <w:rPr>
          <w:sz w:val="20"/>
          <w:szCs w:val="20"/>
          <w:color w:val="auto"/>
        </w:rPr>
      </w:pPr>
    </w:p>
    <w:p>
      <w:pPr>
        <w:jc w:val="both"/>
        <w:ind w:left="720" w:hanging="720"/>
        <w:spacing w:after="0" w:line="236" w:lineRule="auto"/>
        <w:tabs>
          <w:tab w:leader="none" w:pos="720" w:val="left"/>
        </w:tabs>
        <w:numPr>
          <w:ilvl w:val="0"/>
          <w:numId w:val="12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It is the intention of the Parties that this Part is to create legally enforceable rights and obligations. It is also their intention that, in the event that any provision of this Part exceeds the power of either Party or is unenforceable for any other reason, that provision is to be read as not intending to create legally enforceable rights and obligations.</w:t>
      </w:r>
    </w:p>
    <w:p>
      <w:pPr>
        <w:spacing w:after="0" w:line="24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Forest Management</w:t>
      </w:r>
    </w:p>
    <w:p>
      <w:pPr>
        <w:spacing w:after="0" w:line="234" w:lineRule="exact"/>
        <w:rPr>
          <w:sz w:val="20"/>
          <w:szCs w:val="20"/>
          <w:color w:val="auto"/>
        </w:rPr>
      </w:pPr>
    </w:p>
    <w:p>
      <w:pPr>
        <w:ind w:left="720" w:hanging="720"/>
        <w:spacing w:after="0"/>
        <w:tabs>
          <w:tab w:leader="none" w:pos="720" w:val="left"/>
        </w:tabs>
        <w:numPr>
          <w:ilvl w:val="0"/>
          <w:numId w:val="12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Victoria will, for the duration of this Agreement:</w:t>
      </w:r>
    </w:p>
    <w:p>
      <w:pPr>
        <w:spacing w:after="0" w:line="242" w:lineRule="exact"/>
        <w:rPr>
          <w:rFonts w:ascii="Times New Roman" w:cs="Times New Roman" w:eastAsia="Times New Roman" w:hAnsi="Times New Roman"/>
          <w:sz w:val="22"/>
          <w:szCs w:val="22"/>
          <w:color w:val="auto"/>
        </w:rPr>
      </w:pPr>
    </w:p>
    <w:p>
      <w:pPr>
        <w:ind w:left="70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88.1</w:t>
      </w:r>
      <w:r>
        <w:rPr>
          <w:rFonts w:ascii="Times New Roman" w:cs="Times New Roman" w:eastAsia="Times New Roman" w:hAnsi="Times New Roman"/>
          <w:sz w:val="21"/>
          <w:szCs w:val="21"/>
          <w:color w:val="auto"/>
        </w:rPr>
        <w:t>NOT USED</w:t>
      </w:r>
    </w:p>
    <w:p>
      <w:pPr>
        <w:spacing w:after="0" w:line="239" w:lineRule="exact"/>
        <w:rPr>
          <w:rFonts w:ascii="Times New Roman" w:cs="Times New Roman" w:eastAsia="Times New Roman" w:hAnsi="Times New Roman"/>
          <w:sz w:val="22"/>
          <w:szCs w:val="22"/>
          <w:color w:val="auto"/>
        </w:rPr>
      </w:pPr>
    </w:p>
    <w:p>
      <w:pPr>
        <w:ind w:left="72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88.2</w:t>
      </w:r>
      <w:r>
        <w:rPr>
          <w:rFonts w:ascii="Times New Roman" w:cs="Times New Roman" w:eastAsia="Times New Roman" w:hAnsi="Times New Roman"/>
          <w:sz w:val="21"/>
          <w:szCs w:val="21"/>
          <w:color w:val="auto"/>
        </w:rPr>
        <w:t>NOT USED</w:t>
      </w:r>
    </w:p>
    <w:p>
      <w:pPr>
        <w:spacing w:after="0" w:line="239" w:lineRule="exact"/>
        <w:rPr>
          <w:rFonts w:ascii="Times New Roman" w:cs="Times New Roman" w:eastAsia="Times New Roman" w:hAnsi="Times New Roman"/>
          <w:sz w:val="22"/>
          <w:szCs w:val="22"/>
          <w:color w:val="auto"/>
        </w:rPr>
      </w:pPr>
    </w:p>
    <w:p>
      <w:pPr>
        <w:ind w:left="70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88.3</w:t>
      </w:r>
      <w:r>
        <w:rPr>
          <w:rFonts w:ascii="Times New Roman" w:cs="Times New Roman" w:eastAsia="Times New Roman" w:hAnsi="Times New Roman"/>
          <w:sz w:val="21"/>
          <w:szCs w:val="21"/>
          <w:color w:val="auto"/>
        </w:rPr>
        <w:t>NOT USED</w:t>
      </w:r>
    </w:p>
    <w:p>
      <w:pPr>
        <w:spacing w:after="0" w:line="241" w:lineRule="exact"/>
        <w:rPr>
          <w:rFonts w:ascii="Times New Roman" w:cs="Times New Roman" w:eastAsia="Times New Roman" w:hAnsi="Times New Roman"/>
          <w:sz w:val="22"/>
          <w:szCs w:val="22"/>
          <w:color w:val="auto"/>
        </w:rPr>
      </w:pPr>
    </w:p>
    <w:p>
      <w:pPr>
        <w:ind w:left="70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88.4</w:t>
      </w:r>
      <w:r>
        <w:rPr>
          <w:rFonts w:ascii="Times New Roman" w:cs="Times New Roman" w:eastAsia="Times New Roman" w:hAnsi="Times New Roman"/>
          <w:sz w:val="21"/>
          <w:szCs w:val="21"/>
          <w:color w:val="auto"/>
        </w:rPr>
        <w:t>NOT USED</w:t>
      </w:r>
    </w:p>
    <w:p>
      <w:pPr>
        <w:spacing w:after="0" w:line="239" w:lineRule="exact"/>
        <w:rPr>
          <w:rFonts w:ascii="Times New Roman" w:cs="Times New Roman" w:eastAsia="Times New Roman" w:hAnsi="Times New Roman"/>
          <w:sz w:val="22"/>
          <w:szCs w:val="22"/>
          <w:color w:val="auto"/>
        </w:rPr>
      </w:pPr>
    </w:p>
    <w:p>
      <w:pPr>
        <w:ind w:left="70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88.5</w:t>
      </w:r>
      <w:r>
        <w:rPr>
          <w:rFonts w:ascii="Times New Roman" w:cs="Times New Roman" w:eastAsia="Times New Roman" w:hAnsi="Times New Roman"/>
          <w:sz w:val="21"/>
          <w:szCs w:val="21"/>
          <w:color w:val="auto"/>
        </w:rPr>
        <w:t>NOT USED</w:t>
      </w:r>
    </w:p>
    <w:p>
      <w:pPr>
        <w:spacing w:after="0" w:line="241" w:lineRule="exact"/>
        <w:rPr>
          <w:rFonts w:ascii="Times New Roman" w:cs="Times New Roman" w:eastAsia="Times New Roman" w:hAnsi="Times New Roman"/>
          <w:sz w:val="22"/>
          <w:szCs w:val="22"/>
          <w:color w:val="auto"/>
        </w:rPr>
      </w:pPr>
    </w:p>
    <w:p>
      <w:pPr>
        <w:ind w:left="700"/>
        <w:spacing w:after="0"/>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88.6continue implementing and improving its Forest Management System;</w:t>
      </w:r>
    </w:p>
    <w:p>
      <w:pPr>
        <w:spacing w:after="0" w:line="250" w:lineRule="exact"/>
        <w:rPr>
          <w:rFonts w:ascii="Times New Roman" w:cs="Times New Roman" w:eastAsia="Times New Roman" w:hAnsi="Times New Roman"/>
          <w:sz w:val="22"/>
          <w:szCs w:val="22"/>
          <w:color w:val="auto"/>
        </w:rPr>
      </w:pPr>
    </w:p>
    <w:p>
      <w:pPr>
        <w:ind w:left="1420" w:hanging="710"/>
        <w:spacing w:after="0" w:line="235"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88.7undertake a comprehensive review of the Code of Practice for Timber Production by December 2023 and at least every five years thereafter;</w:t>
      </w:r>
    </w:p>
    <w:p>
      <w:pPr>
        <w:spacing w:after="0" w:line="250" w:lineRule="exact"/>
        <w:rPr>
          <w:rFonts w:ascii="Times New Roman" w:cs="Times New Roman" w:eastAsia="Times New Roman" w:hAnsi="Times New Roman"/>
          <w:sz w:val="22"/>
          <w:szCs w:val="22"/>
          <w:color w:val="auto"/>
        </w:rPr>
      </w:pPr>
    </w:p>
    <w:p>
      <w:pPr>
        <w:ind w:left="1420" w:hanging="710"/>
        <w:spacing w:after="0" w:line="236"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88.8ensure that the volume of Timber Resources harvested from State Forest in the RFA Region over the period 1 July 2019 to 30 June 2030, for both ash and mixed species, does not exceed either:</w:t>
      </w:r>
    </w:p>
    <w:p>
      <w:pPr>
        <w:spacing w:after="0" w:line="241" w:lineRule="exact"/>
        <w:rPr>
          <w:sz w:val="20"/>
          <w:szCs w:val="20"/>
          <w:color w:val="auto"/>
        </w:rPr>
      </w:pPr>
    </w:p>
    <w:p>
      <w:pPr>
        <w:ind w:left="1440"/>
        <w:spacing w:after="0"/>
        <w:tabs>
          <w:tab w:leader="none" w:pos="2140" w:val="left"/>
        </w:tabs>
        <w:rPr>
          <w:sz w:val="20"/>
          <w:szCs w:val="20"/>
          <w:color w:val="auto"/>
        </w:rPr>
      </w:pPr>
      <w:r>
        <w:rPr>
          <w:rFonts w:ascii="Times New Roman" w:cs="Times New Roman" w:eastAsia="Times New Roman" w:hAnsi="Times New Roman"/>
          <w:sz w:val="22"/>
          <w:szCs w:val="22"/>
          <w:color w:val="auto"/>
        </w:rPr>
        <w:t>88.8.1</w:t>
        <w:tab/>
        <w:t>the cumulative Harvest Level for any five year period in the period from 1 July</w:t>
      </w:r>
    </w:p>
    <w:p>
      <w:pPr>
        <w:spacing w:after="0" w:line="1" w:lineRule="exact"/>
        <w:rPr>
          <w:sz w:val="20"/>
          <w:szCs w:val="20"/>
          <w:color w:val="auto"/>
        </w:rPr>
      </w:pPr>
    </w:p>
    <w:p>
      <w:pPr>
        <w:ind w:left="2160"/>
        <w:spacing w:after="0"/>
        <w:rPr>
          <w:sz w:val="20"/>
          <w:szCs w:val="20"/>
          <w:color w:val="auto"/>
        </w:rPr>
      </w:pPr>
      <w:r>
        <w:rPr>
          <w:rFonts w:ascii="Times New Roman" w:cs="Times New Roman" w:eastAsia="Times New Roman" w:hAnsi="Times New Roman"/>
          <w:sz w:val="22"/>
          <w:szCs w:val="22"/>
          <w:color w:val="auto"/>
        </w:rPr>
        <w:t>2019 to 30 June 2030; or</w:t>
      </w:r>
    </w:p>
    <w:p>
      <w:pPr>
        <w:spacing w:after="0" w:line="239" w:lineRule="exact"/>
        <w:rPr>
          <w:sz w:val="20"/>
          <w:szCs w:val="20"/>
          <w:color w:val="auto"/>
        </w:rPr>
      </w:pPr>
    </w:p>
    <w:p>
      <w:pPr>
        <w:ind w:left="1440"/>
        <w:spacing w:after="0"/>
        <w:tabs>
          <w:tab w:leader="none" w:pos="2140" w:val="left"/>
        </w:tabs>
        <w:rPr>
          <w:sz w:val="20"/>
          <w:szCs w:val="20"/>
          <w:color w:val="auto"/>
        </w:rPr>
      </w:pPr>
      <w:r>
        <w:rPr>
          <w:rFonts w:ascii="Times New Roman" w:cs="Times New Roman" w:eastAsia="Times New Roman" w:hAnsi="Times New Roman"/>
          <w:sz w:val="22"/>
          <w:szCs w:val="22"/>
          <w:color w:val="auto"/>
        </w:rPr>
        <w:t>88.8.2</w:t>
      </w:r>
      <w:r>
        <w:rPr>
          <w:sz w:val="20"/>
          <w:szCs w:val="20"/>
          <w:color w:val="auto"/>
        </w:rPr>
        <w:tab/>
      </w:r>
      <w:r>
        <w:rPr>
          <w:rFonts w:ascii="Times New Roman" w:cs="Times New Roman" w:eastAsia="Times New Roman" w:hAnsi="Times New Roman"/>
          <w:sz w:val="21"/>
          <w:szCs w:val="21"/>
          <w:color w:val="auto"/>
        </w:rPr>
        <w:t>more than 120 per cent of the annual Harvest Level in any given year;</w:t>
      </w:r>
    </w:p>
    <w:p>
      <w:pPr>
        <w:spacing w:after="0" w:line="254" w:lineRule="exact"/>
        <w:rPr>
          <w:sz w:val="20"/>
          <w:szCs w:val="20"/>
          <w:color w:val="auto"/>
        </w:rPr>
      </w:pPr>
    </w:p>
    <w:p>
      <w:pPr>
        <w:jc w:val="both"/>
        <w:ind w:left="1420" w:hanging="697"/>
        <w:spacing w:after="0" w:line="237" w:lineRule="auto"/>
        <w:tabs>
          <w:tab w:leader="none" w:pos="1400" w:val="left"/>
        </w:tabs>
        <w:rPr>
          <w:sz w:val="20"/>
          <w:szCs w:val="20"/>
          <w:color w:val="auto"/>
        </w:rPr>
      </w:pPr>
      <w:r>
        <w:rPr>
          <w:rFonts w:ascii="Times New Roman" w:cs="Times New Roman" w:eastAsia="Times New Roman" w:hAnsi="Times New Roman"/>
          <w:sz w:val="22"/>
          <w:szCs w:val="22"/>
          <w:color w:val="auto"/>
        </w:rPr>
        <w:t>88.9</w:t>
      </w:r>
      <w:r>
        <w:rPr>
          <w:sz w:val="20"/>
          <w:szCs w:val="20"/>
          <w:color w:val="auto"/>
        </w:rPr>
        <w:tab/>
      </w:r>
      <w:r>
        <w:rPr>
          <w:rFonts w:ascii="Times New Roman" w:cs="Times New Roman" w:eastAsia="Times New Roman" w:hAnsi="Times New Roman"/>
          <w:sz w:val="22"/>
          <w:szCs w:val="22"/>
          <w:color w:val="auto"/>
        </w:rPr>
        <w:t>maintain a CAR Reserve System in the Central Highlands RFA Region that satisfies the JANIS Reserve Criteria (through the provision of each of the constituent elements as described in clause 61A) and contributes towards the National Reserve System in respect of Forest communities;</w:t>
      </w:r>
    </w:p>
    <w:p>
      <w:pPr>
        <w:spacing w:after="0" w:line="251" w:lineRule="exact"/>
        <w:rPr>
          <w:sz w:val="20"/>
          <w:szCs w:val="20"/>
          <w:color w:val="auto"/>
        </w:rPr>
      </w:pPr>
    </w:p>
    <w:p>
      <w:pPr>
        <w:jc w:val="both"/>
        <w:ind w:left="1440" w:right="20" w:hanging="719"/>
        <w:spacing w:after="0" w:line="234" w:lineRule="auto"/>
        <w:tabs>
          <w:tab w:leader="none" w:pos="1420" w:val="left"/>
        </w:tabs>
        <w:rPr>
          <w:sz w:val="20"/>
          <w:szCs w:val="20"/>
          <w:color w:val="auto"/>
        </w:rPr>
      </w:pPr>
      <w:r>
        <w:rPr>
          <w:rFonts w:ascii="Times New Roman" w:cs="Times New Roman" w:eastAsia="Times New Roman" w:hAnsi="Times New Roman"/>
          <w:sz w:val="22"/>
          <w:szCs w:val="22"/>
          <w:color w:val="auto"/>
        </w:rPr>
        <w:t>88.10</w:t>
        <w:tab/>
        <w:t>produce, publish and maintain in force at any given time one or more Forest Management Plans that applies to land within the RFA Region;</w:t>
      </w:r>
    </w:p>
    <w:p>
      <w:pPr>
        <w:spacing w:after="0" w:line="253" w:lineRule="exact"/>
        <w:rPr>
          <w:sz w:val="20"/>
          <w:szCs w:val="20"/>
          <w:color w:val="auto"/>
        </w:rPr>
      </w:pPr>
    </w:p>
    <w:p>
      <w:pPr>
        <w:jc w:val="both"/>
        <w:ind w:left="1440" w:hanging="719"/>
        <w:spacing w:after="0" w:line="236" w:lineRule="auto"/>
        <w:tabs>
          <w:tab w:leader="none" w:pos="1420" w:val="left"/>
        </w:tabs>
        <w:rPr>
          <w:sz w:val="20"/>
          <w:szCs w:val="20"/>
          <w:color w:val="auto"/>
        </w:rPr>
      </w:pPr>
      <w:r>
        <w:rPr>
          <w:rFonts w:ascii="Times New Roman" w:cs="Times New Roman" w:eastAsia="Times New Roman" w:hAnsi="Times New Roman"/>
          <w:sz w:val="22"/>
          <w:szCs w:val="22"/>
          <w:color w:val="auto"/>
        </w:rPr>
        <w:t>88.11</w:t>
        <w:tab/>
        <w:t>review and update any Forest Management Plan that applies, either in part or wholly, to land within the Central Highlands RFA Region by December 2023 and at least every ten years thereafter; and</w:t>
      </w:r>
    </w:p>
    <w:p>
      <w:pPr>
        <w:spacing w:after="0" w:line="253" w:lineRule="exact"/>
        <w:rPr>
          <w:sz w:val="20"/>
          <w:szCs w:val="20"/>
          <w:color w:val="auto"/>
        </w:rPr>
      </w:pPr>
    </w:p>
    <w:p>
      <w:pPr>
        <w:jc w:val="both"/>
        <w:ind w:left="1440" w:hanging="719"/>
        <w:spacing w:after="0" w:line="234" w:lineRule="auto"/>
        <w:tabs>
          <w:tab w:leader="none" w:pos="1420" w:val="left"/>
        </w:tabs>
        <w:rPr>
          <w:sz w:val="20"/>
          <w:szCs w:val="20"/>
          <w:color w:val="auto"/>
        </w:rPr>
      </w:pPr>
      <w:r>
        <w:rPr>
          <w:rFonts w:ascii="Times New Roman" w:cs="Times New Roman" w:eastAsia="Times New Roman" w:hAnsi="Times New Roman"/>
          <w:sz w:val="22"/>
          <w:szCs w:val="22"/>
          <w:color w:val="auto"/>
        </w:rPr>
        <w:t>88.12</w:t>
        <w:tab/>
        <w:t>maintain a Forest Management System that provides for the protection and management of Matters of National Environmental Significance.</w:t>
      </w:r>
    </w:p>
    <w:p>
      <w:pPr>
        <w:spacing w:after="0" w:line="242" w:lineRule="exact"/>
        <w:rPr>
          <w:sz w:val="20"/>
          <w:szCs w:val="20"/>
          <w:color w:val="auto"/>
        </w:rPr>
      </w:pPr>
    </w:p>
    <w:p>
      <w:pPr>
        <w:ind w:left="560" w:hanging="560"/>
        <w:spacing w:after="0"/>
        <w:tabs>
          <w:tab w:leader="none" w:pos="560" w:val="left"/>
        </w:tabs>
        <w:numPr>
          <w:ilvl w:val="0"/>
          <w:numId w:val="12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Commonwealth will: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43</w:t>
      </w:r>
    </w:p>
    <w:p>
      <w:pPr>
        <w:sectPr>
          <w:pgSz w:w="11900" w:h="16838" w:orient="portrait"/>
          <w:cols w:equalWidth="0" w:num="1">
            <w:col w:w="9200"/>
          </w:cols>
          <w:pgMar w:left="1440" w:top="1437" w:right="1266" w:bottom="149" w:gutter="0" w:footer="0" w:header="0"/>
        </w:sectPr>
      </w:pPr>
    </w:p>
    <w:bookmarkStart w:id="43" w:name="page44"/>
    <w:bookmarkEnd w:id="43"/>
    <w:p>
      <w:pPr>
        <w:spacing w:after="0" w:line="4" w:lineRule="exact"/>
        <w:rPr>
          <w:sz w:val="20"/>
          <w:szCs w:val="20"/>
          <w:color w:val="auto"/>
        </w:rPr>
      </w:pPr>
    </w:p>
    <w:p>
      <w:pPr>
        <w:jc w:val="both"/>
        <w:ind w:left="1420" w:hanging="849"/>
        <w:spacing w:after="0" w:line="236" w:lineRule="auto"/>
        <w:tabs>
          <w:tab w:leader="none" w:pos="1400" w:val="left"/>
        </w:tabs>
        <w:rPr>
          <w:sz w:val="20"/>
          <w:szCs w:val="20"/>
          <w:color w:val="auto"/>
        </w:rPr>
      </w:pPr>
      <w:r>
        <w:rPr>
          <w:rFonts w:ascii="Times New Roman" w:cs="Times New Roman" w:eastAsia="Times New Roman" w:hAnsi="Times New Roman"/>
          <w:sz w:val="22"/>
          <w:szCs w:val="22"/>
          <w:color w:val="auto"/>
        </w:rPr>
        <w:t>89.1</w:t>
      </w:r>
      <w:r>
        <w:rPr>
          <w:sz w:val="20"/>
          <w:szCs w:val="20"/>
          <w:color w:val="auto"/>
        </w:rPr>
        <w:tab/>
      </w:r>
      <w:r>
        <w:rPr>
          <w:rFonts w:ascii="Times New Roman" w:cs="Times New Roman" w:eastAsia="Times New Roman" w:hAnsi="Times New Roman"/>
          <w:sz w:val="22"/>
          <w:szCs w:val="22"/>
          <w:color w:val="auto"/>
        </w:rPr>
        <w:t>maintain accreditation of Victoria’s Forest Management System, as amended from time to time, providing changes to the system are consistent with the provisions of this Agreement; and</w:t>
      </w:r>
    </w:p>
    <w:p>
      <w:pPr>
        <w:spacing w:after="0" w:line="252" w:lineRule="exact"/>
        <w:rPr>
          <w:sz w:val="20"/>
          <w:szCs w:val="20"/>
          <w:color w:val="auto"/>
        </w:rPr>
      </w:pPr>
    </w:p>
    <w:p>
      <w:pPr>
        <w:jc w:val="both"/>
        <w:ind w:left="1420" w:hanging="849"/>
        <w:spacing w:after="0" w:line="236" w:lineRule="auto"/>
        <w:tabs>
          <w:tab w:leader="none" w:pos="1400" w:val="left"/>
        </w:tabs>
        <w:rPr>
          <w:sz w:val="20"/>
          <w:szCs w:val="20"/>
          <w:color w:val="auto"/>
        </w:rPr>
      </w:pPr>
      <w:r>
        <w:rPr>
          <w:rFonts w:ascii="Times New Roman" w:cs="Times New Roman" w:eastAsia="Times New Roman" w:hAnsi="Times New Roman"/>
          <w:sz w:val="22"/>
          <w:szCs w:val="22"/>
          <w:color w:val="auto"/>
        </w:rPr>
        <w:t>89.2</w:t>
      </w:r>
      <w:r>
        <w:rPr>
          <w:sz w:val="20"/>
          <w:szCs w:val="20"/>
          <w:color w:val="auto"/>
        </w:rPr>
        <w:tab/>
      </w:r>
      <w:r>
        <w:rPr>
          <w:rFonts w:ascii="Times New Roman" w:cs="Times New Roman" w:eastAsia="Times New Roman" w:hAnsi="Times New Roman"/>
          <w:sz w:val="22"/>
          <w:szCs w:val="22"/>
          <w:color w:val="auto"/>
        </w:rPr>
        <w:t>not prevent enterprises obtaining, using or exporting Processed and Unprocessed Wood sourced from Forests in the Central Highlands RFA Region in accordance with this Agreement.</w:t>
      </w:r>
    </w:p>
    <w:p>
      <w:pPr>
        <w:spacing w:after="0" w:line="24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Compensation</w:t>
      </w:r>
    </w:p>
    <w:p>
      <w:pPr>
        <w:spacing w:after="0" w:line="275" w:lineRule="exact"/>
        <w:rPr>
          <w:sz w:val="20"/>
          <w:szCs w:val="20"/>
          <w:color w:val="auto"/>
        </w:rPr>
      </w:pPr>
    </w:p>
    <w:p>
      <w:pPr>
        <w:ind w:left="560" w:hanging="560"/>
        <w:spacing w:after="0"/>
        <w:tabs>
          <w:tab w:leader="none" w:pos="560" w:val="left"/>
        </w:tabs>
        <w:numPr>
          <w:ilvl w:val="0"/>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agree that:</w:t>
      </w:r>
    </w:p>
    <w:p>
      <w:pPr>
        <w:spacing w:after="0" w:line="251" w:lineRule="exact"/>
        <w:rPr>
          <w:rFonts w:ascii="Times New Roman" w:cs="Times New Roman" w:eastAsia="Times New Roman" w:hAnsi="Times New Roman"/>
          <w:sz w:val="22"/>
          <w:szCs w:val="22"/>
          <w:color w:val="auto"/>
        </w:rPr>
      </w:pPr>
    </w:p>
    <w:p>
      <w:pPr>
        <w:ind w:left="1440" w:hanging="874"/>
        <w:spacing w:after="0" w:line="234"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90.1.If to protect the environment and heritage values in native forests and in connection therewith the protection of:</w:t>
      </w:r>
    </w:p>
    <w:p>
      <w:pPr>
        <w:spacing w:after="0" w:line="241" w:lineRule="exact"/>
        <w:rPr>
          <w:rFonts w:ascii="Times New Roman" w:cs="Times New Roman" w:eastAsia="Times New Roman" w:hAnsi="Times New Roman"/>
          <w:sz w:val="22"/>
          <w:szCs w:val="22"/>
          <w:color w:val="auto"/>
        </w:rPr>
      </w:pPr>
    </w:p>
    <w:p>
      <w:pPr>
        <w:ind w:left="2140" w:hanging="712"/>
        <w:spacing w:after="0"/>
        <w:tabs>
          <w:tab w:leader="none" w:pos="2140" w:val="left"/>
        </w:tabs>
        <w:numPr>
          <w:ilvl w:val="1"/>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CAR Values; or</w:t>
      </w:r>
    </w:p>
    <w:p>
      <w:pPr>
        <w:spacing w:after="0" w:line="239" w:lineRule="exact"/>
        <w:rPr>
          <w:rFonts w:ascii="Times New Roman" w:cs="Times New Roman" w:eastAsia="Times New Roman" w:hAnsi="Times New Roman"/>
          <w:sz w:val="22"/>
          <w:szCs w:val="22"/>
          <w:color w:val="auto"/>
        </w:rPr>
      </w:pPr>
    </w:p>
    <w:p>
      <w:pPr>
        <w:ind w:left="2140" w:hanging="712"/>
        <w:spacing w:after="0"/>
        <w:tabs>
          <w:tab w:leader="none" w:pos="2140" w:val="left"/>
        </w:tabs>
        <w:numPr>
          <w:ilvl w:val="1"/>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National Estate Values; or</w:t>
      </w:r>
    </w:p>
    <w:p>
      <w:pPr>
        <w:spacing w:after="0" w:line="241" w:lineRule="exact"/>
        <w:rPr>
          <w:rFonts w:ascii="Times New Roman" w:cs="Times New Roman" w:eastAsia="Times New Roman" w:hAnsi="Times New Roman"/>
          <w:sz w:val="22"/>
          <w:szCs w:val="22"/>
          <w:color w:val="auto"/>
        </w:rPr>
      </w:pPr>
    </w:p>
    <w:p>
      <w:pPr>
        <w:ind w:left="2140" w:hanging="712"/>
        <w:spacing w:after="0"/>
        <w:tabs>
          <w:tab w:leader="none" w:pos="2140" w:val="left"/>
        </w:tabs>
        <w:numPr>
          <w:ilvl w:val="1"/>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World Heritage Values; or</w:t>
      </w:r>
    </w:p>
    <w:p>
      <w:pPr>
        <w:spacing w:after="0" w:line="239" w:lineRule="exact"/>
        <w:rPr>
          <w:rFonts w:ascii="Times New Roman" w:cs="Times New Roman" w:eastAsia="Times New Roman" w:hAnsi="Times New Roman"/>
          <w:sz w:val="22"/>
          <w:szCs w:val="22"/>
          <w:color w:val="auto"/>
        </w:rPr>
      </w:pPr>
    </w:p>
    <w:p>
      <w:pPr>
        <w:ind w:left="2140" w:hanging="712"/>
        <w:spacing w:after="0"/>
        <w:tabs>
          <w:tab w:leader="none" w:pos="2140" w:val="left"/>
        </w:tabs>
        <w:numPr>
          <w:ilvl w:val="1"/>
          <w:numId w:val="12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Wild Rivers</w:t>
      </w:r>
    </w:p>
    <w:p>
      <w:pPr>
        <w:spacing w:after="0" w:line="265" w:lineRule="exact"/>
        <w:rPr>
          <w:sz w:val="20"/>
          <w:szCs w:val="20"/>
          <w:color w:val="auto"/>
        </w:rPr>
      </w:pPr>
    </w:p>
    <w:p>
      <w:pPr>
        <w:jc w:val="both"/>
        <w:ind w:left="1440"/>
        <w:spacing w:after="0" w:line="236" w:lineRule="auto"/>
        <w:rPr>
          <w:sz w:val="20"/>
          <w:szCs w:val="20"/>
          <w:color w:val="auto"/>
        </w:rPr>
      </w:pPr>
      <w:r>
        <w:rPr>
          <w:rFonts w:ascii="Times New Roman" w:cs="Times New Roman" w:eastAsia="Times New Roman" w:hAnsi="Times New Roman"/>
          <w:sz w:val="22"/>
          <w:szCs w:val="22"/>
          <w:color w:val="auto"/>
        </w:rPr>
        <w:t>the Commonwealth takes any Action during the period of this Agreement which is inconsistent with any provision of this Agreement and a foreseeable and probable consequence of which is to prevent or substantially limit:</w:t>
      </w:r>
    </w:p>
    <w:p>
      <w:pPr>
        <w:spacing w:after="0" w:line="253" w:lineRule="exact"/>
        <w:rPr>
          <w:sz w:val="20"/>
          <w:szCs w:val="20"/>
          <w:color w:val="auto"/>
        </w:rPr>
      </w:pPr>
    </w:p>
    <w:p>
      <w:pPr>
        <w:jc w:val="both"/>
        <w:ind w:left="2140" w:hanging="712"/>
        <w:spacing w:after="0" w:line="238" w:lineRule="auto"/>
        <w:tabs>
          <w:tab w:leader="none" w:pos="2140" w:val="left"/>
        </w:tabs>
        <w:numPr>
          <w:ilvl w:val="0"/>
          <w:numId w:val="12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use of land which is not included within the CAR Reserve System for Forestry Operations which, immediately before the announcement of the proposed Commonwealth Action, are being undertaken or were intended to be undertaken at any time or the use of land which is not included within the CAR Reserve System or of land within that system but not within a Dedicated Reserve in which mineral exploration and mining is prohibited pursuant to a statutory Licence, Consent or Authority permitting those Mining Operations which was in force immediately prior to the announcement of the proposed Commonwealth Action; or,</w:t>
      </w:r>
    </w:p>
    <w:p>
      <w:pPr>
        <w:spacing w:after="0" w:line="260" w:lineRule="exact"/>
        <w:rPr>
          <w:rFonts w:ascii="Times New Roman" w:cs="Times New Roman" w:eastAsia="Times New Roman" w:hAnsi="Times New Roman"/>
          <w:sz w:val="22"/>
          <w:szCs w:val="22"/>
          <w:color w:val="auto"/>
        </w:rPr>
      </w:pPr>
    </w:p>
    <w:p>
      <w:pPr>
        <w:jc w:val="both"/>
        <w:ind w:left="2140" w:hanging="712"/>
        <w:spacing w:after="0" w:line="238" w:lineRule="auto"/>
        <w:tabs>
          <w:tab w:leader="none" w:pos="2140" w:val="left"/>
        </w:tabs>
        <w:numPr>
          <w:ilvl w:val="0"/>
          <w:numId w:val="12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sale or commercial use of Forest Products sourced from land which is not included within the CAR Reserve System or the first sale or first commercial use of Mining Products sourced from land which is not included within the CAR Reserve System or land within that system but not within a Dedicated Reserve in which mineral exploration and mining is prohibited for a purpose for which, immediately prior to the announcement of the proposed Commonwealth Action, they had been intended to be sold or used commercially at any time; or,</w:t>
      </w:r>
    </w:p>
    <w:p>
      <w:pPr>
        <w:spacing w:after="0" w:line="255" w:lineRule="exact"/>
        <w:rPr>
          <w:rFonts w:ascii="Times New Roman" w:cs="Times New Roman" w:eastAsia="Times New Roman" w:hAnsi="Times New Roman"/>
          <w:sz w:val="22"/>
          <w:szCs w:val="22"/>
          <w:color w:val="auto"/>
        </w:rPr>
      </w:pPr>
    </w:p>
    <w:p>
      <w:pPr>
        <w:jc w:val="both"/>
        <w:ind w:left="2140" w:hanging="712"/>
        <w:spacing w:after="0" w:line="237" w:lineRule="auto"/>
        <w:tabs>
          <w:tab w:leader="none" w:pos="2140" w:val="left"/>
        </w:tabs>
        <w:numPr>
          <w:ilvl w:val="0"/>
          <w:numId w:val="12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construction on land which is not included within the CAR Reserve System of roads being built or intended to be built, immediately before the announcement of the proposed Commonwealth Action, where those roads’ primary purpose is for the transportation of Forest Products sourced from land which is not included within the CAR Reserve System,</w:t>
      </w:r>
    </w:p>
    <w:p>
      <w:pPr>
        <w:spacing w:after="0" w:line="256" w:lineRule="exact"/>
        <w:rPr>
          <w:sz w:val="20"/>
          <w:szCs w:val="20"/>
          <w:color w:val="auto"/>
        </w:rPr>
      </w:pPr>
    </w:p>
    <w:p>
      <w:pPr>
        <w:ind w:left="1420"/>
        <w:spacing w:after="0" w:line="234" w:lineRule="auto"/>
        <w:rPr>
          <w:sz w:val="20"/>
          <w:szCs w:val="20"/>
          <w:color w:val="auto"/>
        </w:rPr>
      </w:pPr>
      <w:r>
        <w:rPr>
          <w:rFonts w:ascii="Times New Roman" w:cs="Times New Roman" w:eastAsia="Times New Roman" w:hAnsi="Times New Roman"/>
          <w:sz w:val="22"/>
          <w:szCs w:val="22"/>
          <w:color w:val="auto"/>
        </w:rPr>
        <w:t>the Commonwealth will pay compensation to the State in accordance with the remaining provisions of clauses 90.2 to 90.20.</w:t>
      </w:r>
    </w:p>
    <w:p>
      <w:pPr>
        <w:spacing w:after="0" w:line="242" w:lineRule="exact"/>
        <w:rPr>
          <w:sz w:val="20"/>
          <w:szCs w:val="20"/>
          <w:color w:val="auto"/>
        </w:rPr>
      </w:pPr>
    </w:p>
    <w:p>
      <w:pPr>
        <w:ind w:left="560"/>
        <w:spacing w:after="0"/>
        <w:tabs>
          <w:tab w:leader="none" w:pos="1420" w:val="left"/>
        </w:tabs>
        <w:rPr>
          <w:sz w:val="20"/>
          <w:szCs w:val="20"/>
          <w:color w:val="auto"/>
        </w:rPr>
      </w:pPr>
      <w:r>
        <w:rPr>
          <w:rFonts w:ascii="Times New Roman" w:cs="Times New Roman" w:eastAsia="Times New Roman" w:hAnsi="Times New Roman"/>
          <w:sz w:val="22"/>
          <w:szCs w:val="22"/>
          <w:color w:val="auto"/>
        </w:rPr>
        <w:t>90.2.</w:t>
      </w:r>
      <w:r>
        <w:rPr>
          <w:sz w:val="20"/>
          <w:szCs w:val="20"/>
          <w:color w:val="auto"/>
        </w:rPr>
        <w:tab/>
      </w:r>
      <w:r>
        <w:rPr>
          <w:rFonts w:ascii="Times New Roman" w:cs="Times New Roman" w:eastAsia="Times New Roman" w:hAnsi="Times New Roman"/>
          <w:sz w:val="21"/>
          <w:szCs w:val="21"/>
          <w:color w:val="auto"/>
        </w:rPr>
        <w:t>Subject to:</w:t>
      </w: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44</w:t>
      </w:r>
    </w:p>
    <w:p>
      <w:pPr>
        <w:sectPr>
          <w:pgSz w:w="11900" w:h="16838" w:orient="portrait"/>
          <w:cols w:equalWidth="0" w:num="1">
            <w:col w:w="9200"/>
          </w:cols>
          <w:pgMar w:left="1440" w:top="1440" w:right="1266" w:bottom="149" w:gutter="0" w:footer="0" w:header="0"/>
        </w:sectPr>
      </w:pPr>
    </w:p>
    <w:bookmarkStart w:id="44" w:name="page45"/>
    <w:bookmarkEnd w:id="44"/>
    <w:p>
      <w:pPr>
        <w:spacing w:after="0" w:line="4" w:lineRule="exact"/>
        <w:rPr>
          <w:sz w:val="20"/>
          <w:szCs w:val="20"/>
          <w:color w:val="auto"/>
        </w:rPr>
      </w:pPr>
    </w:p>
    <w:p>
      <w:pPr>
        <w:jc w:val="both"/>
        <w:ind w:left="2140" w:hanging="712"/>
        <w:spacing w:after="0" w:line="238" w:lineRule="auto"/>
        <w:tabs>
          <w:tab w:leader="none" w:pos="2140" w:val="left"/>
        </w:tabs>
        <w:numPr>
          <w:ilvl w:val="0"/>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clauses 90.3, 90.4, 90.5, 90.6, 90.8, 90.9, 90.10, 90.11 and 90.12 the compensation to be paid by the Commonwealth to the State in accordance with clause 90.1 in relation to the prevention by Commonwealth Action of the use of land for Forestry Operations or prevention by Commonwealth Action of the sale or commercial use of Forest Products is the amount of the reasonable loss or damage sustained by reason of that prevention, calculated as at the time at which the prevention referred to in clause 90.1 occurred, by any person in any of the following classes of person:</w:t>
      </w:r>
    </w:p>
    <w:p>
      <w:pPr>
        <w:spacing w:after="0" w:line="244" w:lineRule="exact"/>
        <w:rPr>
          <w:rFonts w:ascii="Times New Roman" w:cs="Times New Roman" w:eastAsia="Times New Roman" w:hAnsi="Times New Roman"/>
          <w:sz w:val="22"/>
          <w:szCs w:val="22"/>
          <w:color w:val="auto"/>
        </w:rPr>
      </w:pPr>
    </w:p>
    <w:p>
      <w:pPr>
        <w:ind w:left="2840" w:hanging="703"/>
        <w:spacing w:after="0"/>
        <w:tabs>
          <w:tab w:leader="none" w:pos="2840" w:val="left"/>
        </w:tabs>
        <w:numPr>
          <w:ilvl w:val="1"/>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Owner of the land or of the Forest Products on the land;</w:t>
      </w:r>
    </w:p>
    <w:p>
      <w:pPr>
        <w:spacing w:after="0" w:line="252" w:lineRule="exact"/>
        <w:rPr>
          <w:rFonts w:ascii="Times New Roman" w:cs="Times New Roman" w:eastAsia="Times New Roman" w:hAnsi="Times New Roman"/>
          <w:sz w:val="22"/>
          <w:szCs w:val="22"/>
          <w:color w:val="auto"/>
        </w:rPr>
      </w:pPr>
    </w:p>
    <w:p>
      <w:pPr>
        <w:jc w:val="both"/>
        <w:ind w:left="2840" w:hanging="703"/>
        <w:spacing w:after="0" w:line="237" w:lineRule="auto"/>
        <w:tabs>
          <w:tab w:leader="none" w:pos="2840" w:val="left"/>
        </w:tabs>
        <w:numPr>
          <w:ilvl w:val="1"/>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person who, prior to the announcement of the proposed Commonwealth Action but not in anticipation of that Action, entered into a contract with the Owner of the land or of the Forest Products on the land or with any person mentioned in sub-paragraph (iii) below for the carrying out of Forestry Operations on the land; and</w:t>
      </w:r>
    </w:p>
    <w:p>
      <w:pPr>
        <w:spacing w:after="0" w:line="256" w:lineRule="exact"/>
        <w:rPr>
          <w:rFonts w:ascii="Times New Roman" w:cs="Times New Roman" w:eastAsia="Times New Roman" w:hAnsi="Times New Roman"/>
          <w:sz w:val="22"/>
          <w:szCs w:val="22"/>
          <w:color w:val="auto"/>
        </w:rPr>
      </w:pPr>
    </w:p>
    <w:p>
      <w:pPr>
        <w:jc w:val="both"/>
        <w:ind w:left="2840" w:hanging="703"/>
        <w:spacing w:after="0" w:line="237" w:lineRule="auto"/>
        <w:tabs>
          <w:tab w:leader="none" w:pos="2840" w:val="left"/>
        </w:tabs>
        <w:numPr>
          <w:ilvl w:val="1"/>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person who, prior to the announcement of the proposed Commonwealth Action but not in anticipation of that Action, entered into a contract with the Owner of the land or of the Forest Products on the land to purchase the Forest Products on the land.</w:t>
      </w:r>
    </w:p>
    <w:p>
      <w:pPr>
        <w:spacing w:after="0" w:line="251" w:lineRule="exact"/>
        <w:rPr>
          <w:rFonts w:ascii="Times New Roman" w:cs="Times New Roman" w:eastAsia="Times New Roman" w:hAnsi="Times New Roman"/>
          <w:sz w:val="22"/>
          <w:szCs w:val="22"/>
          <w:color w:val="auto"/>
        </w:rPr>
      </w:pPr>
    </w:p>
    <w:p>
      <w:pPr>
        <w:jc w:val="both"/>
        <w:ind w:left="2140" w:hanging="712"/>
        <w:spacing w:after="0" w:line="239" w:lineRule="auto"/>
        <w:tabs>
          <w:tab w:leader="none" w:pos="2140" w:val="left"/>
        </w:tabs>
        <w:numPr>
          <w:ilvl w:val="0"/>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clauses 90.3, 90.4, 90.5, 90.6, 90.7, 90.8, 90.10, 90.11 and 90.12 the compensation to be paid by the Commonwealth to the State in accordance with clause 90.1 in relation to the prevention by Commonwealth Action of the use of land for Mining Operations or the first sale or first commercial use of Mining Products is the amount of the reasonable loss or damage sustained by reason of that prevention, calculated as at the time at which the prevention referred to in clause 90.1 occurred, by any person carrying on Mining Operations on the land pursuant to a statutory Licence, Consent or Authority permitting those operations which was in force immediately prior to the announcement of the proposed Commonwealth Action.</w:t>
      </w:r>
    </w:p>
    <w:p>
      <w:pPr>
        <w:spacing w:after="0" w:line="250" w:lineRule="exact"/>
        <w:rPr>
          <w:rFonts w:ascii="Times New Roman" w:cs="Times New Roman" w:eastAsia="Times New Roman" w:hAnsi="Times New Roman"/>
          <w:sz w:val="22"/>
          <w:szCs w:val="22"/>
          <w:color w:val="auto"/>
        </w:rPr>
      </w:pPr>
    </w:p>
    <w:p>
      <w:pPr>
        <w:jc w:val="both"/>
        <w:ind w:left="2140" w:hanging="712"/>
        <w:spacing w:after="0" w:line="238" w:lineRule="auto"/>
        <w:tabs>
          <w:tab w:leader="none" w:pos="2140" w:val="left"/>
        </w:tabs>
        <w:numPr>
          <w:ilvl w:val="0"/>
          <w:numId w:val="12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clauses 90.3, 90.6, 90.8, 90.11 and 90.12 the compensation to be paid by the Commonwealth to the State in accordance with clause 90.1 in relation to the prevention by Commonwealth Action of construction of a road is the amount of reasonable loss or damage sustained by reason of that prevention, calculated as at the time at which the prevention referred to in clause 90.1 occurred, by any person who, immediately before the announcement of the proposed Commonwealth Action, was contracted to construct that road.</w:t>
      </w:r>
    </w:p>
    <w:p>
      <w:pPr>
        <w:spacing w:after="0" w:line="256" w:lineRule="exact"/>
        <w:rPr>
          <w:sz w:val="20"/>
          <w:szCs w:val="20"/>
          <w:color w:val="auto"/>
        </w:rPr>
      </w:pPr>
    </w:p>
    <w:p>
      <w:pPr>
        <w:jc w:val="both"/>
        <w:ind w:left="1440" w:hanging="873"/>
        <w:spacing w:after="0" w:line="237" w:lineRule="auto"/>
        <w:tabs>
          <w:tab w:leader="none" w:pos="1420" w:val="left"/>
        </w:tabs>
        <w:rPr>
          <w:sz w:val="20"/>
          <w:szCs w:val="20"/>
          <w:color w:val="auto"/>
        </w:rPr>
      </w:pPr>
      <w:r>
        <w:rPr>
          <w:rFonts w:ascii="Times New Roman" w:cs="Times New Roman" w:eastAsia="Times New Roman" w:hAnsi="Times New Roman"/>
          <w:sz w:val="22"/>
          <w:szCs w:val="22"/>
          <w:color w:val="auto"/>
        </w:rPr>
        <w:t>90.3.</w:t>
      </w:r>
      <w:r>
        <w:rPr>
          <w:sz w:val="20"/>
          <w:szCs w:val="20"/>
          <w:color w:val="auto"/>
        </w:rPr>
        <w:tab/>
      </w:r>
      <w:r>
        <w:rPr>
          <w:rFonts w:ascii="Times New Roman" w:cs="Times New Roman" w:eastAsia="Times New Roman" w:hAnsi="Times New Roman"/>
          <w:sz w:val="22"/>
          <w:szCs w:val="22"/>
          <w:color w:val="auto"/>
        </w:rPr>
        <w:t>No amount of compensation is payable in the event of any loss or damage being sustained which would have been so sustained regardless of the Commonwealth Action. No compensation is payable hereunder in respect of any additional areas included pursuant to this Agreement in the CAR Reserve System.</w:t>
      </w:r>
    </w:p>
    <w:p>
      <w:pPr>
        <w:spacing w:after="0" w:line="254" w:lineRule="exact"/>
        <w:rPr>
          <w:sz w:val="20"/>
          <w:szCs w:val="20"/>
          <w:color w:val="auto"/>
        </w:rPr>
      </w:pPr>
    </w:p>
    <w:p>
      <w:pPr>
        <w:jc w:val="both"/>
        <w:ind w:left="1440" w:hanging="873"/>
        <w:spacing w:after="0" w:line="237" w:lineRule="auto"/>
        <w:tabs>
          <w:tab w:leader="none" w:pos="1420" w:val="left"/>
        </w:tabs>
        <w:rPr>
          <w:sz w:val="20"/>
          <w:szCs w:val="20"/>
          <w:color w:val="auto"/>
        </w:rPr>
      </w:pPr>
      <w:r>
        <w:rPr>
          <w:rFonts w:ascii="Times New Roman" w:cs="Times New Roman" w:eastAsia="Times New Roman" w:hAnsi="Times New Roman"/>
          <w:sz w:val="22"/>
          <w:szCs w:val="22"/>
          <w:color w:val="auto"/>
        </w:rPr>
        <w:t>90.4.</w:t>
      </w:r>
      <w:r>
        <w:rPr>
          <w:sz w:val="20"/>
          <w:szCs w:val="20"/>
          <w:color w:val="auto"/>
        </w:rPr>
        <w:tab/>
      </w:r>
      <w:r>
        <w:rPr>
          <w:rFonts w:ascii="Times New Roman" w:cs="Times New Roman" w:eastAsia="Times New Roman" w:hAnsi="Times New Roman"/>
          <w:sz w:val="22"/>
          <w:szCs w:val="22"/>
          <w:color w:val="auto"/>
        </w:rPr>
        <w:t>The State warrants that no claim will be made in respect of areas where Forestry Operations or Mining Operations would not have been permitted by this Agreement and that any claims will be certified by it as being or not being in respect of such areas and as having been assessed by the State in this regard.</w:t>
      </w:r>
    </w:p>
    <w:p>
      <w:pPr>
        <w:spacing w:after="0" w:line="254" w:lineRule="exact"/>
        <w:rPr>
          <w:sz w:val="20"/>
          <w:szCs w:val="20"/>
          <w:color w:val="auto"/>
        </w:rPr>
      </w:pPr>
    </w:p>
    <w:p>
      <w:pPr>
        <w:jc w:val="both"/>
        <w:ind w:left="1440" w:hanging="873"/>
        <w:spacing w:after="0" w:line="237" w:lineRule="auto"/>
        <w:tabs>
          <w:tab w:leader="none" w:pos="1420" w:val="left"/>
        </w:tabs>
        <w:rPr>
          <w:sz w:val="20"/>
          <w:szCs w:val="20"/>
          <w:color w:val="auto"/>
        </w:rPr>
      </w:pPr>
      <w:r>
        <w:rPr>
          <w:rFonts w:ascii="Times New Roman" w:cs="Times New Roman" w:eastAsia="Times New Roman" w:hAnsi="Times New Roman"/>
          <w:sz w:val="22"/>
          <w:szCs w:val="22"/>
          <w:color w:val="auto"/>
        </w:rPr>
        <w:t>90.5.</w:t>
      </w:r>
      <w:r>
        <w:rPr>
          <w:sz w:val="20"/>
          <w:szCs w:val="20"/>
          <w:color w:val="auto"/>
        </w:rPr>
        <w:tab/>
      </w:r>
      <w:r>
        <w:rPr>
          <w:rFonts w:ascii="Times New Roman" w:cs="Times New Roman" w:eastAsia="Times New Roman" w:hAnsi="Times New Roman"/>
          <w:sz w:val="22"/>
          <w:szCs w:val="22"/>
          <w:color w:val="auto"/>
        </w:rPr>
        <w:t>The State warrants that no claim will be made in respect of Forest Products or Mining Products which would not have been available for sale or commercial use under this Agreement and that any claims will be certified by it as being or not being in respect of such Products and as having been assessed by the State in this regard.</w:t>
      </w: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45</w:t>
      </w:r>
    </w:p>
    <w:p>
      <w:pPr>
        <w:sectPr>
          <w:pgSz w:w="11900" w:h="16838" w:orient="portrait"/>
          <w:cols w:equalWidth="0" w:num="1">
            <w:col w:w="9200"/>
          </w:cols>
          <w:pgMar w:left="1440" w:top="1440" w:right="1266" w:bottom="149" w:gutter="0" w:footer="0" w:header="0"/>
        </w:sectPr>
      </w:pPr>
    </w:p>
    <w:bookmarkStart w:id="45" w:name="page46"/>
    <w:bookmarkEnd w:id="45"/>
    <w:p>
      <w:pPr>
        <w:spacing w:after="0" w:line="4" w:lineRule="exact"/>
        <w:rPr>
          <w:sz w:val="20"/>
          <w:szCs w:val="20"/>
          <w:color w:val="auto"/>
        </w:rPr>
      </w:pPr>
    </w:p>
    <w:p>
      <w:pPr>
        <w:jc w:val="both"/>
        <w:ind w:left="1440" w:hanging="873"/>
        <w:spacing w:after="0" w:line="236" w:lineRule="auto"/>
        <w:tabs>
          <w:tab w:leader="none" w:pos="1420" w:val="left"/>
        </w:tabs>
        <w:rPr>
          <w:sz w:val="20"/>
          <w:szCs w:val="20"/>
          <w:color w:val="auto"/>
        </w:rPr>
      </w:pPr>
      <w:r>
        <w:rPr>
          <w:rFonts w:ascii="Times New Roman" w:cs="Times New Roman" w:eastAsia="Times New Roman" w:hAnsi="Times New Roman"/>
          <w:sz w:val="22"/>
          <w:szCs w:val="22"/>
          <w:color w:val="auto"/>
        </w:rPr>
        <w:t>90.6.</w:t>
      </w:r>
      <w:r>
        <w:rPr>
          <w:sz w:val="20"/>
          <w:szCs w:val="20"/>
          <w:color w:val="auto"/>
        </w:rPr>
        <w:tab/>
      </w:r>
      <w:r>
        <w:rPr>
          <w:rFonts w:ascii="Times New Roman" w:cs="Times New Roman" w:eastAsia="Times New Roman" w:hAnsi="Times New Roman"/>
          <w:sz w:val="22"/>
          <w:szCs w:val="22"/>
          <w:color w:val="auto"/>
        </w:rPr>
        <w:t>The State undertakes to supply to the Commonwealth on request information, including as to areas protected by prescription, required by the Commonwealth for the purposes of considering claims under this clause.</w:t>
      </w:r>
    </w:p>
    <w:p>
      <w:pPr>
        <w:spacing w:after="0" w:line="252" w:lineRule="exact"/>
        <w:rPr>
          <w:sz w:val="20"/>
          <w:szCs w:val="20"/>
          <w:color w:val="auto"/>
        </w:rPr>
      </w:pPr>
    </w:p>
    <w:p>
      <w:pPr>
        <w:jc w:val="both"/>
        <w:ind w:left="1440" w:right="20" w:hanging="873"/>
        <w:spacing w:after="0" w:line="236" w:lineRule="auto"/>
        <w:tabs>
          <w:tab w:leader="none" w:pos="1420" w:val="left"/>
        </w:tabs>
        <w:rPr>
          <w:sz w:val="20"/>
          <w:szCs w:val="20"/>
          <w:color w:val="auto"/>
        </w:rPr>
      </w:pPr>
      <w:r>
        <w:rPr>
          <w:rFonts w:ascii="Times New Roman" w:cs="Times New Roman" w:eastAsia="Times New Roman" w:hAnsi="Times New Roman"/>
          <w:sz w:val="22"/>
          <w:szCs w:val="22"/>
          <w:color w:val="auto"/>
        </w:rPr>
        <w:t>90.7.</w:t>
      </w:r>
      <w:r>
        <w:rPr>
          <w:sz w:val="20"/>
          <w:szCs w:val="20"/>
          <w:color w:val="auto"/>
        </w:rPr>
        <w:tab/>
      </w:r>
      <w:r>
        <w:rPr>
          <w:rFonts w:ascii="Times New Roman" w:cs="Times New Roman" w:eastAsia="Times New Roman" w:hAnsi="Times New Roman"/>
          <w:sz w:val="22"/>
          <w:szCs w:val="22"/>
          <w:color w:val="auto"/>
        </w:rPr>
        <w:t>To the extent that clause 90.2 (b) relates to loss or damage in respect of an exploration licence or search permit, that clause is to be read as providing for compensation to be payable only:</w:t>
      </w:r>
    </w:p>
    <w:p>
      <w:pPr>
        <w:spacing w:after="0" w:line="252" w:lineRule="exact"/>
        <w:rPr>
          <w:sz w:val="20"/>
          <w:szCs w:val="20"/>
          <w:color w:val="auto"/>
        </w:rPr>
      </w:pPr>
    </w:p>
    <w:p>
      <w:pPr>
        <w:ind w:left="2140" w:hanging="712"/>
        <w:spacing w:after="0" w:line="235" w:lineRule="auto"/>
        <w:tabs>
          <w:tab w:leader="none" w:pos="2140" w:val="left"/>
        </w:tabs>
        <w:numPr>
          <w:ilvl w:val="0"/>
          <w:numId w:val="1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respect of the part of the area to which that licence or permit relates that is affected by the Commonwealth Action; and</w:t>
      </w:r>
    </w:p>
    <w:p>
      <w:pPr>
        <w:spacing w:after="0" w:line="250" w:lineRule="exact"/>
        <w:rPr>
          <w:rFonts w:ascii="Times New Roman" w:cs="Times New Roman" w:eastAsia="Times New Roman" w:hAnsi="Times New Roman"/>
          <w:sz w:val="22"/>
          <w:szCs w:val="22"/>
          <w:color w:val="auto"/>
        </w:rPr>
      </w:pPr>
    </w:p>
    <w:p>
      <w:pPr>
        <w:ind w:left="2140" w:right="20" w:hanging="712"/>
        <w:spacing w:after="0" w:line="235" w:lineRule="auto"/>
        <w:tabs>
          <w:tab w:leader="none" w:pos="2140" w:val="left"/>
        </w:tabs>
        <w:numPr>
          <w:ilvl w:val="0"/>
          <w:numId w:val="12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up to the loss in market value of that licence or permit resulting from the prevention of the Mining Operations.</w:t>
      </w:r>
    </w:p>
    <w:p>
      <w:pPr>
        <w:spacing w:after="0" w:line="252" w:lineRule="exact"/>
        <w:rPr>
          <w:sz w:val="20"/>
          <w:szCs w:val="20"/>
          <w:color w:val="auto"/>
        </w:rPr>
      </w:pPr>
    </w:p>
    <w:p>
      <w:pPr>
        <w:jc w:val="both"/>
        <w:ind w:left="1440" w:right="20" w:hanging="873"/>
        <w:spacing w:after="0" w:line="234" w:lineRule="auto"/>
        <w:tabs>
          <w:tab w:leader="none" w:pos="1420" w:val="left"/>
        </w:tabs>
        <w:rPr>
          <w:sz w:val="20"/>
          <w:szCs w:val="20"/>
          <w:color w:val="auto"/>
        </w:rPr>
      </w:pPr>
      <w:r>
        <w:rPr>
          <w:rFonts w:ascii="Times New Roman" w:cs="Times New Roman" w:eastAsia="Times New Roman" w:hAnsi="Times New Roman"/>
          <w:sz w:val="22"/>
          <w:szCs w:val="22"/>
          <w:color w:val="auto"/>
        </w:rPr>
        <w:t>90.8.</w:t>
      </w:r>
      <w:r>
        <w:rPr>
          <w:sz w:val="20"/>
          <w:szCs w:val="20"/>
          <w:color w:val="auto"/>
        </w:rPr>
        <w:tab/>
      </w:r>
      <w:r>
        <w:rPr>
          <w:rFonts w:ascii="Times New Roman" w:cs="Times New Roman" w:eastAsia="Times New Roman" w:hAnsi="Times New Roman"/>
          <w:sz w:val="22"/>
          <w:szCs w:val="22"/>
          <w:color w:val="auto"/>
        </w:rPr>
        <w:t>Any claim made by the State hereunder is to be notified in writing within 6 months after the loss or damage is sustained.</w:t>
      </w:r>
    </w:p>
    <w:p>
      <w:pPr>
        <w:spacing w:after="0" w:line="253" w:lineRule="exact"/>
        <w:rPr>
          <w:sz w:val="20"/>
          <w:szCs w:val="20"/>
          <w:color w:val="auto"/>
        </w:rPr>
      </w:pPr>
    </w:p>
    <w:p>
      <w:pPr>
        <w:jc w:val="both"/>
        <w:ind w:left="1440" w:hanging="873"/>
        <w:spacing w:after="0" w:line="237" w:lineRule="auto"/>
        <w:tabs>
          <w:tab w:leader="none" w:pos="1420" w:val="left"/>
        </w:tabs>
        <w:rPr>
          <w:sz w:val="20"/>
          <w:szCs w:val="20"/>
          <w:color w:val="auto"/>
        </w:rPr>
      </w:pPr>
      <w:r>
        <w:rPr>
          <w:rFonts w:ascii="Times New Roman" w:cs="Times New Roman" w:eastAsia="Times New Roman" w:hAnsi="Times New Roman"/>
          <w:sz w:val="22"/>
          <w:szCs w:val="22"/>
          <w:color w:val="auto"/>
        </w:rPr>
        <w:t>90.9.</w:t>
      </w:r>
      <w:r>
        <w:rPr>
          <w:sz w:val="20"/>
          <w:szCs w:val="20"/>
          <w:color w:val="auto"/>
        </w:rPr>
        <w:tab/>
      </w:r>
      <w:r>
        <w:rPr>
          <w:rFonts w:ascii="Times New Roman" w:cs="Times New Roman" w:eastAsia="Times New Roman" w:hAnsi="Times New Roman"/>
          <w:sz w:val="22"/>
          <w:szCs w:val="22"/>
          <w:color w:val="auto"/>
        </w:rPr>
        <w:t>For the purposes of clause 90.1(e), the intention to conduct Forestry Operations is to be established on the basis of contracts, documentation of management history or other records establishing clear intent and in existence immediately prior to the announcement of the proposed Commonwealth Action.</w:t>
      </w:r>
    </w:p>
    <w:p>
      <w:pPr>
        <w:spacing w:after="0" w:line="254" w:lineRule="exact"/>
        <w:rPr>
          <w:sz w:val="20"/>
          <w:szCs w:val="20"/>
          <w:color w:val="auto"/>
        </w:rPr>
      </w:pPr>
    </w:p>
    <w:p>
      <w:pPr>
        <w:jc w:val="both"/>
        <w:ind w:left="1440" w:right="20" w:hanging="873"/>
        <w:spacing w:after="0" w:line="237" w:lineRule="auto"/>
        <w:tabs>
          <w:tab w:leader="none" w:pos="1420" w:val="left"/>
        </w:tabs>
        <w:rPr>
          <w:sz w:val="20"/>
          <w:szCs w:val="20"/>
          <w:color w:val="auto"/>
        </w:rPr>
      </w:pPr>
      <w:r>
        <w:rPr>
          <w:rFonts w:ascii="Times New Roman" w:cs="Times New Roman" w:eastAsia="Times New Roman" w:hAnsi="Times New Roman"/>
          <w:sz w:val="22"/>
          <w:szCs w:val="22"/>
          <w:color w:val="auto"/>
        </w:rPr>
        <w:t>90.10.</w:t>
      </w:r>
      <w:r>
        <w:rPr>
          <w:sz w:val="20"/>
          <w:szCs w:val="20"/>
          <w:color w:val="auto"/>
        </w:rPr>
        <w:tab/>
      </w:r>
      <w:r>
        <w:rPr>
          <w:rFonts w:ascii="Times New Roman" w:cs="Times New Roman" w:eastAsia="Times New Roman" w:hAnsi="Times New Roman"/>
          <w:sz w:val="22"/>
          <w:szCs w:val="22"/>
          <w:color w:val="auto"/>
        </w:rPr>
        <w:t>For the purposes of clause 90.1(f), the purpose for which there was an intention to sell or use commercially is to be established on the basis of contracts, documentation of management history or other records establishing clear intent and in existence immediately prior to the announcement of the proposed Commonwealth Action.</w:t>
      </w:r>
    </w:p>
    <w:p>
      <w:pPr>
        <w:spacing w:after="0" w:line="252" w:lineRule="exact"/>
        <w:rPr>
          <w:sz w:val="20"/>
          <w:szCs w:val="20"/>
          <w:color w:val="auto"/>
        </w:rPr>
      </w:pPr>
    </w:p>
    <w:p>
      <w:pPr>
        <w:jc w:val="both"/>
        <w:ind w:left="1440" w:right="20" w:hanging="873"/>
        <w:spacing w:after="0" w:line="237" w:lineRule="auto"/>
        <w:tabs>
          <w:tab w:leader="none" w:pos="1420" w:val="left"/>
        </w:tabs>
        <w:rPr>
          <w:sz w:val="20"/>
          <w:szCs w:val="20"/>
          <w:color w:val="auto"/>
        </w:rPr>
      </w:pPr>
      <w:r>
        <w:rPr>
          <w:rFonts w:ascii="Times New Roman" w:cs="Times New Roman" w:eastAsia="Times New Roman" w:hAnsi="Times New Roman"/>
          <w:sz w:val="22"/>
          <w:szCs w:val="22"/>
          <w:color w:val="auto"/>
        </w:rPr>
        <w:t>90.11.</w:t>
      </w:r>
      <w:r>
        <w:rPr>
          <w:sz w:val="20"/>
          <w:szCs w:val="20"/>
          <w:color w:val="auto"/>
        </w:rPr>
        <w:tab/>
      </w:r>
      <w:r>
        <w:rPr>
          <w:rFonts w:ascii="Times New Roman" w:cs="Times New Roman" w:eastAsia="Times New Roman" w:hAnsi="Times New Roman"/>
          <w:sz w:val="22"/>
          <w:szCs w:val="22"/>
          <w:color w:val="auto"/>
        </w:rPr>
        <w:t>No compensation is payable under clause 90.2 in relation to any loss or damage which the person who sustained the loss or damage might have avoided by taking reasonable steps in mitigation including by the making of alternative contractual arrangements which would have avoided or reduced that loss or damage.</w:t>
      </w:r>
    </w:p>
    <w:p>
      <w:pPr>
        <w:spacing w:after="0" w:line="254" w:lineRule="exact"/>
        <w:rPr>
          <w:sz w:val="20"/>
          <w:szCs w:val="20"/>
          <w:color w:val="auto"/>
        </w:rPr>
      </w:pPr>
    </w:p>
    <w:p>
      <w:pPr>
        <w:jc w:val="both"/>
        <w:ind w:left="1440" w:hanging="873"/>
        <w:spacing w:after="0" w:line="234" w:lineRule="auto"/>
        <w:tabs>
          <w:tab w:leader="none" w:pos="1420" w:val="left"/>
        </w:tabs>
        <w:rPr>
          <w:sz w:val="20"/>
          <w:szCs w:val="20"/>
          <w:color w:val="auto"/>
        </w:rPr>
      </w:pPr>
      <w:r>
        <w:rPr>
          <w:rFonts w:ascii="Times New Roman" w:cs="Times New Roman" w:eastAsia="Times New Roman" w:hAnsi="Times New Roman"/>
          <w:sz w:val="22"/>
          <w:szCs w:val="22"/>
          <w:color w:val="auto"/>
        </w:rPr>
        <w:t>90.12.</w:t>
      </w:r>
      <w:r>
        <w:rPr>
          <w:sz w:val="20"/>
          <w:szCs w:val="20"/>
          <w:color w:val="auto"/>
        </w:rPr>
        <w:tab/>
      </w:r>
      <w:r>
        <w:rPr>
          <w:rFonts w:ascii="Times New Roman" w:cs="Times New Roman" w:eastAsia="Times New Roman" w:hAnsi="Times New Roman"/>
          <w:sz w:val="22"/>
          <w:szCs w:val="22"/>
          <w:color w:val="auto"/>
        </w:rPr>
        <w:t>Clause 90.2 does not apply so as to entitle the State to recover compensation more than once in respect of the same loss or damage.</w:t>
      </w:r>
    </w:p>
    <w:p>
      <w:pPr>
        <w:spacing w:after="0" w:line="253" w:lineRule="exact"/>
        <w:rPr>
          <w:sz w:val="20"/>
          <w:szCs w:val="20"/>
          <w:color w:val="auto"/>
        </w:rPr>
      </w:pPr>
    </w:p>
    <w:p>
      <w:pPr>
        <w:jc w:val="both"/>
        <w:ind w:left="1440" w:right="20" w:hanging="873"/>
        <w:spacing w:after="0" w:line="234" w:lineRule="auto"/>
        <w:tabs>
          <w:tab w:leader="none" w:pos="1420" w:val="left"/>
        </w:tabs>
        <w:rPr>
          <w:sz w:val="20"/>
          <w:szCs w:val="20"/>
          <w:color w:val="auto"/>
        </w:rPr>
      </w:pPr>
      <w:r>
        <w:rPr>
          <w:rFonts w:ascii="Times New Roman" w:cs="Times New Roman" w:eastAsia="Times New Roman" w:hAnsi="Times New Roman"/>
          <w:sz w:val="22"/>
          <w:szCs w:val="22"/>
          <w:color w:val="auto"/>
        </w:rPr>
        <w:t>90.13.</w:t>
      </w:r>
      <w:r>
        <w:rPr>
          <w:sz w:val="20"/>
          <w:szCs w:val="20"/>
          <w:color w:val="auto"/>
        </w:rPr>
        <w:tab/>
      </w:r>
      <w:r>
        <w:rPr>
          <w:rFonts w:ascii="Times New Roman" w:cs="Times New Roman" w:eastAsia="Times New Roman" w:hAnsi="Times New Roman"/>
          <w:sz w:val="22"/>
          <w:szCs w:val="22"/>
          <w:color w:val="auto"/>
        </w:rPr>
        <w:t>The initial procedure in relation to a claim for compensation under this clause is as follows:</w:t>
      </w:r>
    </w:p>
    <w:p>
      <w:pPr>
        <w:spacing w:after="0" w:line="251" w:lineRule="exact"/>
        <w:rPr>
          <w:sz w:val="20"/>
          <w:szCs w:val="20"/>
          <w:color w:val="auto"/>
        </w:rPr>
      </w:pPr>
    </w:p>
    <w:p>
      <w:pPr>
        <w:jc w:val="both"/>
        <w:ind w:left="2140" w:hanging="712"/>
        <w:spacing w:after="0" w:line="237" w:lineRule="auto"/>
        <w:tabs>
          <w:tab w:leader="none" w:pos="2140" w:val="left"/>
        </w:tabs>
        <w:numPr>
          <w:ilvl w:val="0"/>
          <w:numId w:val="1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State is to make the claim for compensation by a notice in writing to the Commonwealth which indicates the amount claimed, for whom the claim is made, the area to which it relates and gives detailed particulars of the basis for the claim, and of the manner in which it has been calculated.</w:t>
      </w:r>
    </w:p>
    <w:p>
      <w:pPr>
        <w:spacing w:after="0" w:line="253" w:lineRule="exact"/>
        <w:rPr>
          <w:rFonts w:ascii="Times New Roman" w:cs="Times New Roman" w:eastAsia="Times New Roman" w:hAnsi="Times New Roman"/>
          <w:sz w:val="22"/>
          <w:szCs w:val="22"/>
          <w:color w:val="auto"/>
        </w:rPr>
      </w:pPr>
    </w:p>
    <w:p>
      <w:pPr>
        <w:jc w:val="both"/>
        <w:ind w:left="2140" w:hanging="712"/>
        <w:spacing w:after="0" w:line="237" w:lineRule="auto"/>
        <w:tabs>
          <w:tab w:leader="none" w:pos="2140" w:val="left"/>
        </w:tabs>
        <w:numPr>
          <w:ilvl w:val="0"/>
          <w:numId w:val="1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there is a dispute concerning a claim for compensation, or on or before the expiry of thirty days after the receipt of a claim, the Commonwealth notifies the State that it does not accept the amount claimed then either Party may serve a notice of dispute under clause 10.</w:t>
      </w:r>
    </w:p>
    <w:p>
      <w:pPr>
        <w:spacing w:after="0" w:line="253" w:lineRule="exact"/>
        <w:rPr>
          <w:rFonts w:ascii="Times New Roman" w:cs="Times New Roman" w:eastAsia="Times New Roman" w:hAnsi="Times New Roman"/>
          <w:sz w:val="22"/>
          <w:szCs w:val="22"/>
          <w:color w:val="auto"/>
        </w:rPr>
      </w:pPr>
    </w:p>
    <w:p>
      <w:pPr>
        <w:jc w:val="both"/>
        <w:ind w:left="2140" w:hanging="712"/>
        <w:spacing w:after="0" w:line="238" w:lineRule="auto"/>
        <w:tabs>
          <w:tab w:leader="none" w:pos="2140" w:val="left"/>
        </w:tabs>
        <w:numPr>
          <w:ilvl w:val="0"/>
          <w:numId w:val="12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In the event that the amount of compensation payable in response to a claim has not been agreed in the dispute resolution process for which clauses 10 to 14 provide, or the Commonwealth fails to pay the agreed amount of compensation to the State within 60 days of agreement (for reasons other than lack of the necessary appropriation), the Parties hereby refer the claim to arbitration in accordance with the </w:t>
      </w:r>
      <w:r>
        <w:rPr>
          <w:rFonts w:ascii="Times New Roman" w:cs="Times New Roman" w:eastAsia="Times New Roman" w:hAnsi="Times New Roman"/>
          <w:sz w:val="22"/>
          <w:szCs w:val="22"/>
          <w:i w:val="1"/>
          <w:iCs w:val="1"/>
          <w:color w:val="auto"/>
        </w:rPr>
        <w:t>Commercial Arbitration Act 2011</w:t>
      </w:r>
      <w:r>
        <w:rPr>
          <w:rFonts w:ascii="Times New Roman" w:cs="Times New Roman" w:eastAsia="Times New Roman" w:hAnsi="Times New Roman"/>
          <w:sz w:val="22"/>
          <w:szCs w:val="22"/>
          <w:color w:val="auto"/>
        </w:rPr>
        <w:t xml:space="preserve"> (Vic).</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46</w:t>
      </w:r>
    </w:p>
    <w:p>
      <w:pPr>
        <w:sectPr>
          <w:pgSz w:w="11900" w:h="16838" w:orient="portrait"/>
          <w:cols w:equalWidth="0" w:num="1">
            <w:col w:w="9200"/>
          </w:cols>
          <w:pgMar w:left="1440" w:top="1440" w:right="1266" w:bottom="149" w:gutter="0" w:footer="0" w:header="0"/>
        </w:sectPr>
      </w:pPr>
    </w:p>
    <w:bookmarkStart w:id="46" w:name="page47"/>
    <w:bookmarkEnd w:id="46"/>
    <w:p>
      <w:pPr>
        <w:ind w:left="560"/>
        <w:spacing w:after="0"/>
        <w:tabs>
          <w:tab w:leader="none" w:pos="1420" w:val="left"/>
        </w:tabs>
        <w:rPr>
          <w:sz w:val="20"/>
          <w:szCs w:val="20"/>
          <w:color w:val="auto"/>
        </w:rPr>
      </w:pPr>
      <w:r>
        <w:rPr>
          <w:rFonts w:ascii="Times New Roman" w:cs="Times New Roman" w:eastAsia="Times New Roman" w:hAnsi="Times New Roman"/>
          <w:sz w:val="22"/>
          <w:szCs w:val="22"/>
          <w:color w:val="auto"/>
        </w:rPr>
        <w:t>90.14.</w:t>
      </w:r>
      <w:r>
        <w:rPr>
          <w:sz w:val="20"/>
          <w:szCs w:val="20"/>
          <w:color w:val="auto"/>
        </w:rPr>
        <w:tab/>
      </w:r>
      <w:r>
        <w:rPr>
          <w:rFonts w:ascii="Times New Roman" w:cs="Times New Roman" w:eastAsia="Times New Roman" w:hAnsi="Times New Roman"/>
          <w:sz w:val="21"/>
          <w:szCs w:val="21"/>
          <w:color w:val="auto"/>
        </w:rPr>
        <w:t>The procedure in relation to any arbitration required by reason of the provisions of clause</w:t>
      </w:r>
    </w:p>
    <w:p>
      <w:pPr>
        <w:ind w:left="1440"/>
        <w:spacing w:after="0"/>
        <w:rPr>
          <w:sz w:val="20"/>
          <w:szCs w:val="20"/>
          <w:color w:val="auto"/>
        </w:rPr>
      </w:pPr>
      <w:r>
        <w:rPr>
          <w:rFonts w:ascii="Times New Roman" w:cs="Times New Roman" w:eastAsia="Times New Roman" w:hAnsi="Times New Roman"/>
          <w:sz w:val="22"/>
          <w:szCs w:val="22"/>
          <w:color w:val="auto"/>
        </w:rPr>
        <w:t>90.13 is as follows:</w:t>
      </w:r>
    </w:p>
    <w:p>
      <w:pPr>
        <w:spacing w:after="0" w:line="252" w:lineRule="exact"/>
        <w:rPr>
          <w:sz w:val="20"/>
          <w:szCs w:val="20"/>
          <w:color w:val="auto"/>
        </w:rPr>
      </w:pPr>
    </w:p>
    <w:p>
      <w:pPr>
        <w:ind w:left="2140" w:right="20" w:hanging="712"/>
        <w:spacing w:after="0" w:line="234" w:lineRule="auto"/>
        <w:tabs>
          <w:tab w:leader="none" w:pos="2140" w:val="left"/>
        </w:tabs>
        <w:numPr>
          <w:ilvl w:val="0"/>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must meet to appoint an arbitrator within 7 days of an unsuccessful mediation.</w:t>
      </w:r>
    </w:p>
    <w:p>
      <w:pPr>
        <w:spacing w:after="0" w:line="253" w:lineRule="exact"/>
        <w:rPr>
          <w:rFonts w:ascii="Times New Roman" w:cs="Times New Roman" w:eastAsia="Times New Roman" w:hAnsi="Times New Roman"/>
          <w:sz w:val="22"/>
          <w:szCs w:val="22"/>
          <w:color w:val="auto"/>
        </w:rPr>
      </w:pPr>
    </w:p>
    <w:p>
      <w:pPr>
        <w:jc w:val="both"/>
        <w:ind w:left="2140" w:hanging="712"/>
        <w:spacing w:after="0" w:line="237" w:lineRule="auto"/>
        <w:tabs>
          <w:tab w:leader="none" w:pos="2140" w:val="left"/>
        </w:tabs>
        <w:numPr>
          <w:ilvl w:val="0"/>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the Parties are unable to agree on the appointment of an arbitrator, either of them may refer the matter to the President of the Law Council of Australia, or equivalent officer of such body as in future may have the functions of the Law Council of Australia, with a request that that person appoint an arbitrator.</w:t>
      </w:r>
    </w:p>
    <w:p>
      <w:pPr>
        <w:spacing w:after="0" w:line="239" w:lineRule="exact"/>
        <w:rPr>
          <w:rFonts w:ascii="Times New Roman" w:cs="Times New Roman" w:eastAsia="Times New Roman" w:hAnsi="Times New Roman"/>
          <w:sz w:val="22"/>
          <w:szCs w:val="22"/>
          <w:color w:val="auto"/>
        </w:rPr>
      </w:pPr>
    </w:p>
    <w:p>
      <w:pPr>
        <w:ind w:left="2140" w:hanging="712"/>
        <w:spacing w:after="0"/>
        <w:tabs>
          <w:tab w:leader="none" w:pos="2140" w:val="left"/>
        </w:tabs>
        <w:numPr>
          <w:ilvl w:val="0"/>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At an arbitration under this clause:</w:t>
      </w:r>
    </w:p>
    <w:p>
      <w:pPr>
        <w:spacing w:after="0" w:line="253" w:lineRule="exact"/>
        <w:rPr>
          <w:rFonts w:ascii="Times New Roman" w:cs="Times New Roman" w:eastAsia="Times New Roman" w:hAnsi="Times New Roman"/>
          <w:sz w:val="22"/>
          <w:szCs w:val="22"/>
          <w:color w:val="auto"/>
        </w:rPr>
      </w:pPr>
    </w:p>
    <w:p>
      <w:pPr>
        <w:ind w:left="2840" w:hanging="703"/>
        <w:spacing w:after="0" w:line="234" w:lineRule="auto"/>
        <w:tabs>
          <w:tab w:leader="none" w:pos="2840" w:val="left"/>
        </w:tabs>
        <w:numPr>
          <w:ilvl w:val="1"/>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are entitled to representation by a legal practitioner qualified to practice in any State or Territory of Australia;</w:t>
      </w:r>
    </w:p>
    <w:p>
      <w:pPr>
        <w:spacing w:after="0" w:line="250" w:lineRule="exact"/>
        <w:rPr>
          <w:rFonts w:ascii="Times New Roman" w:cs="Times New Roman" w:eastAsia="Times New Roman" w:hAnsi="Times New Roman"/>
          <w:sz w:val="22"/>
          <w:szCs w:val="22"/>
          <w:color w:val="auto"/>
        </w:rPr>
      </w:pPr>
    </w:p>
    <w:p>
      <w:pPr>
        <w:ind w:left="2840" w:right="20" w:hanging="703"/>
        <w:spacing w:after="0" w:line="235" w:lineRule="auto"/>
        <w:tabs>
          <w:tab w:leader="none" w:pos="2840" w:val="left"/>
        </w:tabs>
        <w:numPr>
          <w:ilvl w:val="1"/>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arbitrator may order the Parties to discover any relevant documents prior to the hearing;</w:t>
      </w:r>
    </w:p>
    <w:p>
      <w:pPr>
        <w:spacing w:after="0" w:line="250" w:lineRule="exact"/>
        <w:rPr>
          <w:rFonts w:ascii="Times New Roman" w:cs="Times New Roman" w:eastAsia="Times New Roman" w:hAnsi="Times New Roman"/>
          <w:sz w:val="22"/>
          <w:szCs w:val="22"/>
          <w:color w:val="auto"/>
        </w:rPr>
      </w:pPr>
    </w:p>
    <w:p>
      <w:pPr>
        <w:ind w:left="2840" w:right="20" w:hanging="703"/>
        <w:spacing w:after="0" w:line="235" w:lineRule="auto"/>
        <w:tabs>
          <w:tab w:leader="none" w:pos="2840" w:val="left"/>
        </w:tabs>
        <w:numPr>
          <w:ilvl w:val="1"/>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arbitrator may order the Parties to exchange proofs of evidence of witnesses (whether expert or not) prior to the hearing;</w:t>
      </w:r>
    </w:p>
    <w:p>
      <w:pPr>
        <w:spacing w:after="0" w:line="250" w:lineRule="exact"/>
        <w:rPr>
          <w:rFonts w:ascii="Times New Roman" w:cs="Times New Roman" w:eastAsia="Times New Roman" w:hAnsi="Times New Roman"/>
          <w:sz w:val="22"/>
          <w:szCs w:val="22"/>
          <w:color w:val="auto"/>
        </w:rPr>
      </w:pPr>
    </w:p>
    <w:p>
      <w:pPr>
        <w:jc w:val="both"/>
        <w:ind w:left="2840" w:hanging="703"/>
        <w:spacing w:after="0" w:line="238" w:lineRule="auto"/>
        <w:tabs>
          <w:tab w:leader="none" w:pos="2840" w:val="left"/>
        </w:tabs>
        <w:numPr>
          <w:ilvl w:val="1"/>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arbitrator may, in accordance with the </w:t>
      </w:r>
      <w:r>
        <w:rPr>
          <w:rFonts w:ascii="Times New Roman" w:cs="Times New Roman" w:eastAsia="Times New Roman" w:hAnsi="Times New Roman"/>
          <w:sz w:val="22"/>
          <w:szCs w:val="22"/>
          <w:i w:val="1"/>
          <w:iCs w:val="1"/>
          <w:color w:val="auto"/>
        </w:rPr>
        <w:t>Commercial Arbitration Act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2011 </w:t>
      </w:r>
      <w:r>
        <w:rPr>
          <w:rFonts w:ascii="Times New Roman" w:cs="Times New Roman" w:eastAsia="Times New Roman" w:hAnsi="Times New Roman"/>
          <w:sz w:val="22"/>
          <w:szCs w:val="22"/>
          <w:color w:val="auto"/>
        </w:rPr>
        <w:t>(Vic), inform himself or herself in relation to any matter in such</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manner as the arbitrator thinks fit; provided that if the arbitrator takes advice from any person who is not a Party to this Agreement as to the matters in issue, the arbitrator must provide the Parties with an opportunity to:</w:t>
      </w:r>
    </w:p>
    <w:p>
      <w:pPr>
        <w:spacing w:after="0" w:line="134" w:lineRule="exact"/>
        <w:rPr>
          <w:rFonts w:ascii="Times New Roman" w:cs="Times New Roman" w:eastAsia="Times New Roman" w:hAnsi="Times New Roman"/>
          <w:sz w:val="22"/>
          <w:szCs w:val="22"/>
          <w:color w:val="auto"/>
        </w:rPr>
      </w:pPr>
    </w:p>
    <w:p>
      <w:pPr>
        <w:ind w:left="3600" w:right="20" w:hanging="753"/>
        <w:spacing w:after="0" w:line="234" w:lineRule="auto"/>
        <w:tabs>
          <w:tab w:leader="none" w:pos="3600" w:val="left"/>
        </w:tabs>
        <w:numPr>
          <w:ilvl w:val="2"/>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make submissions on the matter in which the advice is to be taken;</w:t>
      </w:r>
    </w:p>
    <w:p>
      <w:pPr>
        <w:spacing w:after="0" w:line="10" w:lineRule="exact"/>
        <w:rPr>
          <w:rFonts w:ascii="Times New Roman" w:cs="Times New Roman" w:eastAsia="Times New Roman" w:hAnsi="Times New Roman"/>
          <w:sz w:val="22"/>
          <w:szCs w:val="22"/>
          <w:color w:val="auto"/>
        </w:rPr>
      </w:pPr>
    </w:p>
    <w:p>
      <w:pPr>
        <w:ind w:left="3600" w:right="20" w:hanging="753"/>
        <w:spacing w:after="0" w:line="235" w:lineRule="auto"/>
        <w:tabs>
          <w:tab w:leader="none" w:pos="3600" w:val="left"/>
        </w:tabs>
        <w:numPr>
          <w:ilvl w:val="2"/>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make submissions on the identity of the person from whom the advice is to be taken;</w:t>
      </w:r>
    </w:p>
    <w:p>
      <w:pPr>
        <w:spacing w:after="0" w:line="10" w:lineRule="exact"/>
        <w:rPr>
          <w:rFonts w:ascii="Times New Roman" w:cs="Times New Roman" w:eastAsia="Times New Roman" w:hAnsi="Times New Roman"/>
          <w:sz w:val="22"/>
          <w:szCs w:val="22"/>
          <w:color w:val="auto"/>
        </w:rPr>
      </w:pPr>
    </w:p>
    <w:p>
      <w:pPr>
        <w:ind w:left="3600" w:hanging="753"/>
        <w:spacing w:after="0" w:line="235" w:lineRule="auto"/>
        <w:tabs>
          <w:tab w:leader="none" w:pos="3600" w:val="left"/>
        </w:tabs>
        <w:numPr>
          <w:ilvl w:val="2"/>
          <w:numId w:val="13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make submission on the substance of any advice given before making any decision on the issue on which the advice is taken.</w:t>
      </w:r>
    </w:p>
    <w:p>
      <w:pPr>
        <w:spacing w:after="0" w:line="251" w:lineRule="exact"/>
        <w:rPr>
          <w:sz w:val="20"/>
          <w:szCs w:val="20"/>
          <w:color w:val="auto"/>
        </w:rPr>
      </w:pPr>
    </w:p>
    <w:p>
      <w:pPr>
        <w:jc w:val="both"/>
        <w:ind w:left="1440" w:hanging="873"/>
        <w:spacing w:after="0" w:line="237" w:lineRule="auto"/>
        <w:tabs>
          <w:tab w:leader="none" w:pos="1420" w:val="left"/>
        </w:tabs>
        <w:rPr>
          <w:sz w:val="20"/>
          <w:szCs w:val="20"/>
          <w:color w:val="auto"/>
        </w:rPr>
      </w:pPr>
      <w:r>
        <w:rPr>
          <w:rFonts w:ascii="Times New Roman" w:cs="Times New Roman" w:eastAsia="Times New Roman" w:hAnsi="Times New Roman"/>
          <w:sz w:val="22"/>
          <w:szCs w:val="22"/>
          <w:color w:val="auto"/>
        </w:rPr>
        <w:t>90.15.</w:t>
      </w:r>
      <w:r>
        <w:rPr>
          <w:sz w:val="20"/>
          <w:szCs w:val="20"/>
          <w:color w:val="auto"/>
        </w:rPr>
        <w:tab/>
      </w:r>
      <w:r>
        <w:rPr>
          <w:rFonts w:ascii="Times New Roman" w:cs="Times New Roman" w:eastAsia="Times New Roman" w:hAnsi="Times New Roman"/>
          <w:sz w:val="22"/>
          <w:szCs w:val="22"/>
          <w:color w:val="auto"/>
        </w:rPr>
        <w:t xml:space="preserve">Unless the Commonwealth appeals the decision of the arbitrator under the </w:t>
      </w:r>
      <w:r>
        <w:rPr>
          <w:rFonts w:ascii="Times New Roman" w:cs="Times New Roman" w:eastAsia="Times New Roman" w:hAnsi="Times New Roman"/>
          <w:sz w:val="22"/>
          <w:szCs w:val="22"/>
          <w:i w:val="1"/>
          <w:iCs w:val="1"/>
          <w:color w:val="auto"/>
        </w:rPr>
        <w:t>Commercial</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 xml:space="preserve">Arbitration Act 2011 </w:t>
      </w:r>
      <w:r>
        <w:rPr>
          <w:rFonts w:ascii="Times New Roman" w:cs="Times New Roman" w:eastAsia="Times New Roman" w:hAnsi="Times New Roman"/>
          <w:sz w:val="22"/>
          <w:szCs w:val="22"/>
          <w:color w:val="auto"/>
        </w:rPr>
        <w:t>(Vic), and subject to clause 90.18, the Commonwealth undertakes</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color w:val="auto"/>
        </w:rPr>
        <w:t>to pay the State the amount of any award made by an arbitrator under clause 90.14 as a debt due to the State, within 60 days of the award.</w:t>
      </w:r>
    </w:p>
    <w:p>
      <w:pPr>
        <w:spacing w:after="0" w:line="254" w:lineRule="exact"/>
        <w:rPr>
          <w:sz w:val="20"/>
          <w:szCs w:val="20"/>
          <w:color w:val="auto"/>
        </w:rPr>
      </w:pPr>
    </w:p>
    <w:p>
      <w:pPr>
        <w:jc w:val="both"/>
        <w:ind w:left="1440" w:hanging="873"/>
        <w:spacing w:after="0" w:line="237" w:lineRule="auto"/>
        <w:tabs>
          <w:tab w:leader="none" w:pos="1420" w:val="left"/>
        </w:tabs>
        <w:rPr>
          <w:sz w:val="20"/>
          <w:szCs w:val="20"/>
          <w:color w:val="auto"/>
        </w:rPr>
      </w:pPr>
      <w:r>
        <w:rPr>
          <w:rFonts w:ascii="Times New Roman" w:cs="Times New Roman" w:eastAsia="Times New Roman" w:hAnsi="Times New Roman"/>
          <w:sz w:val="22"/>
          <w:szCs w:val="22"/>
          <w:color w:val="auto"/>
        </w:rPr>
        <w:t>90.16.</w:t>
      </w:r>
      <w:r>
        <w:rPr>
          <w:sz w:val="20"/>
          <w:szCs w:val="20"/>
          <w:color w:val="auto"/>
        </w:rPr>
        <w:tab/>
      </w:r>
      <w:r>
        <w:rPr>
          <w:rFonts w:ascii="Times New Roman" w:cs="Times New Roman" w:eastAsia="Times New Roman" w:hAnsi="Times New Roman"/>
          <w:sz w:val="22"/>
          <w:szCs w:val="22"/>
          <w:color w:val="auto"/>
        </w:rPr>
        <w:t xml:space="preserve">Except where the State is the person who sustained the relevant loss or damage, any payment of </w:t>
      </w:r>
      <w:r>
        <w:rPr>
          <w:rFonts w:ascii="Times New Roman" w:cs="Times New Roman" w:eastAsia="Times New Roman" w:hAnsi="Times New Roman"/>
          <w:sz w:val="22"/>
          <w:szCs w:val="22"/>
          <w:i w:val="1"/>
          <w:iCs w:val="1"/>
          <w:color w:val="auto"/>
        </w:rPr>
        <w:t>compensation</w:t>
      </w:r>
      <w:r>
        <w:rPr>
          <w:rFonts w:ascii="Times New Roman" w:cs="Times New Roman" w:eastAsia="Times New Roman" w:hAnsi="Times New Roman"/>
          <w:sz w:val="22"/>
          <w:szCs w:val="22"/>
          <w:color w:val="auto"/>
        </w:rPr>
        <w:t xml:space="preserve"> made by the Commonwealth to the State in accordance with this clause will be paid to and received by the State as trustee for the person who sustained the relevant loss or damage.</w:t>
      </w:r>
    </w:p>
    <w:p>
      <w:pPr>
        <w:spacing w:after="0" w:line="251" w:lineRule="exact"/>
        <w:rPr>
          <w:sz w:val="20"/>
          <w:szCs w:val="20"/>
          <w:color w:val="auto"/>
        </w:rPr>
      </w:pPr>
    </w:p>
    <w:p>
      <w:pPr>
        <w:jc w:val="both"/>
        <w:ind w:left="1440" w:hanging="873"/>
        <w:spacing w:after="0" w:line="236" w:lineRule="auto"/>
        <w:tabs>
          <w:tab w:leader="none" w:pos="1420" w:val="left"/>
        </w:tabs>
        <w:rPr>
          <w:sz w:val="20"/>
          <w:szCs w:val="20"/>
          <w:color w:val="auto"/>
        </w:rPr>
      </w:pPr>
      <w:r>
        <w:rPr>
          <w:rFonts w:ascii="Times New Roman" w:cs="Times New Roman" w:eastAsia="Times New Roman" w:hAnsi="Times New Roman"/>
          <w:sz w:val="22"/>
          <w:szCs w:val="22"/>
          <w:color w:val="auto"/>
        </w:rPr>
        <w:t>90.17.</w:t>
      </w:r>
      <w:r>
        <w:rPr>
          <w:sz w:val="20"/>
          <w:szCs w:val="20"/>
          <w:color w:val="auto"/>
        </w:rPr>
        <w:tab/>
      </w:r>
      <w:r>
        <w:rPr>
          <w:rFonts w:ascii="Times New Roman" w:cs="Times New Roman" w:eastAsia="Times New Roman" w:hAnsi="Times New Roman"/>
          <w:sz w:val="22"/>
          <w:szCs w:val="22"/>
          <w:color w:val="auto"/>
        </w:rPr>
        <w:t>Subject to clause 90.18(b), where the State receives monies as a trustee pursuant to clause 90.16, it will pay those monies to the person who sustained the relevant loss or damage within 30 days.</w:t>
      </w:r>
    </w:p>
    <w:p>
      <w:pPr>
        <w:spacing w:after="0" w:line="241"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2"/>
          <w:szCs w:val="22"/>
          <w:color w:val="auto"/>
        </w:rPr>
        <w:t>90.18.</w:t>
      </w:r>
    </w:p>
    <w:p>
      <w:pPr>
        <w:spacing w:after="0" w:line="253" w:lineRule="exact"/>
        <w:rPr>
          <w:sz w:val="20"/>
          <w:szCs w:val="20"/>
          <w:color w:val="auto"/>
        </w:rPr>
      </w:pPr>
    </w:p>
    <w:p>
      <w:pPr>
        <w:jc w:val="both"/>
        <w:ind w:left="2140" w:hanging="712"/>
        <w:spacing w:after="0" w:line="251" w:lineRule="auto"/>
        <w:tabs>
          <w:tab w:leader="none" w:pos="2140" w:val="left"/>
        </w:tabs>
        <w:numPr>
          <w:ilvl w:val="0"/>
          <w:numId w:val="131"/>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Where the Commonwealth has agreed to pay compensation to the State under this clause, or an award of compensation has been made under clause 90.14 as a result of arbitration, and the Commonwealth claims that events have since taken place which have the result that the compensation so agreed or awarded no longer</w:t>
      </w:r>
    </w:p>
    <w:p>
      <w:pPr>
        <w:spacing w:after="0" w:line="200" w:lineRule="exact"/>
        <w:rPr>
          <w:sz w:val="20"/>
          <w:szCs w:val="20"/>
          <w:color w:val="auto"/>
        </w:rPr>
      </w:pPr>
    </w:p>
    <w:p>
      <w:pPr>
        <w:spacing w:after="0" w:line="395"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47</w:t>
      </w:r>
    </w:p>
    <w:p>
      <w:pPr>
        <w:sectPr>
          <w:pgSz w:w="11900" w:h="16838" w:orient="portrait"/>
          <w:cols w:equalWidth="0" w:num="1">
            <w:col w:w="9200"/>
          </w:cols>
          <w:pgMar w:left="1440" w:top="1432" w:right="1266" w:bottom="149" w:gutter="0" w:footer="0" w:header="0"/>
        </w:sectPr>
      </w:pPr>
    </w:p>
    <w:bookmarkStart w:id="47" w:name="page48"/>
    <w:bookmarkEnd w:id="47"/>
    <w:p>
      <w:pPr>
        <w:spacing w:after="0" w:line="4" w:lineRule="exact"/>
        <w:rPr>
          <w:sz w:val="20"/>
          <w:szCs w:val="20"/>
          <w:color w:val="auto"/>
        </w:rPr>
      </w:pPr>
    </w:p>
    <w:p>
      <w:pPr>
        <w:jc w:val="both"/>
        <w:ind w:left="2140"/>
        <w:spacing w:after="0" w:line="236" w:lineRule="auto"/>
        <w:rPr>
          <w:sz w:val="20"/>
          <w:szCs w:val="20"/>
          <w:color w:val="auto"/>
        </w:rPr>
      </w:pPr>
      <w:r>
        <w:rPr>
          <w:rFonts w:ascii="Times New Roman" w:cs="Times New Roman" w:eastAsia="Times New Roman" w:hAnsi="Times New Roman"/>
          <w:sz w:val="22"/>
          <w:szCs w:val="22"/>
          <w:color w:val="auto"/>
        </w:rPr>
        <w:t>reflects the actual loss or damage that has been or will be sustained, the Commonwealth may by notice in writing to the State, decline to pay that compensation.</w:t>
      </w:r>
    </w:p>
    <w:p>
      <w:pPr>
        <w:spacing w:after="0" w:line="252" w:lineRule="exact"/>
        <w:rPr>
          <w:sz w:val="20"/>
          <w:szCs w:val="20"/>
          <w:color w:val="auto"/>
        </w:rPr>
      </w:pPr>
    </w:p>
    <w:p>
      <w:pPr>
        <w:jc w:val="both"/>
        <w:ind w:left="2140" w:hanging="712"/>
        <w:spacing w:after="0" w:line="237" w:lineRule="auto"/>
        <w:tabs>
          <w:tab w:leader="none" w:pos="2140" w:val="left"/>
        </w:tabs>
        <w:numPr>
          <w:ilvl w:val="0"/>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a notice under paragraph (a) is delivered after the State has received the compensation so agreed or awarded, but before the State has paid it to the person who sustained the relevant loss or damage, the State will not pay the compensation to that person.</w:t>
      </w:r>
    </w:p>
    <w:p>
      <w:pPr>
        <w:spacing w:after="0" w:line="253" w:lineRule="exact"/>
        <w:rPr>
          <w:rFonts w:ascii="Times New Roman" w:cs="Times New Roman" w:eastAsia="Times New Roman" w:hAnsi="Times New Roman"/>
          <w:sz w:val="22"/>
          <w:szCs w:val="22"/>
          <w:color w:val="auto"/>
        </w:rPr>
      </w:pPr>
    </w:p>
    <w:p>
      <w:pPr>
        <w:ind w:left="2140" w:hanging="712"/>
        <w:spacing w:after="0" w:line="234" w:lineRule="auto"/>
        <w:tabs>
          <w:tab w:leader="none" w:pos="2140" w:val="left"/>
        </w:tabs>
        <w:numPr>
          <w:ilvl w:val="0"/>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a notice under paragraph (a) is delivered, the Parties will attempt to agree the amount of the compensation which the Commonwealth should pay, and -</w:t>
      </w:r>
    </w:p>
    <w:p>
      <w:pPr>
        <w:spacing w:after="0" w:line="253" w:lineRule="exact"/>
        <w:rPr>
          <w:rFonts w:ascii="Times New Roman" w:cs="Times New Roman" w:eastAsia="Times New Roman" w:hAnsi="Times New Roman"/>
          <w:sz w:val="22"/>
          <w:szCs w:val="22"/>
          <w:color w:val="auto"/>
        </w:rPr>
      </w:pPr>
    </w:p>
    <w:p>
      <w:pPr>
        <w:ind w:left="2840" w:right="20" w:hanging="703"/>
        <w:spacing w:after="0" w:line="234" w:lineRule="auto"/>
        <w:tabs>
          <w:tab w:leader="none" w:pos="2840" w:val="left"/>
        </w:tabs>
        <w:numPr>
          <w:ilvl w:val="1"/>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default of agreement, will first seek to resolve the dispute by dispute resolution under clauses 10 to 14; and</w:t>
      </w:r>
    </w:p>
    <w:p>
      <w:pPr>
        <w:spacing w:after="0" w:line="250" w:lineRule="exact"/>
        <w:rPr>
          <w:rFonts w:ascii="Times New Roman" w:cs="Times New Roman" w:eastAsia="Times New Roman" w:hAnsi="Times New Roman"/>
          <w:sz w:val="22"/>
          <w:szCs w:val="22"/>
          <w:color w:val="auto"/>
        </w:rPr>
      </w:pPr>
    </w:p>
    <w:p>
      <w:pPr>
        <w:jc w:val="both"/>
        <w:ind w:left="2840" w:hanging="703"/>
        <w:spacing w:after="0" w:line="237" w:lineRule="auto"/>
        <w:tabs>
          <w:tab w:leader="none" w:pos="2840" w:val="left"/>
        </w:tabs>
        <w:numPr>
          <w:ilvl w:val="1"/>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in the event that the dispute is not so resolved, or the Commonwealth fails to pay the agreed amount of compensation to the State within 60 days of agreement (for reasons other than lack of the necessary appropriation), hereby refer the claim for compensation to arbitration in accordance with the </w:t>
      </w:r>
      <w:r>
        <w:rPr>
          <w:rFonts w:ascii="Times New Roman" w:cs="Times New Roman" w:eastAsia="Times New Roman" w:hAnsi="Times New Roman"/>
          <w:sz w:val="22"/>
          <w:szCs w:val="22"/>
          <w:i w:val="1"/>
          <w:iCs w:val="1"/>
          <w:color w:val="auto"/>
        </w:rPr>
        <w:t>Commercial Arbitration Act 2011 (</w:t>
      </w:r>
      <w:r>
        <w:rPr>
          <w:rFonts w:ascii="Times New Roman" w:cs="Times New Roman" w:eastAsia="Times New Roman" w:hAnsi="Times New Roman"/>
          <w:sz w:val="22"/>
          <w:szCs w:val="22"/>
          <w:color w:val="auto"/>
        </w:rPr>
        <w:t>Vic)</w:t>
      </w:r>
    </w:p>
    <w:p>
      <w:pPr>
        <w:spacing w:after="0" w:line="258" w:lineRule="exact"/>
        <w:rPr>
          <w:rFonts w:ascii="Times New Roman" w:cs="Times New Roman" w:eastAsia="Times New Roman" w:hAnsi="Times New Roman"/>
          <w:sz w:val="22"/>
          <w:szCs w:val="22"/>
          <w:color w:val="auto"/>
        </w:rPr>
      </w:pPr>
    </w:p>
    <w:p>
      <w:pPr>
        <w:jc w:val="both"/>
        <w:ind w:left="2140" w:hanging="712"/>
        <w:spacing w:after="0" w:line="250" w:lineRule="auto"/>
        <w:tabs>
          <w:tab w:leader="none" w:pos="2140" w:val="left"/>
        </w:tabs>
        <w:numPr>
          <w:ilvl w:val="0"/>
          <w:numId w:val="132"/>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Subject to paragraph (e) of this clause, where an arbitration takes place in accordance with sub-paragraph (c)(ii), clauses 90.14 and 90.15 of this Agreement apply to that arbitration and to any amount awarded in that arbitration.</w:t>
      </w:r>
    </w:p>
    <w:p>
      <w:pPr>
        <w:spacing w:after="0" w:line="244" w:lineRule="exact"/>
        <w:rPr>
          <w:rFonts w:ascii="Times New Roman" w:cs="Times New Roman" w:eastAsia="Times New Roman" w:hAnsi="Times New Roman"/>
          <w:sz w:val="21"/>
          <w:szCs w:val="21"/>
          <w:color w:val="auto"/>
        </w:rPr>
      </w:pPr>
    </w:p>
    <w:p>
      <w:pPr>
        <w:jc w:val="both"/>
        <w:ind w:left="2140" w:right="20" w:hanging="712"/>
        <w:spacing w:after="0" w:line="236" w:lineRule="auto"/>
        <w:tabs>
          <w:tab w:leader="none" w:pos="2164" w:val="left"/>
        </w:tabs>
        <w:numPr>
          <w:ilvl w:val="0"/>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following the observance of paragraph (c) of this clause, it is determined by agreement or award that the Commonwealth should pay a reduced amount of compensation to the State, the State will within 30 days of that determination -</w:t>
      </w:r>
    </w:p>
    <w:p>
      <w:pPr>
        <w:spacing w:after="0" w:line="252" w:lineRule="exact"/>
        <w:rPr>
          <w:rFonts w:ascii="Times New Roman" w:cs="Times New Roman" w:eastAsia="Times New Roman" w:hAnsi="Times New Roman"/>
          <w:sz w:val="22"/>
          <w:szCs w:val="22"/>
          <w:color w:val="auto"/>
        </w:rPr>
      </w:pPr>
    </w:p>
    <w:p>
      <w:pPr>
        <w:ind w:left="2840" w:hanging="703"/>
        <w:spacing w:after="0" w:line="234" w:lineRule="auto"/>
        <w:tabs>
          <w:tab w:leader="none" w:pos="2840" w:val="left"/>
        </w:tabs>
        <w:numPr>
          <w:ilvl w:val="1"/>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repay to the Commonwealth the amount by which the compensation paid to it by the Commonwealth is reduced; and</w:t>
      </w:r>
    </w:p>
    <w:p>
      <w:pPr>
        <w:spacing w:after="0" w:line="253" w:lineRule="exact"/>
        <w:rPr>
          <w:rFonts w:ascii="Times New Roman" w:cs="Times New Roman" w:eastAsia="Times New Roman" w:hAnsi="Times New Roman"/>
          <w:sz w:val="22"/>
          <w:szCs w:val="22"/>
          <w:color w:val="auto"/>
        </w:rPr>
      </w:pPr>
    </w:p>
    <w:p>
      <w:pPr>
        <w:ind w:left="2840" w:hanging="703"/>
        <w:spacing w:after="0" w:line="234" w:lineRule="auto"/>
        <w:tabs>
          <w:tab w:leader="none" w:pos="2874" w:val="left"/>
        </w:tabs>
        <w:numPr>
          <w:ilvl w:val="1"/>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pay the balance of the compensation to the person who sustained the relevant loss or damage.</w:t>
      </w:r>
    </w:p>
    <w:p>
      <w:pPr>
        <w:spacing w:after="0" w:line="253" w:lineRule="exact"/>
        <w:rPr>
          <w:rFonts w:ascii="Times New Roman" w:cs="Times New Roman" w:eastAsia="Times New Roman" w:hAnsi="Times New Roman"/>
          <w:sz w:val="22"/>
          <w:szCs w:val="22"/>
          <w:color w:val="auto"/>
        </w:rPr>
      </w:pPr>
    </w:p>
    <w:p>
      <w:pPr>
        <w:jc w:val="both"/>
        <w:ind w:left="2140" w:hanging="712"/>
        <w:spacing w:after="0" w:line="237" w:lineRule="auto"/>
        <w:tabs>
          <w:tab w:leader="none" w:pos="2140" w:val="left"/>
        </w:tabs>
        <w:numPr>
          <w:ilvl w:val="0"/>
          <w:numId w:val="13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following the observance of paragraph (c) of this clause, it is determined by agreement or award that the amount of compensation previously paid to the State is correct the State will within 30 days of that determination pay to the person who sustained the relevant loss or damage the amount of the compensation previously paid to it by the Commonwealth.</w:t>
      </w:r>
    </w:p>
    <w:p>
      <w:pPr>
        <w:spacing w:after="0" w:line="245" w:lineRule="exact"/>
        <w:rPr>
          <w:sz w:val="20"/>
          <w:szCs w:val="20"/>
          <w:color w:val="auto"/>
        </w:rPr>
      </w:pPr>
    </w:p>
    <w:p>
      <w:pPr>
        <w:ind w:left="560"/>
        <w:spacing w:after="0"/>
        <w:tabs>
          <w:tab w:leader="none" w:pos="1420" w:val="left"/>
        </w:tabs>
        <w:rPr>
          <w:sz w:val="20"/>
          <w:szCs w:val="20"/>
          <w:color w:val="auto"/>
        </w:rPr>
      </w:pPr>
      <w:r>
        <w:rPr>
          <w:rFonts w:ascii="Times New Roman" w:cs="Times New Roman" w:eastAsia="Times New Roman" w:hAnsi="Times New Roman"/>
          <w:sz w:val="22"/>
          <w:szCs w:val="22"/>
          <w:color w:val="auto"/>
        </w:rPr>
        <w:t>90.19.</w:t>
      </w:r>
      <w:r>
        <w:rPr>
          <w:sz w:val="20"/>
          <w:szCs w:val="20"/>
          <w:color w:val="auto"/>
        </w:rPr>
        <w:tab/>
      </w:r>
      <w:r>
        <w:rPr>
          <w:rFonts w:ascii="Times New Roman" w:cs="Times New Roman" w:eastAsia="Times New Roman" w:hAnsi="Times New Roman"/>
          <w:sz w:val="21"/>
          <w:szCs w:val="21"/>
          <w:color w:val="auto"/>
        </w:rPr>
        <w:t>Where the State:</w:t>
      </w:r>
    </w:p>
    <w:p>
      <w:pPr>
        <w:spacing w:after="0" w:line="239" w:lineRule="exact"/>
        <w:rPr>
          <w:sz w:val="20"/>
          <w:szCs w:val="20"/>
          <w:color w:val="auto"/>
        </w:rPr>
      </w:pPr>
    </w:p>
    <w:p>
      <w:pPr>
        <w:ind w:left="2140" w:hanging="712"/>
        <w:spacing w:after="0"/>
        <w:tabs>
          <w:tab w:leader="none" w:pos="2140" w:val="left"/>
        </w:tabs>
        <w:numPr>
          <w:ilvl w:val="0"/>
          <w:numId w:val="1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has received monies as a trustee pursuant to clause 90.16; and</w:t>
      </w:r>
    </w:p>
    <w:p>
      <w:pPr>
        <w:spacing w:after="0" w:line="250" w:lineRule="exact"/>
        <w:rPr>
          <w:rFonts w:ascii="Times New Roman" w:cs="Times New Roman" w:eastAsia="Times New Roman" w:hAnsi="Times New Roman"/>
          <w:sz w:val="22"/>
          <w:szCs w:val="22"/>
          <w:color w:val="auto"/>
        </w:rPr>
      </w:pPr>
    </w:p>
    <w:p>
      <w:pPr>
        <w:ind w:left="2140" w:right="20" w:hanging="712"/>
        <w:spacing w:after="0" w:line="235" w:lineRule="auto"/>
        <w:tabs>
          <w:tab w:leader="none" w:pos="2164" w:val="left"/>
        </w:tabs>
        <w:numPr>
          <w:ilvl w:val="0"/>
          <w:numId w:val="1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has made all reasonable endeavours to pay the monies to the person who sustained the relevant loss or damage; and</w:t>
      </w:r>
    </w:p>
    <w:p>
      <w:pPr>
        <w:spacing w:after="0" w:line="239" w:lineRule="exact"/>
        <w:rPr>
          <w:rFonts w:ascii="Times New Roman" w:cs="Times New Roman" w:eastAsia="Times New Roman" w:hAnsi="Times New Roman"/>
          <w:sz w:val="22"/>
          <w:szCs w:val="22"/>
          <w:color w:val="auto"/>
        </w:rPr>
      </w:pPr>
    </w:p>
    <w:p>
      <w:pPr>
        <w:ind w:left="2160" w:hanging="732"/>
        <w:spacing w:after="0"/>
        <w:tabs>
          <w:tab w:leader="none" w:pos="2160" w:val="left"/>
        </w:tabs>
        <w:numPr>
          <w:ilvl w:val="0"/>
          <w:numId w:val="13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but has been unable to do so within six months of receiving payment</w:t>
      </w:r>
    </w:p>
    <w:p>
      <w:pPr>
        <w:spacing w:after="0" w:line="253" w:lineRule="exact"/>
        <w:rPr>
          <w:sz w:val="20"/>
          <w:szCs w:val="20"/>
          <w:color w:val="auto"/>
        </w:rPr>
      </w:pPr>
    </w:p>
    <w:p>
      <w:pPr>
        <w:ind w:left="1420" w:right="20"/>
        <w:spacing w:after="0" w:line="264" w:lineRule="auto"/>
        <w:rPr>
          <w:sz w:val="20"/>
          <w:szCs w:val="20"/>
          <w:color w:val="auto"/>
        </w:rPr>
      </w:pPr>
      <w:r>
        <w:rPr>
          <w:rFonts w:ascii="Times New Roman" w:cs="Times New Roman" w:eastAsia="Times New Roman" w:hAnsi="Times New Roman"/>
          <w:sz w:val="22"/>
          <w:szCs w:val="22"/>
          <w:color w:val="auto"/>
        </w:rPr>
        <w:t>the State shall repay to the Commonwealth at the expiry of that period the monies so received.</w:t>
      </w:r>
    </w:p>
    <w:p>
      <w:pPr>
        <w:spacing w:after="0" w:line="253" w:lineRule="exact"/>
        <w:rPr>
          <w:sz w:val="20"/>
          <w:szCs w:val="20"/>
          <w:color w:val="auto"/>
        </w:rPr>
      </w:pPr>
    </w:p>
    <w:p>
      <w:pPr>
        <w:ind w:left="560"/>
        <w:spacing w:after="0"/>
        <w:tabs>
          <w:tab w:leader="none" w:pos="1420" w:val="left"/>
        </w:tabs>
        <w:rPr>
          <w:sz w:val="20"/>
          <w:szCs w:val="20"/>
          <w:color w:val="auto"/>
        </w:rPr>
      </w:pPr>
      <w:r>
        <w:rPr>
          <w:rFonts w:ascii="Times New Roman" w:cs="Times New Roman" w:eastAsia="Times New Roman" w:hAnsi="Times New Roman"/>
          <w:sz w:val="22"/>
          <w:szCs w:val="22"/>
          <w:color w:val="auto"/>
        </w:rPr>
        <w:t>90.20.</w:t>
      </w:r>
      <w:r>
        <w:rPr>
          <w:sz w:val="20"/>
          <w:szCs w:val="20"/>
          <w:color w:val="auto"/>
        </w:rPr>
        <w:tab/>
      </w:r>
      <w:r>
        <w:rPr>
          <w:rFonts w:ascii="Times New Roman" w:cs="Times New Roman" w:eastAsia="Times New Roman" w:hAnsi="Times New Roman"/>
          <w:sz w:val="21"/>
          <w:szCs w:val="21"/>
          <w:color w:val="auto"/>
        </w:rPr>
        <w:t>In this clause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2"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48</w:t>
      </w:r>
    </w:p>
    <w:p>
      <w:pPr>
        <w:sectPr>
          <w:pgSz w:w="11900" w:h="16838" w:orient="portrait"/>
          <w:cols w:equalWidth="0" w:num="1">
            <w:col w:w="9200"/>
          </w:cols>
          <w:pgMar w:left="1440" w:top="1440" w:right="1266" w:bottom="149" w:gutter="0" w:footer="0" w:header="0"/>
        </w:sectPr>
      </w:pPr>
    </w:p>
    <w:bookmarkStart w:id="48" w:name="page49"/>
    <w:bookmarkEnd w:id="48"/>
    <w:p>
      <w:pPr>
        <w:ind w:left="2140" w:hanging="712"/>
        <w:spacing w:after="0"/>
        <w:tabs>
          <w:tab w:leader="none" w:pos="2140" w:val="left"/>
        </w:tabs>
        <w:numPr>
          <w:ilvl w:val="1"/>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“Action” means</w:t>
      </w:r>
    </w:p>
    <w:p>
      <w:pPr>
        <w:spacing w:after="0" w:line="239" w:lineRule="exact"/>
        <w:rPr>
          <w:rFonts w:ascii="Times New Roman" w:cs="Times New Roman" w:eastAsia="Times New Roman" w:hAnsi="Times New Roman"/>
          <w:sz w:val="22"/>
          <w:szCs w:val="22"/>
          <w:color w:val="auto"/>
        </w:rPr>
      </w:pPr>
    </w:p>
    <w:p>
      <w:pPr>
        <w:ind w:left="2880" w:hanging="743"/>
        <w:spacing w:after="0"/>
        <w:tabs>
          <w:tab w:leader="none" w:pos="2880" w:val="left"/>
        </w:tabs>
        <w:numPr>
          <w:ilvl w:val="2"/>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commencement of legislation or subordinate legislation; and</w:t>
      </w:r>
    </w:p>
    <w:p>
      <w:pPr>
        <w:spacing w:after="0" w:line="252" w:lineRule="exact"/>
        <w:rPr>
          <w:rFonts w:ascii="Times New Roman" w:cs="Times New Roman" w:eastAsia="Times New Roman" w:hAnsi="Times New Roman"/>
          <w:sz w:val="22"/>
          <w:szCs w:val="22"/>
          <w:color w:val="auto"/>
        </w:rPr>
      </w:pPr>
    </w:p>
    <w:p>
      <w:pPr>
        <w:jc w:val="both"/>
        <w:ind w:left="2840" w:hanging="703"/>
        <w:spacing w:after="0" w:line="236" w:lineRule="auto"/>
        <w:tabs>
          <w:tab w:leader="none" w:pos="2874" w:val="left"/>
        </w:tabs>
        <w:numPr>
          <w:ilvl w:val="2"/>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administrative action which is taken pursuant to legislation or subordinate legislation, or otherwise than in accordance with such legislation.</w:t>
      </w:r>
    </w:p>
    <w:p>
      <w:pPr>
        <w:spacing w:after="0" w:line="240" w:lineRule="exact"/>
        <w:rPr>
          <w:rFonts w:ascii="Times New Roman" w:cs="Times New Roman" w:eastAsia="Times New Roman" w:hAnsi="Times New Roman"/>
          <w:sz w:val="22"/>
          <w:szCs w:val="22"/>
          <w:color w:val="auto"/>
        </w:rPr>
      </w:pPr>
    </w:p>
    <w:p>
      <w:pPr>
        <w:ind w:left="2140" w:hanging="712"/>
        <w:spacing w:after="0"/>
        <w:tabs>
          <w:tab w:leader="none" w:pos="2140" w:val="left"/>
        </w:tabs>
        <w:numPr>
          <w:ilvl w:val="1"/>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“Owner” means</w:t>
      </w:r>
    </w:p>
    <w:p>
      <w:pPr>
        <w:spacing w:after="0" w:line="239" w:lineRule="exact"/>
        <w:rPr>
          <w:rFonts w:ascii="Times New Roman" w:cs="Times New Roman" w:eastAsia="Times New Roman" w:hAnsi="Times New Roman"/>
          <w:sz w:val="22"/>
          <w:szCs w:val="22"/>
          <w:color w:val="auto"/>
        </w:rPr>
      </w:pPr>
    </w:p>
    <w:p>
      <w:pPr>
        <w:ind w:left="2840" w:hanging="703"/>
        <w:spacing w:after="0"/>
        <w:tabs>
          <w:tab w:leader="none" w:pos="2840" w:val="left"/>
        </w:tabs>
        <w:numPr>
          <w:ilvl w:val="2"/>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relation to land</w:t>
      </w:r>
    </w:p>
    <w:p>
      <w:pPr>
        <w:spacing w:after="0" w:line="252" w:lineRule="exact"/>
        <w:rPr>
          <w:rFonts w:ascii="Times New Roman" w:cs="Times New Roman" w:eastAsia="Times New Roman" w:hAnsi="Times New Roman"/>
          <w:sz w:val="22"/>
          <w:szCs w:val="22"/>
          <w:color w:val="auto"/>
        </w:rPr>
      </w:pPr>
    </w:p>
    <w:p>
      <w:pPr>
        <w:ind w:left="3560" w:hanging="713"/>
        <w:spacing w:after="0" w:line="234" w:lineRule="auto"/>
        <w:tabs>
          <w:tab w:leader="none" w:pos="3560" w:val="left"/>
        </w:tabs>
        <w:numPr>
          <w:ilvl w:val="3"/>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owner of any estate or interest in that land, including the Crown in right of the State; and</w:t>
      </w:r>
    </w:p>
    <w:p>
      <w:pPr>
        <w:spacing w:after="0" w:line="253" w:lineRule="exact"/>
        <w:rPr>
          <w:rFonts w:ascii="Times New Roman" w:cs="Times New Roman" w:eastAsia="Times New Roman" w:hAnsi="Times New Roman"/>
          <w:sz w:val="22"/>
          <w:szCs w:val="22"/>
          <w:color w:val="auto"/>
        </w:rPr>
      </w:pPr>
    </w:p>
    <w:p>
      <w:pPr>
        <w:jc w:val="both"/>
        <w:ind w:left="3560" w:hanging="713"/>
        <w:spacing w:after="0" w:line="235" w:lineRule="auto"/>
        <w:tabs>
          <w:tab w:leader="none" w:pos="3560" w:val="left"/>
        </w:tabs>
        <w:numPr>
          <w:ilvl w:val="3"/>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any statutory corporation which has the power to carry on Forestry Operations or Mining Operations</w:t>
      </w:r>
      <w:r>
        <w:rPr>
          <w:rFonts w:ascii="Times New Roman" w:cs="Times New Roman" w:eastAsia="Times New Roman" w:hAnsi="Times New Roman"/>
          <w:sz w:val="22"/>
          <w:szCs w:val="22"/>
          <w:b w:val="1"/>
          <w:bCs w:val="1"/>
          <w:color w:val="auto"/>
        </w:rPr>
        <w:t>,</w:t>
      </w:r>
      <w:r>
        <w:rPr>
          <w:rFonts w:ascii="Times New Roman" w:cs="Times New Roman" w:eastAsia="Times New Roman" w:hAnsi="Times New Roman"/>
          <w:sz w:val="22"/>
          <w:szCs w:val="22"/>
          <w:color w:val="auto"/>
        </w:rPr>
        <w:t xml:space="preserve"> as the case may be, on the land for profit.</w:t>
      </w:r>
    </w:p>
    <w:p>
      <w:pPr>
        <w:spacing w:after="0" w:line="255" w:lineRule="exact"/>
        <w:rPr>
          <w:rFonts w:ascii="Times New Roman" w:cs="Times New Roman" w:eastAsia="Times New Roman" w:hAnsi="Times New Roman"/>
          <w:sz w:val="22"/>
          <w:szCs w:val="22"/>
          <w:color w:val="auto"/>
        </w:rPr>
      </w:pPr>
    </w:p>
    <w:p>
      <w:pPr>
        <w:ind w:left="2840" w:hanging="703"/>
        <w:spacing w:after="0" w:line="234" w:lineRule="auto"/>
        <w:tabs>
          <w:tab w:leader="none" w:pos="2840" w:val="left"/>
        </w:tabs>
        <w:numPr>
          <w:ilvl w:val="2"/>
          <w:numId w:val="13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 relation to Forest Products or Mining Products, as the case may be, the owner of any interest in those products.</w:t>
      </w:r>
    </w:p>
    <w:p>
      <w:pPr>
        <w:spacing w:after="0" w:line="241" w:lineRule="exact"/>
        <w:rPr>
          <w:rFonts w:ascii="Times New Roman" w:cs="Times New Roman" w:eastAsia="Times New Roman" w:hAnsi="Times New Roman"/>
          <w:sz w:val="22"/>
          <w:szCs w:val="22"/>
          <w:color w:val="auto"/>
        </w:rPr>
      </w:pPr>
    </w:p>
    <w:p>
      <w:pPr>
        <w:ind w:left="700" w:hanging="700"/>
        <w:spacing w:after="0"/>
        <w:tabs>
          <w:tab w:leader="none" w:pos="700" w:val="left"/>
        </w:tabs>
        <w:numPr>
          <w:ilvl w:val="0"/>
          <w:numId w:val="135"/>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Termination</w:t>
      </w:r>
    </w:p>
    <w:p>
      <w:pPr>
        <w:spacing w:after="0" w:line="237" w:lineRule="exact"/>
        <w:rPr>
          <w:sz w:val="20"/>
          <w:szCs w:val="20"/>
          <w:color w:val="auto"/>
        </w:rPr>
      </w:pPr>
    </w:p>
    <w:p>
      <w:pPr>
        <w:ind w:left="700" w:hanging="700"/>
        <w:spacing w:after="0"/>
        <w:tabs>
          <w:tab w:leader="none" w:pos="700" w:val="left"/>
        </w:tabs>
        <w:numPr>
          <w:ilvl w:val="0"/>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This Agreement may only be terminated by the Commonwealth:</w:t>
      </w:r>
    </w:p>
    <w:p>
      <w:pPr>
        <w:spacing w:after="0" w:line="239"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with the consent of the State; or</w:t>
      </w:r>
    </w:p>
    <w:p>
      <w:pPr>
        <w:spacing w:after="0" w:line="250" w:lineRule="exact"/>
        <w:rPr>
          <w:rFonts w:ascii="Times New Roman" w:cs="Times New Roman" w:eastAsia="Times New Roman" w:hAnsi="Times New Roman"/>
          <w:sz w:val="22"/>
          <w:szCs w:val="22"/>
          <w:color w:val="auto"/>
        </w:rPr>
      </w:pPr>
    </w:p>
    <w:p>
      <w:pPr>
        <w:ind w:left="1420" w:right="100" w:hanging="712"/>
        <w:spacing w:after="0" w:line="235" w:lineRule="auto"/>
        <w:tabs>
          <w:tab w:leader="none" w:pos="1420" w:val="left"/>
        </w:tabs>
        <w:numPr>
          <w:ilvl w:val="1"/>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the dispute resolution procedures in clauses 10 to 14 have been observed and the State has been given a 90 day period of notice on:</w:t>
      </w:r>
    </w:p>
    <w:p>
      <w:pPr>
        <w:spacing w:after="0" w:line="250" w:lineRule="exact"/>
        <w:rPr>
          <w:rFonts w:ascii="Times New Roman" w:cs="Times New Roman" w:eastAsia="Times New Roman" w:hAnsi="Times New Roman"/>
          <w:sz w:val="22"/>
          <w:szCs w:val="22"/>
          <w:color w:val="auto"/>
        </w:rPr>
      </w:pPr>
    </w:p>
    <w:p>
      <w:pPr>
        <w:jc w:val="both"/>
        <w:ind w:left="2120" w:hanging="701"/>
        <w:spacing w:after="0" w:line="236" w:lineRule="auto"/>
        <w:tabs>
          <w:tab w:leader="none" w:pos="212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failure by the State to comply with clause 62, being a failure to implement the CAR Reserve System described in Attachment 1 and to manage and conserve the identified CAR Values; or</w:t>
      </w:r>
    </w:p>
    <w:p>
      <w:pPr>
        <w:spacing w:after="0" w:line="241"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2" w:lineRule="exact"/>
        <w:rPr>
          <w:rFonts w:ascii="Times New Roman" w:cs="Times New Roman" w:eastAsia="Times New Roman" w:hAnsi="Times New Roman"/>
          <w:sz w:val="22"/>
          <w:szCs w:val="22"/>
          <w:color w:val="auto"/>
        </w:rPr>
      </w:pPr>
    </w:p>
    <w:p>
      <w:pPr>
        <w:ind w:left="2120" w:hanging="701"/>
        <w:spacing w:after="0" w:line="234" w:lineRule="auto"/>
        <w:tabs>
          <w:tab w:leader="none" w:pos="212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failure to comply with publishing and/or reporting requirements in accordance with clauses 41 and 43,</w:t>
      </w:r>
    </w:p>
    <w:p>
      <w:pPr>
        <w:spacing w:after="0" w:line="241"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39"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2"/>
          <w:numId w:val="136"/>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1" w:lineRule="exact"/>
        <w:rPr>
          <w:sz w:val="20"/>
          <w:szCs w:val="20"/>
          <w:color w:val="auto"/>
        </w:rPr>
      </w:pPr>
    </w:p>
    <w:p>
      <w:pPr>
        <w:jc w:val="both"/>
        <w:ind w:left="1420" w:right="20"/>
        <w:spacing w:after="0" w:line="236" w:lineRule="auto"/>
        <w:rPr>
          <w:sz w:val="20"/>
          <w:szCs w:val="20"/>
          <w:color w:val="auto"/>
        </w:rPr>
      </w:pPr>
      <w:r>
        <w:rPr>
          <w:rFonts w:ascii="Times New Roman" w:cs="Times New Roman" w:eastAsia="Times New Roman" w:hAnsi="Times New Roman"/>
          <w:sz w:val="22"/>
          <w:szCs w:val="22"/>
          <w:color w:val="auto"/>
        </w:rPr>
        <w:t>other than a failure of a minor nature which is not one or part of a series of deliberate or reckless failures of a minor nature; and save that the above provisions do not apply if rectification is possible and has occurred before the end of the 90 day period; or</w:t>
      </w:r>
    </w:p>
    <w:p>
      <w:pPr>
        <w:spacing w:after="0" w:line="255" w:lineRule="exact"/>
        <w:rPr>
          <w:sz w:val="20"/>
          <w:szCs w:val="20"/>
          <w:color w:val="auto"/>
        </w:rPr>
      </w:pPr>
    </w:p>
    <w:p>
      <w:pPr>
        <w:ind w:left="1420" w:right="20" w:hanging="712"/>
        <w:spacing w:after="0" w:line="234" w:lineRule="auto"/>
        <w:tabs>
          <w:tab w:leader="none" w:pos="1420" w:val="left"/>
        </w:tabs>
        <w:numPr>
          <w:ilvl w:val="1"/>
          <w:numId w:val="137"/>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on a fundamental failure by the State to comply with the spirit of the Agreement after the observance of the dispute resolution procedures in clauses 10 to 14.</w:t>
      </w:r>
    </w:p>
    <w:p>
      <w:pPr>
        <w:spacing w:after="0" w:line="239" w:lineRule="exact"/>
        <w:rPr>
          <w:rFonts w:ascii="Times New Roman" w:cs="Times New Roman" w:eastAsia="Times New Roman" w:hAnsi="Times New Roman"/>
          <w:sz w:val="22"/>
          <w:szCs w:val="22"/>
          <w:color w:val="auto"/>
        </w:rPr>
      </w:pPr>
    </w:p>
    <w:p>
      <w:pPr>
        <w:ind w:left="720" w:hanging="720"/>
        <w:spacing w:after="0"/>
        <w:tabs>
          <w:tab w:leader="none" w:pos="720" w:val="left"/>
        </w:tabs>
        <w:numPr>
          <w:ilvl w:val="0"/>
          <w:numId w:val="1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Agreement may only be terminated by the State:</w:t>
      </w:r>
    </w:p>
    <w:p>
      <w:pPr>
        <w:spacing w:after="0" w:line="241"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1"/>
          <w:numId w:val="138"/>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with the consent of the Commonwealth; or</w:t>
      </w:r>
    </w:p>
    <w:p>
      <w:pPr>
        <w:spacing w:after="0" w:line="200" w:lineRule="exact"/>
        <w:rPr>
          <w:sz w:val="20"/>
          <w:szCs w:val="20"/>
          <w:color w:val="auto"/>
        </w:rPr>
      </w:pPr>
    </w:p>
    <w:p>
      <w:pPr>
        <w:spacing w:after="0" w:line="38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49</w:t>
      </w:r>
    </w:p>
    <w:p>
      <w:pPr>
        <w:sectPr>
          <w:pgSz w:w="11900" w:h="16838" w:orient="portrait"/>
          <w:cols w:equalWidth="0" w:num="1">
            <w:col w:w="9200"/>
          </w:cols>
          <w:pgMar w:left="1440" w:top="1432" w:right="1266" w:bottom="149" w:gutter="0" w:footer="0" w:header="0"/>
        </w:sectPr>
      </w:pPr>
    </w:p>
    <w:bookmarkStart w:id="49" w:name="page50"/>
    <w:bookmarkEnd w:id="49"/>
    <w:p>
      <w:pPr>
        <w:spacing w:after="0" w:line="4" w:lineRule="exact"/>
        <w:rPr>
          <w:sz w:val="20"/>
          <w:szCs w:val="20"/>
          <w:color w:val="auto"/>
        </w:rPr>
      </w:pPr>
    </w:p>
    <w:p>
      <w:pPr>
        <w:ind w:left="1420" w:right="20" w:hanging="712"/>
        <w:spacing w:after="0" w:line="234" w:lineRule="auto"/>
        <w:tabs>
          <w:tab w:leader="none" w:pos="1420" w:val="left"/>
        </w:tabs>
        <w:numPr>
          <w:ilvl w:val="0"/>
          <w:numId w:val="1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where the dispute resolution procedures in clauses 10 to 14 have been observed and the Commonwealth has been given a 90 day period of notice on:</w:t>
      </w:r>
    </w:p>
    <w:p>
      <w:pPr>
        <w:spacing w:after="0" w:line="241"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1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NOT USED</w:t>
      </w:r>
    </w:p>
    <w:p>
      <w:pPr>
        <w:spacing w:after="0" w:line="250" w:lineRule="exact"/>
        <w:rPr>
          <w:rFonts w:ascii="Times New Roman" w:cs="Times New Roman" w:eastAsia="Times New Roman" w:hAnsi="Times New Roman"/>
          <w:sz w:val="22"/>
          <w:szCs w:val="22"/>
          <w:color w:val="auto"/>
        </w:rPr>
      </w:pPr>
    </w:p>
    <w:p>
      <w:pPr>
        <w:ind w:left="2120" w:hanging="701"/>
        <w:spacing w:after="0" w:line="235" w:lineRule="auto"/>
        <w:tabs>
          <w:tab w:leader="none" w:pos="2120" w:val="left"/>
        </w:tabs>
        <w:numPr>
          <w:ilvl w:val="1"/>
          <w:numId w:val="139"/>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failure by the Commonwealth to comply with clause 90, being a failure to pay compensation due under that clause;</w:t>
      </w:r>
    </w:p>
    <w:p>
      <w:pPr>
        <w:spacing w:after="0" w:line="251" w:lineRule="exact"/>
        <w:rPr>
          <w:sz w:val="20"/>
          <w:szCs w:val="20"/>
          <w:color w:val="auto"/>
        </w:rPr>
      </w:pPr>
    </w:p>
    <w:p>
      <w:pPr>
        <w:ind w:left="1420" w:right="20"/>
        <w:spacing w:after="0" w:line="264" w:lineRule="auto"/>
        <w:rPr>
          <w:sz w:val="20"/>
          <w:szCs w:val="20"/>
          <w:color w:val="auto"/>
        </w:rPr>
      </w:pPr>
      <w:r>
        <w:rPr>
          <w:rFonts w:ascii="Times New Roman" w:cs="Times New Roman" w:eastAsia="Times New Roman" w:hAnsi="Times New Roman"/>
          <w:sz w:val="22"/>
          <w:szCs w:val="22"/>
          <w:color w:val="auto"/>
        </w:rPr>
        <w:t>save that the above provisions do not apply if rectification is possible and has occurred before the end of the 90 day period; or</w:t>
      </w:r>
    </w:p>
    <w:p>
      <w:pPr>
        <w:spacing w:after="0" w:line="264" w:lineRule="exact"/>
        <w:rPr>
          <w:sz w:val="20"/>
          <w:szCs w:val="20"/>
          <w:color w:val="auto"/>
        </w:rPr>
      </w:pPr>
    </w:p>
    <w:p>
      <w:pPr>
        <w:jc w:val="both"/>
        <w:ind w:left="1420" w:right="20" w:hanging="712"/>
        <w:spacing w:after="0" w:line="253" w:lineRule="auto"/>
        <w:tabs>
          <w:tab w:leader="none" w:pos="1420" w:val="left"/>
        </w:tabs>
        <w:numPr>
          <w:ilvl w:val="0"/>
          <w:numId w:val="140"/>
        </w:numPr>
        <w:rPr>
          <w:rFonts w:ascii="Times New Roman" w:cs="Times New Roman" w:eastAsia="Times New Roman" w:hAnsi="Times New Roman"/>
          <w:sz w:val="21"/>
          <w:szCs w:val="21"/>
          <w:color w:val="auto"/>
        </w:rPr>
      </w:pPr>
      <w:r>
        <w:rPr>
          <w:rFonts w:ascii="Times New Roman" w:cs="Times New Roman" w:eastAsia="Times New Roman" w:hAnsi="Times New Roman"/>
          <w:sz w:val="21"/>
          <w:szCs w:val="21"/>
          <w:color w:val="auto"/>
        </w:rPr>
        <w:t>on a fundamental failure by the Commonwealth to comply with the spirit of the Agreement after the observance of the dispute resolution procedures in clauses 10 to 14;</w:t>
      </w:r>
    </w:p>
    <w:p>
      <w:pPr>
        <w:spacing w:after="0" w:line="237" w:lineRule="exact"/>
        <w:rPr>
          <w:rFonts w:ascii="Times New Roman" w:cs="Times New Roman" w:eastAsia="Times New Roman" w:hAnsi="Times New Roman"/>
          <w:sz w:val="21"/>
          <w:szCs w:val="21"/>
          <w:color w:val="auto"/>
        </w:rPr>
      </w:pPr>
    </w:p>
    <w:p>
      <w:pPr>
        <w:jc w:val="both"/>
        <w:ind w:left="1420" w:hanging="712"/>
        <w:spacing w:after="0" w:line="237" w:lineRule="auto"/>
        <w:tabs>
          <w:tab w:leader="none" w:pos="1420" w:val="left"/>
        </w:tabs>
        <w:numPr>
          <w:ilvl w:val="0"/>
          <w:numId w:val="1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there is a change in the Victorian mechanisms of government, government policy or other related government exigencies, provided that the State gives the Commonwealth notice in writing at least 12 months prior to the date on which the termination will take effect, the date of which is to be specified in the written notice given to the Commonwealth; or</w:t>
      </w:r>
    </w:p>
    <w:p>
      <w:pPr>
        <w:spacing w:after="0" w:line="244" w:lineRule="exact"/>
        <w:rPr>
          <w:rFonts w:ascii="Times New Roman" w:cs="Times New Roman" w:eastAsia="Times New Roman" w:hAnsi="Times New Roman"/>
          <w:sz w:val="22"/>
          <w:szCs w:val="22"/>
          <w:color w:val="auto"/>
        </w:rPr>
      </w:pPr>
    </w:p>
    <w:p>
      <w:pPr>
        <w:ind w:left="1420" w:hanging="712"/>
        <w:spacing w:after="0"/>
        <w:tabs>
          <w:tab w:leader="none" w:pos="1420" w:val="left"/>
        </w:tabs>
        <w:numPr>
          <w:ilvl w:val="0"/>
          <w:numId w:val="1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if Victoria considers that:</w:t>
      </w:r>
    </w:p>
    <w:p>
      <w:pPr>
        <w:spacing w:after="0" w:line="241" w:lineRule="exact"/>
        <w:rPr>
          <w:rFonts w:ascii="Times New Roman" w:cs="Times New Roman" w:eastAsia="Times New Roman" w:hAnsi="Times New Roman"/>
          <w:sz w:val="22"/>
          <w:szCs w:val="22"/>
          <w:color w:val="auto"/>
        </w:rPr>
      </w:pPr>
    </w:p>
    <w:p>
      <w:pPr>
        <w:ind w:left="2120" w:hanging="701"/>
        <w:spacing w:after="0"/>
        <w:tabs>
          <w:tab w:leader="none" w:pos="2120" w:val="left"/>
        </w:tabs>
        <w:numPr>
          <w:ilvl w:val="1"/>
          <w:numId w:val="1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Agreement has failed or is failing to satisfy its objectives; or</w:t>
      </w:r>
    </w:p>
    <w:p>
      <w:pPr>
        <w:spacing w:after="0" w:line="250" w:lineRule="exact"/>
        <w:rPr>
          <w:rFonts w:ascii="Times New Roman" w:cs="Times New Roman" w:eastAsia="Times New Roman" w:hAnsi="Times New Roman"/>
          <w:sz w:val="22"/>
          <w:szCs w:val="22"/>
          <w:color w:val="auto"/>
        </w:rPr>
      </w:pPr>
    </w:p>
    <w:p>
      <w:pPr>
        <w:ind w:left="2120" w:hanging="701"/>
        <w:spacing w:after="0" w:line="235" w:lineRule="auto"/>
        <w:tabs>
          <w:tab w:leader="none" w:pos="2120" w:val="left"/>
        </w:tabs>
        <w:numPr>
          <w:ilvl w:val="1"/>
          <w:numId w:val="140"/>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Parties have not made satisfactory progress towards achieving the outcomes listed in clause 36(a),</w:t>
      </w:r>
    </w:p>
    <w:p>
      <w:pPr>
        <w:spacing w:after="0" w:line="240"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2"/>
          <w:szCs w:val="22"/>
          <w:color w:val="auto"/>
        </w:rPr>
        <w:t>including (but not limited to) where the findings of:</w:t>
      </w:r>
    </w:p>
    <w:p>
      <w:pPr>
        <w:spacing w:after="0" w:line="239" w:lineRule="exact"/>
        <w:rPr>
          <w:sz w:val="20"/>
          <w:szCs w:val="20"/>
          <w:color w:val="auto"/>
        </w:rPr>
      </w:pPr>
    </w:p>
    <w:p>
      <w:pPr>
        <w:ind w:left="2160" w:hanging="741"/>
        <w:spacing w:after="0"/>
        <w:tabs>
          <w:tab w:leader="none" w:pos="2160" w:val="left"/>
        </w:tabs>
        <w:numPr>
          <w:ilvl w:val="0"/>
          <w:numId w:val="1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Five-yearly Review conducted pursuant to clause 36 of this Agreement;</w:t>
      </w:r>
    </w:p>
    <w:p>
      <w:pPr>
        <w:spacing w:after="0" w:line="241" w:lineRule="exact"/>
        <w:rPr>
          <w:rFonts w:ascii="Times New Roman" w:cs="Times New Roman" w:eastAsia="Times New Roman" w:hAnsi="Times New Roman"/>
          <w:sz w:val="22"/>
          <w:szCs w:val="22"/>
          <w:color w:val="auto"/>
        </w:rPr>
      </w:pPr>
    </w:p>
    <w:p>
      <w:pPr>
        <w:ind w:left="2160" w:hanging="741"/>
        <w:spacing w:after="0"/>
        <w:tabs>
          <w:tab w:leader="none" w:pos="2160" w:val="left"/>
        </w:tabs>
        <w:numPr>
          <w:ilvl w:val="0"/>
          <w:numId w:val="1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Major Event review conducted pursuant to clause 38F of this Agreement; or</w:t>
      </w:r>
    </w:p>
    <w:p>
      <w:pPr>
        <w:spacing w:after="0" w:line="239" w:lineRule="exact"/>
        <w:rPr>
          <w:rFonts w:ascii="Times New Roman" w:cs="Times New Roman" w:eastAsia="Times New Roman" w:hAnsi="Times New Roman"/>
          <w:sz w:val="22"/>
          <w:szCs w:val="22"/>
          <w:color w:val="auto"/>
        </w:rPr>
      </w:pPr>
    </w:p>
    <w:p>
      <w:pPr>
        <w:ind w:left="2160" w:hanging="741"/>
        <w:spacing w:after="0"/>
        <w:tabs>
          <w:tab w:leader="none" w:pos="2160" w:val="left"/>
        </w:tabs>
        <w:numPr>
          <w:ilvl w:val="0"/>
          <w:numId w:val="141"/>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an audit initiated pursuant to clause 45A of this Agreement,</w:t>
      </w:r>
    </w:p>
    <w:p>
      <w:pPr>
        <w:spacing w:after="0" w:line="241" w:lineRule="exact"/>
        <w:rPr>
          <w:sz w:val="20"/>
          <w:szCs w:val="20"/>
          <w:color w:val="auto"/>
        </w:rPr>
      </w:pPr>
    </w:p>
    <w:p>
      <w:pPr>
        <w:ind w:left="1420"/>
        <w:spacing w:after="0"/>
        <w:rPr>
          <w:sz w:val="20"/>
          <w:szCs w:val="20"/>
          <w:color w:val="auto"/>
        </w:rPr>
      </w:pPr>
      <w:r>
        <w:rPr>
          <w:rFonts w:ascii="Times New Roman" w:cs="Times New Roman" w:eastAsia="Times New Roman" w:hAnsi="Times New Roman"/>
          <w:sz w:val="22"/>
          <w:szCs w:val="22"/>
          <w:color w:val="auto"/>
        </w:rPr>
        <w:t>demonstrate as such.</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Procedure for termination by consent</w:t>
      </w:r>
    </w:p>
    <w:p>
      <w:pPr>
        <w:spacing w:after="0" w:line="246"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21"/>
          <w:szCs w:val="21"/>
          <w:color w:val="auto"/>
        </w:rPr>
        <w:t>93A.</w:t>
      </w:r>
      <w:r>
        <w:rPr>
          <w:sz w:val="20"/>
          <w:szCs w:val="20"/>
          <w:color w:val="auto"/>
        </w:rPr>
        <w:tab/>
      </w:r>
      <w:r>
        <w:rPr>
          <w:rFonts w:ascii="Times New Roman" w:cs="Times New Roman" w:eastAsia="Times New Roman" w:hAnsi="Times New Roman"/>
          <w:sz w:val="21"/>
          <w:szCs w:val="21"/>
          <w:color w:val="auto"/>
        </w:rPr>
        <w:t>For the purposes of clauses 92(a) and 93(a), the Agreement can only be terminated by consent if:</w:t>
      </w:r>
    </w:p>
    <w:p>
      <w:pPr>
        <w:spacing w:after="0" w:line="291" w:lineRule="exact"/>
        <w:rPr>
          <w:sz w:val="20"/>
          <w:szCs w:val="20"/>
          <w:color w:val="auto"/>
        </w:rPr>
      </w:pPr>
    </w:p>
    <w:p>
      <w:pPr>
        <w:ind w:left="1420" w:right="20" w:hanging="712"/>
        <w:spacing w:after="0" w:line="234" w:lineRule="auto"/>
        <w:tabs>
          <w:tab w:leader="none" w:pos="1420" w:val="left"/>
        </w:tabs>
        <w:numPr>
          <w:ilvl w:val="0"/>
          <w:numId w:val="1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notice of intention to terminate the Agreement is published in the Commonwealth Government Gazette and major Victorian newspapers; and</w:t>
      </w:r>
    </w:p>
    <w:p>
      <w:pPr>
        <w:spacing w:after="0" w:line="250" w:lineRule="exact"/>
        <w:rPr>
          <w:rFonts w:ascii="Times New Roman" w:cs="Times New Roman" w:eastAsia="Times New Roman" w:hAnsi="Times New Roman"/>
          <w:sz w:val="22"/>
          <w:szCs w:val="22"/>
          <w:color w:val="auto"/>
        </w:rPr>
      </w:pPr>
    </w:p>
    <w:p>
      <w:pPr>
        <w:ind w:left="1420" w:hanging="712"/>
        <w:spacing w:after="0" w:line="235" w:lineRule="auto"/>
        <w:tabs>
          <w:tab w:leader="none" w:pos="1420" w:val="left"/>
        </w:tabs>
        <w:numPr>
          <w:ilvl w:val="0"/>
          <w:numId w:val="142"/>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a period of 12 months has passed since the publication of the notice of intention referred to in clause 93A(a).</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Five-yearly Reviews where termination right exercised</w:t>
      </w:r>
    </w:p>
    <w:p>
      <w:pPr>
        <w:spacing w:after="0" w:line="237"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2"/>
          <w:szCs w:val="22"/>
          <w:color w:val="auto"/>
        </w:rPr>
        <w:t>93B.</w:t>
      </w:r>
      <w:r>
        <w:rPr>
          <w:sz w:val="20"/>
          <w:szCs w:val="20"/>
          <w:color w:val="auto"/>
        </w:rPr>
        <w:tab/>
      </w:r>
      <w:r>
        <w:rPr>
          <w:rFonts w:ascii="Times New Roman" w:cs="Times New Roman" w:eastAsia="Times New Roman" w:hAnsi="Times New Roman"/>
          <w:sz w:val="22"/>
          <w:szCs w:val="22"/>
          <w:color w:val="auto"/>
        </w:rPr>
        <w:t>If a Five-yearly Review is due to commence in the 12 month period following:</w:t>
      </w:r>
    </w:p>
    <w:p>
      <w:pPr>
        <w:spacing w:after="0" w:line="277" w:lineRule="exact"/>
        <w:rPr>
          <w:sz w:val="20"/>
          <w:szCs w:val="20"/>
          <w:color w:val="auto"/>
        </w:rPr>
      </w:pPr>
    </w:p>
    <w:p>
      <w:pPr>
        <w:ind w:left="1420" w:hanging="712"/>
        <w:spacing w:after="0"/>
        <w:tabs>
          <w:tab w:leader="none" w:pos="1420" w:val="left"/>
        </w:tabs>
        <w:numPr>
          <w:ilvl w:val="0"/>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giving of notice under clause 93(d); or</w:t>
      </w:r>
    </w:p>
    <w:p>
      <w:pPr>
        <w:spacing w:after="0" w:line="288" w:lineRule="exact"/>
        <w:rPr>
          <w:rFonts w:ascii="Times New Roman" w:cs="Times New Roman" w:eastAsia="Times New Roman" w:hAnsi="Times New Roman"/>
          <w:sz w:val="22"/>
          <w:szCs w:val="22"/>
          <w:color w:val="auto"/>
        </w:rPr>
      </w:pPr>
    </w:p>
    <w:p>
      <w:pPr>
        <w:ind w:left="1420" w:right="20" w:hanging="712"/>
        <w:spacing w:after="0" w:line="264" w:lineRule="auto"/>
        <w:tabs>
          <w:tab w:leader="none" w:pos="1420" w:val="left"/>
        </w:tabs>
        <w:numPr>
          <w:ilvl w:val="0"/>
          <w:numId w:val="143"/>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the publication of a notice of intention to terminate this Agreement pursuant to clause 93A(a),</w:t>
      </w:r>
    </w:p>
    <w:p>
      <w:pPr>
        <w:spacing w:after="0" w:line="200" w:lineRule="exact"/>
        <w:rPr>
          <w:sz w:val="20"/>
          <w:szCs w:val="20"/>
          <w:color w:val="auto"/>
        </w:rPr>
      </w:pPr>
    </w:p>
    <w:p>
      <w:pPr>
        <w:spacing w:after="0" w:line="391"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50</w:t>
      </w:r>
    </w:p>
    <w:p>
      <w:pPr>
        <w:sectPr>
          <w:pgSz w:w="11900" w:h="16838" w:orient="portrait"/>
          <w:cols w:equalWidth="0" w:num="1">
            <w:col w:w="9200"/>
          </w:cols>
          <w:pgMar w:left="1440" w:top="1440" w:right="1266" w:bottom="149" w:gutter="0" w:footer="0" w:header="0"/>
        </w:sectPr>
      </w:pPr>
    </w:p>
    <w:bookmarkStart w:id="50" w:name="page51"/>
    <w:bookmarkEnd w:id="50"/>
    <w:p>
      <w:pPr>
        <w:ind w:left="700"/>
        <w:spacing w:after="0"/>
        <w:rPr>
          <w:sz w:val="20"/>
          <w:szCs w:val="20"/>
          <w:color w:val="auto"/>
        </w:rPr>
      </w:pPr>
      <w:r>
        <w:rPr>
          <w:rFonts w:ascii="Times New Roman" w:cs="Times New Roman" w:eastAsia="Times New Roman" w:hAnsi="Times New Roman"/>
          <w:sz w:val="22"/>
          <w:szCs w:val="22"/>
          <w:color w:val="auto"/>
        </w:rPr>
        <w:t>the Parties can agree that no Five-yearly Review need be undertaken.</w:t>
      </w:r>
    </w:p>
    <w:p>
      <w:pPr>
        <w:spacing w:after="0" w:line="28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Miscellaneous</w:t>
      </w:r>
    </w:p>
    <w:p>
      <w:pPr>
        <w:spacing w:after="0" w:line="248" w:lineRule="exact"/>
        <w:rPr>
          <w:sz w:val="20"/>
          <w:szCs w:val="20"/>
          <w:color w:val="auto"/>
        </w:rPr>
      </w:pPr>
    </w:p>
    <w:p>
      <w:pPr>
        <w:ind w:left="700" w:right="20" w:hanging="699"/>
        <w:spacing w:after="0" w:line="264" w:lineRule="auto"/>
        <w:tabs>
          <w:tab w:leader="none" w:pos="680" w:val="left"/>
        </w:tabs>
        <w:rPr>
          <w:sz w:val="20"/>
          <w:szCs w:val="20"/>
          <w:color w:val="auto"/>
        </w:rPr>
      </w:pPr>
      <w:r>
        <w:rPr>
          <w:rFonts w:ascii="Times New Roman" w:cs="Times New Roman" w:eastAsia="Times New Roman" w:hAnsi="Times New Roman"/>
          <w:sz w:val="22"/>
          <w:szCs w:val="22"/>
          <w:color w:val="auto"/>
        </w:rPr>
        <w:t>93C.</w:t>
      </w:r>
      <w:r>
        <w:rPr>
          <w:sz w:val="20"/>
          <w:szCs w:val="20"/>
          <w:color w:val="auto"/>
        </w:rPr>
        <w:tab/>
      </w:r>
      <w:r>
        <w:rPr>
          <w:rFonts w:ascii="Times New Roman" w:cs="Times New Roman" w:eastAsia="Times New Roman" w:hAnsi="Times New Roman"/>
          <w:sz w:val="22"/>
          <w:szCs w:val="22"/>
          <w:color w:val="auto"/>
        </w:rPr>
        <w:t>This Agreement may be executed in any number of counterparts, all of which taken together constitute one and the same instrument.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51</w:t>
      </w:r>
    </w:p>
    <w:p>
      <w:pPr>
        <w:sectPr>
          <w:pgSz w:w="11900" w:h="16838" w:orient="portrait"/>
          <w:cols w:equalWidth="0" w:num="1">
            <w:col w:w="9200"/>
          </w:cols>
          <w:pgMar w:left="1440" w:top="1432" w:right="1266" w:bottom="149" w:gutter="0" w:footer="0" w:header="0"/>
        </w:sectPr>
      </w:pPr>
    </w:p>
    <w:bookmarkStart w:id="51" w:name="page52"/>
    <w:bookmarkEnd w:id="51"/>
    <w:p>
      <w:pPr>
        <w:spacing w:after="0" w:line="4"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2"/>
          <w:szCs w:val="22"/>
          <w:color w:val="auto"/>
        </w:rPr>
        <w:t>IN WITNESS WHEREOF this Agreement has been signed for and on behalf of the Parties as at the day and year first above written.</w:t>
      </w: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SIGNED by</w:t>
      </w:r>
    </w:p>
    <w:p>
      <w:pPr>
        <w:spacing w:after="0" w:line="232"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22"/>
          <w:szCs w:val="22"/>
          <w:color w:val="auto"/>
        </w:rPr>
        <w:t>)</w:t>
      </w:r>
    </w:p>
    <w:p>
      <w:pPr>
        <w:spacing w:after="0" w:line="186" w:lineRule="exact"/>
        <w:rPr>
          <w:sz w:val="20"/>
          <w:szCs w:val="20"/>
          <w:color w:val="auto"/>
        </w:rPr>
      </w:pPr>
    </w:p>
    <w:p>
      <w:pPr>
        <w:spacing w:after="0"/>
        <w:tabs>
          <w:tab w:leader="none" w:pos="6720" w:val="left"/>
        </w:tabs>
        <w:rPr>
          <w:sz w:val="20"/>
          <w:szCs w:val="20"/>
          <w:color w:val="auto"/>
        </w:rPr>
      </w:pPr>
      <w:r>
        <w:rPr>
          <w:rFonts w:ascii="Times New Roman" w:cs="Times New Roman" w:eastAsia="Times New Roman" w:hAnsi="Times New Roman"/>
          <w:sz w:val="22"/>
          <w:szCs w:val="22"/>
          <w:color w:val="auto"/>
        </w:rPr>
        <w:t>the HONOURABLE JOHN WINSTON HOWARD MP, Prime Minister</w:t>
      </w:r>
      <w:r>
        <w:rPr>
          <w:sz w:val="20"/>
          <w:szCs w:val="20"/>
          <w:color w:val="auto"/>
        </w:rPr>
        <w:tab/>
      </w:r>
      <w:r>
        <w:rPr>
          <w:rFonts w:ascii="Times New Roman" w:cs="Times New Roman" w:eastAsia="Times New Roman" w:hAnsi="Times New Roman"/>
          <w:sz w:val="18"/>
          <w:szCs w:val="18"/>
          <w:color w:val="auto"/>
        </w:rPr>
        <w:t>)</w:t>
      </w:r>
    </w:p>
    <w:p>
      <w:pPr>
        <w:spacing w:after="0" w:line="186"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22"/>
          <w:szCs w:val="22"/>
          <w:color w:val="auto"/>
        </w:rPr>
        <w:t>)</w:t>
      </w: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for and on behalf of the Commonwealth of Australia</w:t>
      </w:r>
    </w:p>
    <w:p>
      <w:pPr>
        <w:spacing w:after="0" w:line="229"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22"/>
          <w:szCs w:val="22"/>
          <w:color w:val="auto"/>
        </w:rPr>
        <w:t>)</w:t>
      </w:r>
    </w:p>
    <w:p>
      <w:pPr>
        <w:spacing w:after="0" w:line="186" w:lineRule="exact"/>
        <w:rPr>
          <w:sz w:val="20"/>
          <w:szCs w:val="20"/>
          <w:color w:val="auto"/>
        </w:rPr>
      </w:pPr>
    </w:p>
    <w:p>
      <w:pPr>
        <w:spacing w:after="0"/>
        <w:tabs>
          <w:tab w:leader="none" w:pos="6720" w:val="left"/>
        </w:tabs>
        <w:rPr>
          <w:sz w:val="20"/>
          <w:szCs w:val="20"/>
          <w:color w:val="auto"/>
        </w:rPr>
      </w:pPr>
      <w:r>
        <w:rPr>
          <w:rFonts w:ascii="Times New Roman" w:cs="Times New Roman" w:eastAsia="Times New Roman" w:hAnsi="Times New Roman"/>
          <w:sz w:val="22"/>
          <w:szCs w:val="22"/>
          <w:color w:val="auto"/>
        </w:rPr>
        <w:t>in the presence of:</w:t>
      </w:r>
      <w:r>
        <w:rPr>
          <w:sz w:val="20"/>
          <w:szCs w:val="20"/>
          <w:color w:val="auto"/>
        </w:rPr>
        <w:tab/>
      </w:r>
      <w:r>
        <w:rPr>
          <w:rFonts w:ascii="Times New Roman" w:cs="Times New Roman" w:eastAsia="Times New Roman" w:hAnsi="Times New Roman"/>
          <w:sz w:val="18"/>
          <w:szCs w:val="18"/>
          <w:color w:val="auto"/>
        </w:rPr>
        <w:t>)</w:t>
      </w:r>
    </w:p>
    <w:p>
      <w:pPr>
        <w:spacing w:after="0" w:line="186"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SIGNED by</w:t>
      </w:r>
    </w:p>
    <w:p>
      <w:pPr>
        <w:spacing w:after="0" w:line="229"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22"/>
          <w:szCs w:val="22"/>
          <w:color w:val="auto"/>
        </w:rPr>
        <w:t>)</w:t>
      </w:r>
    </w:p>
    <w:p>
      <w:pPr>
        <w:spacing w:after="0" w:line="189" w:lineRule="exact"/>
        <w:rPr>
          <w:sz w:val="20"/>
          <w:szCs w:val="20"/>
          <w:color w:val="auto"/>
        </w:rPr>
      </w:pPr>
    </w:p>
    <w:p>
      <w:pPr>
        <w:spacing w:after="0"/>
        <w:tabs>
          <w:tab w:leader="none" w:pos="6720" w:val="left"/>
        </w:tabs>
        <w:rPr>
          <w:sz w:val="20"/>
          <w:szCs w:val="20"/>
          <w:color w:val="auto"/>
        </w:rPr>
      </w:pPr>
      <w:r>
        <w:rPr>
          <w:rFonts w:ascii="Times New Roman" w:cs="Times New Roman" w:eastAsia="Times New Roman" w:hAnsi="Times New Roman"/>
          <w:sz w:val="22"/>
          <w:szCs w:val="22"/>
          <w:color w:val="auto"/>
        </w:rPr>
        <w:t>the HONOURABLE JEFF KENNETT MLA, Premier</w:t>
      </w:r>
      <w:r>
        <w:rPr>
          <w:sz w:val="20"/>
          <w:szCs w:val="20"/>
          <w:color w:val="auto"/>
        </w:rPr>
        <w:tab/>
      </w:r>
      <w:r>
        <w:rPr>
          <w:rFonts w:ascii="Times New Roman" w:cs="Times New Roman" w:eastAsia="Times New Roman" w:hAnsi="Times New Roman"/>
          <w:sz w:val="18"/>
          <w:szCs w:val="18"/>
          <w:color w:val="auto"/>
        </w:rPr>
        <w:t>)</w:t>
      </w:r>
    </w:p>
    <w:p>
      <w:pPr>
        <w:spacing w:after="0" w:line="186"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for and on behalf of the State of Victoria</w:t>
      </w:r>
    </w:p>
    <w:p>
      <w:pPr>
        <w:spacing w:after="0" w:line="229"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22"/>
          <w:szCs w:val="22"/>
          <w:color w:val="auto"/>
        </w:rPr>
        <w:t>)</w:t>
      </w:r>
    </w:p>
    <w:p>
      <w:pPr>
        <w:spacing w:after="0" w:line="189" w:lineRule="exact"/>
        <w:rPr>
          <w:sz w:val="20"/>
          <w:szCs w:val="20"/>
          <w:color w:val="auto"/>
        </w:rPr>
      </w:pPr>
    </w:p>
    <w:p>
      <w:pPr>
        <w:spacing w:after="0"/>
        <w:tabs>
          <w:tab w:leader="none" w:pos="6720" w:val="left"/>
        </w:tabs>
        <w:rPr>
          <w:sz w:val="20"/>
          <w:szCs w:val="20"/>
          <w:color w:val="auto"/>
        </w:rPr>
      </w:pPr>
      <w:r>
        <w:rPr>
          <w:rFonts w:ascii="Times New Roman" w:cs="Times New Roman" w:eastAsia="Times New Roman" w:hAnsi="Times New Roman"/>
          <w:sz w:val="22"/>
          <w:szCs w:val="22"/>
          <w:color w:val="auto"/>
        </w:rPr>
        <w:t>in the presence of:</w:t>
      </w:r>
      <w:r>
        <w:rPr>
          <w:sz w:val="20"/>
          <w:szCs w:val="20"/>
          <w:color w:val="auto"/>
        </w:rPr>
        <w:tab/>
      </w:r>
      <w:r>
        <w:rPr>
          <w:rFonts w:ascii="Times New Roman" w:cs="Times New Roman" w:eastAsia="Times New Roman" w:hAnsi="Times New Roman"/>
          <w:sz w:val="18"/>
          <w:szCs w:val="18"/>
          <w:color w:val="auto"/>
        </w:rPr>
        <w:t>)</w:t>
      </w:r>
    </w:p>
    <w:p>
      <w:pPr>
        <w:spacing w:after="0" w:line="187" w:lineRule="exact"/>
        <w:rPr>
          <w:sz w:val="20"/>
          <w:szCs w:val="20"/>
          <w:color w:val="auto"/>
        </w:rPr>
      </w:pPr>
    </w:p>
    <w:p>
      <w:pPr>
        <w:ind w:left="6740"/>
        <w:spacing w:after="0"/>
        <w:rPr>
          <w:sz w:val="20"/>
          <w:szCs w:val="20"/>
          <w:color w:val="auto"/>
        </w:rPr>
      </w:pPr>
      <w:r>
        <w:rPr>
          <w:rFonts w:ascii="Times New Roman" w:cs="Times New Roman" w:eastAsia="Times New Roman" w:hAnsi="Times New Roman"/>
          <w:sz w:val="22"/>
          <w:szCs w:val="22"/>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6"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52</w:t>
      </w:r>
    </w:p>
    <w:p>
      <w:pPr>
        <w:sectPr>
          <w:pgSz w:w="11900" w:h="16838" w:orient="portrait"/>
          <w:cols w:equalWidth="0" w:num="1">
            <w:col w:w="9200"/>
          </w:cols>
          <w:pgMar w:left="1440" w:top="1440" w:right="1266" w:bottom="149" w:gutter="0" w:footer="0" w:header="0"/>
        </w:sectPr>
      </w:pPr>
    </w:p>
    <w:bookmarkStart w:id="52" w:name="page53"/>
    <w:bookmarkEnd w:id="52"/>
    <w:p>
      <w:pPr>
        <w:ind w:left="7420"/>
        <w:spacing w:after="0"/>
        <w:rPr>
          <w:sz w:val="20"/>
          <w:szCs w:val="20"/>
          <w:color w:val="auto"/>
        </w:rPr>
      </w:pPr>
      <w:r>
        <w:rPr>
          <w:rFonts w:ascii="Times New Roman" w:cs="Times New Roman" w:eastAsia="Times New Roman" w:hAnsi="Times New Roman"/>
          <w:sz w:val="22"/>
          <w:szCs w:val="22"/>
          <w:b w:val="1"/>
          <w:bCs w:val="1"/>
          <w:color w:val="auto"/>
        </w:rPr>
        <w:t>ATTACHMENT 1</w:t>
      </w: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COMPREHENSIVE, ADEQUATE AND REPRESENTATIVE (CAR) RESERVE SYSTEM</w:t>
      </w:r>
    </w:p>
    <w:p>
      <w:pPr>
        <w:spacing w:after="0" w:line="243" w:lineRule="exact"/>
        <w:rPr>
          <w:sz w:val="20"/>
          <w:szCs w:val="20"/>
          <w:color w:val="auto"/>
        </w:rPr>
      </w:pPr>
    </w:p>
    <w:p>
      <w:pPr>
        <w:jc w:val="both"/>
        <w:spacing w:after="0" w:line="289" w:lineRule="auto"/>
        <w:rPr>
          <w:sz w:val="20"/>
          <w:szCs w:val="20"/>
          <w:color w:val="auto"/>
        </w:rPr>
      </w:pPr>
      <w:r>
        <w:rPr>
          <w:rFonts w:ascii="Times New Roman" w:cs="Times New Roman" w:eastAsia="Times New Roman" w:hAnsi="Times New Roman"/>
          <w:sz w:val="21"/>
          <w:szCs w:val="21"/>
          <w:color w:val="auto"/>
        </w:rPr>
        <w:t>The National Forest Policy Statement (NFPS) established that the CAR Reserve System will in the first instance be selected from Public Land. Provision is also made in the JANIS Reserve Criteria for inclusion of Private Land in the CAR Reserve System, using the mechanism outlined in this Attachment.</w:t>
      </w:r>
    </w:p>
    <w:p>
      <w:pPr>
        <w:spacing w:after="0" w:line="200" w:lineRule="exact"/>
        <w:rPr>
          <w:sz w:val="20"/>
          <w:szCs w:val="20"/>
          <w:color w:val="auto"/>
        </w:rPr>
      </w:pPr>
    </w:p>
    <w:p>
      <w:pPr>
        <w:jc w:val="both"/>
        <w:spacing w:after="0" w:line="271" w:lineRule="auto"/>
        <w:rPr>
          <w:sz w:val="20"/>
          <w:szCs w:val="20"/>
          <w:color w:val="auto"/>
        </w:rPr>
      </w:pPr>
      <w:r>
        <w:rPr>
          <w:rFonts w:ascii="Times New Roman" w:cs="Times New Roman" w:eastAsia="Times New Roman" w:hAnsi="Times New Roman"/>
          <w:sz w:val="22"/>
          <w:szCs w:val="22"/>
          <w:color w:val="auto"/>
        </w:rPr>
        <w:t>In the Central Highlands, the CAR Reserve System primarily comprises areas established for conservation purposes (eg National and State Parks) and areas reserved for conservation within the Special Protection Zone (SPZ) in State Forest.</w:t>
      </w:r>
    </w:p>
    <w:p>
      <w:pPr>
        <w:spacing w:after="0" w:line="216" w:lineRule="exact"/>
        <w:rPr>
          <w:sz w:val="20"/>
          <w:szCs w:val="20"/>
          <w:color w:val="auto"/>
        </w:rPr>
      </w:pPr>
    </w:p>
    <w:p>
      <w:pPr>
        <w:jc w:val="both"/>
        <w:ind w:right="20"/>
        <w:spacing w:after="0" w:line="264" w:lineRule="auto"/>
        <w:rPr>
          <w:sz w:val="20"/>
          <w:szCs w:val="20"/>
          <w:color w:val="auto"/>
        </w:rPr>
      </w:pPr>
      <w:r>
        <w:rPr>
          <w:rFonts w:ascii="Times New Roman" w:cs="Times New Roman" w:eastAsia="Times New Roman" w:hAnsi="Times New Roman"/>
          <w:sz w:val="22"/>
          <w:szCs w:val="22"/>
          <w:color w:val="auto"/>
        </w:rPr>
        <w:t>The CAR Reserve System has the following four components, as described by the JANIS Reserve Criteria:</w:t>
      </w:r>
    </w:p>
    <w:p>
      <w:pPr>
        <w:spacing w:after="0" w:line="226" w:lineRule="exact"/>
        <w:rPr>
          <w:sz w:val="20"/>
          <w:szCs w:val="20"/>
          <w:color w:val="auto"/>
        </w:rPr>
      </w:pPr>
    </w:p>
    <w:p>
      <w:pPr>
        <w:jc w:val="both"/>
        <w:ind w:left="280" w:hanging="279"/>
        <w:spacing w:after="0" w:line="234" w:lineRule="auto"/>
        <w:tabs>
          <w:tab w:leader="none" w:pos="260" w:val="left"/>
        </w:tabs>
        <w:rPr>
          <w:sz w:val="20"/>
          <w:szCs w:val="20"/>
          <w:color w:val="auto"/>
        </w:rPr>
      </w:pPr>
      <w:r>
        <w:rPr>
          <w:rFonts w:ascii="Times New Roman" w:cs="Times New Roman" w:eastAsia="Times New Roman" w:hAnsi="Times New Roman"/>
          <w:sz w:val="22"/>
          <w:szCs w:val="22"/>
          <w:color w:val="auto"/>
        </w:rPr>
        <w:t>i.</w:t>
        <w:tab/>
        <w:t>Dedicated Reserves. This comprises reserves established through legislation for conservation purposes such as National Parks, State Parks and Flora and Fauna Reserves;</w:t>
      </w:r>
    </w:p>
    <w:p>
      <w:pPr>
        <w:spacing w:after="0" w:line="265" w:lineRule="exact"/>
        <w:rPr>
          <w:sz w:val="20"/>
          <w:szCs w:val="20"/>
          <w:color w:val="auto"/>
        </w:rPr>
      </w:pPr>
    </w:p>
    <w:p>
      <w:pPr>
        <w:ind w:left="280" w:hanging="280"/>
        <w:spacing w:after="0" w:line="234" w:lineRule="auto"/>
        <w:tabs>
          <w:tab w:leader="none" w:pos="280" w:val="left"/>
        </w:tabs>
        <w:numPr>
          <w:ilvl w:val="0"/>
          <w:numId w:val="1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Informal Reserves. This comprises elements of the Special Protection Zone (SPZ) in State Forest and other areas of Public Land;</w:t>
      </w:r>
    </w:p>
    <w:p>
      <w:pPr>
        <w:spacing w:after="0" w:line="265" w:lineRule="exact"/>
        <w:rPr>
          <w:rFonts w:ascii="Times New Roman" w:cs="Times New Roman" w:eastAsia="Times New Roman" w:hAnsi="Times New Roman"/>
          <w:sz w:val="22"/>
          <w:szCs w:val="22"/>
          <w:color w:val="auto"/>
        </w:rPr>
      </w:pPr>
    </w:p>
    <w:p>
      <w:pPr>
        <w:jc w:val="both"/>
        <w:ind w:left="280" w:hanging="280"/>
        <w:spacing w:after="0" w:line="236" w:lineRule="auto"/>
        <w:tabs>
          <w:tab w:leader="none" w:pos="280" w:val="left"/>
        </w:tabs>
        <w:numPr>
          <w:ilvl w:val="0"/>
          <w:numId w:val="1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Values protected by Prescription. This comprises those elements of General Management Zone (GMZ) or Special Management Zone (SMZ) protected by regional prescriptions, including stream buffers and Rainforest; and</w:t>
      </w:r>
    </w:p>
    <w:p>
      <w:pPr>
        <w:spacing w:after="0" w:line="266" w:lineRule="exact"/>
        <w:rPr>
          <w:rFonts w:ascii="Times New Roman" w:cs="Times New Roman" w:eastAsia="Times New Roman" w:hAnsi="Times New Roman"/>
          <w:sz w:val="22"/>
          <w:szCs w:val="22"/>
          <w:color w:val="auto"/>
        </w:rPr>
      </w:pPr>
    </w:p>
    <w:p>
      <w:pPr>
        <w:ind w:left="280" w:hanging="280"/>
        <w:spacing w:after="0" w:line="234" w:lineRule="auto"/>
        <w:tabs>
          <w:tab w:leader="none" w:pos="280" w:val="left"/>
        </w:tabs>
        <w:numPr>
          <w:ilvl w:val="0"/>
          <w:numId w:val="144"/>
        </w:numPr>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Private Land mechanisms which ensure protection, such as covenants on freehold land as described in this Attachment.</w:t>
      </w:r>
    </w:p>
    <w:p>
      <w:pPr>
        <w:spacing w:after="0" w:line="265"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2"/>
          <w:szCs w:val="22"/>
          <w:color w:val="auto"/>
        </w:rPr>
        <w:t>The CAR Reserve System in the Central Highlands as at 1998 covered an area of approximately 297,000 hectares (about half of the public land in the region or 27 percent of the entire region).</w:t>
      </w:r>
    </w:p>
    <w:p>
      <w:pPr>
        <w:spacing w:after="0" w:line="263"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21"/>
          <w:szCs w:val="21"/>
          <w:color w:val="auto"/>
        </w:rPr>
        <w:t>As at December 2019, the total CAR Reserve System in the Central Highlands is approximately 362,000 hectares. The Dedicated Reserve component of the CAR Reserve System covers approximately 183,000 hectares, the Informal Reserve component 95,000 hectares, and the areas protected by prescription add another 84,000 hectares to the reserve system. There are 330 hectares of Private Land managed for conservation in line with the JANIS Reserve Criteria that forms part of the CAR Reserve System.</w:t>
      </w:r>
    </w:p>
    <w:p>
      <w:pPr>
        <w:spacing w:after="0" w:line="257" w:lineRule="exact"/>
        <w:rPr>
          <w:sz w:val="20"/>
          <w:szCs w:val="20"/>
          <w:color w:val="auto"/>
        </w:rPr>
      </w:pPr>
    </w:p>
    <w:p>
      <w:pPr>
        <w:jc w:val="both"/>
        <w:spacing w:after="0" w:line="273" w:lineRule="auto"/>
        <w:rPr>
          <w:sz w:val="20"/>
          <w:szCs w:val="20"/>
          <w:color w:val="auto"/>
        </w:rPr>
      </w:pPr>
      <w:r>
        <w:rPr>
          <w:rFonts w:ascii="Times New Roman" w:cs="Times New Roman" w:eastAsia="Times New Roman" w:hAnsi="Times New Roman"/>
          <w:sz w:val="22"/>
          <w:szCs w:val="22"/>
          <w:color w:val="auto"/>
        </w:rPr>
        <w:t>Map 1 illustrates the extent of the CAR Reserve System as at 1998 in the Central Highlands in Dedicated Reserves and Informal Reserves as a consequence of this Agreement. Other areas protected by prescription were also included in the CAR Reserve System at this time. Levels of protection of Ecological Vegetation Classes (EVCs) and Old Growth Forest achieved in the CAR Reserve System in 1998 by this Agreement are shown in Tables 1 and 2.</w:t>
      </w:r>
    </w:p>
    <w:p>
      <w:pPr>
        <w:spacing w:after="0" w:line="215" w:lineRule="exact"/>
        <w:rPr>
          <w:sz w:val="20"/>
          <w:szCs w:val="20"/>
          <w:color w:val="auto"/>
        </w:rPr>
      </w:pPr>
    </w:p>
    <w:p>
      <w:pPr>
        <w:jc w:val="both"/>
        <w:spacing w:after="0" w:line="274" w:lineRule="auto"/>
        <w:rPr>
          <w:sz w:val="20"/>
          <w:szCs w:val="20"/>
          <w:color w:val="auto"/>
        </w:rPr>
      </w:pPr>
      <w:r>
        <w:rPr>
          <w:rFonts w:ascii="Times New Roman" w:cs="Times New Roman" w:eastAsia="Times New Roman" w:hAnsi="Times New Roman"/>
          <w:sz w:val="22"/>
          <w:szCs w:val="22"/>
          <w:color w:val="auto"/>
        </w:rPr>
        <w:t xml:space="preserve">Map 2 illustrates the extent of the CAR Reserve System in the RFA Region in Dedicated </w:t>
      </w:r>
      <w:r>
        <w:rPr>
          <w:rFonts w:ascii="Times New Roman" w:cs="Times New Roman" w:eastAsia="Times New Roman" w:hAnsi="Times New Roman"/>
          <w:sz w:val="22"/>
          <w:szCs w:val="22"/>
          <w:u w:val="single" w:color="auto"/>
          <w:color w:val="auto"/>
        </w:rPr>
        <w:t>Reserves</w:t>
      </w:r>
      <w:r>
        <w:rPr>
          <w:rFonts w:ascii="Times New Roman" w:cs="Times New Roman" w:eastAsia="Times New Roman" w:hAnsi="Times New Roman"/>
          <w:sz w:val="22"/>
          <w:szCs w:val="22"/>
          <w:color w:val="auto"/>
        </w:rPr>
        <w:t xml:space="preserve"> and Informal Reserves as at December 2019. Levels of protection of forest EVCs, non-Forest EVCs and Old Growth Forest in the CAR Reserve System as at December 2019 are shown in Tables 1a, 1b and 2a. Information presented in these tables reflects available data prior to the commencement of the 2019/20 bushfires in Victoria and does not reflect impacts to Forest or non-Forest EVCs and Old Growth Forest resulting from those bushfires. CAR Reserve System and EVC layers will continue to be updated over time, including to incorporate changes resulting from the 2019/20 bushfires.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53</w:t>
      </w:r>
    </w:p>
    <w:p>
      <w:pPr>
        <w:sectPr>
          <w:pgSz w:w="11900" w:h="16838" w:orient="portrait"/>
          <w:cols w:equalWidth="0" w:num="1">
            <w:col w:w="9200"/>
          </w:cols>
          <w:pgMar w:left="1440" w:top="1437" w:right="1266" w:bottom="149" w:gutter="0" w:footer="0" w:header="0"/>
        </w:sectPr>
      </w:pPr>
    </w:p>
    <w:bookmarkStart w:id="53" w:name="page54"/>
    <w:bookmarkEnd w:id="53"/>
    <w:p>
      <w:pPr>
        <w:spacing w:after="0" w:line="4" w:lineRule="exact"/>
        <w:rPr>
          <w:sz w:val="20"/>
          <w:szCs w:val="20"/>
          <w:color w:val="auto"/>
        </w:rPr>
      </w:pPr>
    </w:p>
    <w:p>
      <w:pPr>
        <w:jc w:val="both"/>
        <w:ind w:right="60"/>
        <w:spacing w:after="0" w:line="270" w:lineRule="auto"/>
        <w:rPr>
          <w:rFonts w:ascii="Times New Roman" w:cs="Times New Roman" w:eastAsia="Times New Roman" w:hAnsi="Times New Roman"/>
          <w:sz w:val="22"/>
          <w:szCs w:val="22"/>
          <w:color w:val="auto"/>
        </w:rPr>
      </w:pPr>
      <w:r>
        <w:rPr>
          <w:rFonts w:ascii="Times New Roman" w:cs="Times New Roman" w:eastAsia="Times New Roman" w:hAnsi="Times New Roman"/>
          <w:sz w:val="22"/>
          <w:szCs w:val="22"/>
          <w:color w:val="auto"/>
        </w:rPr>
        <w:t xml:space="preserve">The extent of the CAR Reserve System in the RFA Region in Dedicated Reserves and Informal Reserves, and the EVC spatial layer, will be stored in the Victorian Spatial Data Library and made publicly available via the Data.Vic website </w:t>
      </w:r>
      <w:hyperlink r:id="rId8">
        <w:r>
          <w:rPr>
            <w:rFonts w:ascii="Times New Roman" w:cs="Times New Roman" w:eastAsia="Times New Roman" w:hAnsi="Times New Roman"/>
            <w:sz w:val="22"/>
            <w:szCs w:val="22"/>
            <w:color w:val="auto"/>
          </w:rPr>
          <w:t>(https://data.vic.gov.au/)</w:t>
        </w:r>
      </w:hyperlink>
      <w:r>
        <w:rPr>
          <w:rFonts w:ascii="Times New Roman" w:cs="Times New Roman" w:eastAsia="Times New Roman" w:hAnsi="Times New Roman"/>
          <w:sz w:val="22"/>
          <w:szCs w:val="22"/>
          <w:color w:val="auto"/>
        </w:rPr>
        <w:t>.</w:t>
      </w:r>
    </w:p>
    <w:p>
      <w:pPr>
        <w:spacing w:after="0" w:line="224" w:lineRule="exact"/>
        <w:rPr>
          <w:sz w:val="20"/>
          <w:szCs w:val="20"/>
          <w:color w:val="auto"/>
        </w:rPr>
      </w:pPr>
    </w:p>
    <w:p>
      <w:pPr>
        <w:ind w:right="120"/>
        <w:spacing w:after="0" w:line="277" w:lineRule="auto"/>
        <w:rPr>
          <w:sz w:val="20"/>
          <w:szCs w:val="20"/>
          <w:color w:val="auto"/>
        </w:rPr>
      </w:pPr>
      <w:r>
        <w:rPr>
          <w:rFonts w:ascii="Times New Roman" w:cs="Times New Roman" w:eastAsia="Times New Roman" w:hAnsi="Times New Roman"/>
          <w:sz w:val="22"/>
          <w:szCs w:val="22"/>
          <w:b w:val="1"/>
          <w:bCs w:val="1"/>
          <w:color w:val="auto"/>
        </w:rPr>
        <w:t>Table 1 Representative conservation (percentage reservation status) of EVCs in the CAR Reserve System in the Central Highlands Region based on vegetation mapping to establish the pre-1750 extent of EVCs in the region</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as at 1998.</w:t>
      </w:r>
    </w:p>
    <w:p>
      <w:pPr>
        <w:spacing w:after="0" w:line="102" w:lineRule="exact"/>
        <w:rPr>
          <w:sz w:val="20"/>
          <w:szCs w:val="20"/>
          <w:color w:val="auto"/>
        </w:rPr>
      </w:pPr>
    </w:p>
    <w:tbl>
      <w:tblPr>
        <w:tblLayout w:type="fixed"/>
        <w:tblInd w:w="10" w:type="dxa"/>
        <w:tblCellMar>
          <w:top w:w="0" w:type="dxa"/>
          <w:left w:w="0" w:type="dxa"/>
          <w:bottom w:w="0" w:type="dxa"/>
          <w:right w:w="0" w:type="dxa"/>
        </w:tblCellMar>
      </w:tblPr>
      <w:tr>
        <w:trPr>
          <w:trHeight w:val="253"/>
        </w:trPr>
        <w:tc>
          <w:tcPr>
            <w:tcW w:w="1720" w:type="dxa"/>
            <w:vAlign w:val="bottom"/>
            <w:tcBorders>
              <w:top w:val="single" w:sz="8" w:color="auto"/>
              <w:left w:val="single" w:sz="8" w:color="auto"/>
              <w:right w:val="single" w:sz="8" w:color="auto"/>
            </w:tcBorders>
          </w:tcPr>
          <w:p>
            <w:pPr>
              <w:ind w:left="40"/>
              <w:spacing w:after="0"/>
              <w:rPr>
                <w:sz w:val="20"/>
                <w:szCs w:val="20"/>
                <w:color w:val="auto"/>
              </w:rPr>
            </w:pPr>
            <w:r>
              <w:rPr>
                <w:rFonts w:ascii="Calibri" w:cs="Calibri" w:eastAsia="Calibri" w:hAnsi="Calibri"/>
                <w:sz w:val="16"/>
                <w:szCs w:val="16"/>
                <w:b w:val="1"/>
                <w:bCs w:val="1"/>
                <w:color w:val="auto"/>
              </w:rPr>
              <w:t>Ecological Vegetation</w:t>
            </w:r>
          </w:p>
        </w:tc>
        <w:tc>
          <w:tcPr>
            <w:tcW w:w="1020" w:type="dxa"/>
            <w:vAlign w:val="bottom"/>
            <w:tcBorders>
              <w:top w:val="single" w:sz="8" w:color="auto"/>
              <w:right w:val="single" w:sz="8" w:color="auto"/>
            </w:tcBorders>
          </w:tcPr>
          <w:p>
            <w:pPr>
              <w:ind w:left="20"/>
              <w:spacing w:after="0"/>
              <w:rPr>
                <w:sz w:val="20"/>
                <w:szCs w:val="20"/>
                <w:color w:val="auto"/>
              </w:rPr>
            </w:pPr>
            <w:r>
              <w:rPr>
                <w:rFonts w:ascii="Calibri" w:cs="Calibri" w:eastAsia="Calibri" w:hAnsi="Calibri"/>
                <w:sz w:val="16"/>
                <w:szCs w:val="16"/>
                <w:b w:val="1"/>
                <w:bCs w:val="1"/>
                <w:color w:val="auto"/>
              </w:rPr>
              <w:t>EVC typology</w:t>
            </w:r>
          </w:p>
        </w:tc>
        <w:tc>
          <w:tcPr>
            <w:tcW w:w="1060" w:type="dxa"/>
            <w:vAlign w:val="bottom"/>
            <w:tcBorders>
              <w:top w:val="single" w:sz="8" w:color="auto"/>
            </w:tcBorders>
            <w:gridSpan w:val="2"/>
          </w:tcPr>
          <w:p>
            <w:pPr>
              <w:ind w:left="680"/>
              <w:spacing w:after="0"/>
              <w:rPr>
                <w:sz w:val="20"/>
                <w:szCs w:val="20"/>
                <w:color w:val="auto"/>
              </w:rPr>
            </w:pPr>
            <w:r>
              <w:rPr>
                <w:rFonts w:ascii="Calibri" w:cs="Calibri" w:eastAsia="Calibri" w:hAnsi="Calibri"/>
                <w:sz w:val="16"/>
                <w:szCs w:val="16"/>
                <w:b w:val="1"/>
                <w:bCs w:val="1"/>
                <w:color w:val="auto"/>
              </w:rPr>
              <w:t>Area</w:t>
            </w:r>
          </w:p>
        </w:tc>
        <w:tc>
          <w:tcPr>
            <w:tcW w:w="640" w:type="dxa"/>
            <w:vAlign w:val="bottom"/>
            <w:tcBorders>
              <w:top w:val="single" w:sz="8" w:color="auto"/>
              <w:right w:val="single" w:sz="8" w:color="auto"/>
            </w:tcBorders>
          </w:tcPr>
          <w:p>
            <w:pPr>
              <w:spacing w:after="0"/>
              <w:rPr>
                <w:sz w:val="21"/>
                <w:szCs w:val="21"/>
                <w:color w:val="auto"/>
              </w:rPr>
            </w:pPr>
          </w:p>
        </w:tc>
        <w:tc>
          <w:tcPr>
            <w:tcW w:w="84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w w:val="97"/>
              </w:rPr>
              <w:t>Percent</w:t>
            </w:r>
          </w:p>
        </w:tc>
        <w:tc>
          <w:tcPr>
            <w:tcW w:w="68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w w:val="92"/>
              </w:rPr>
              <w:t>Status</w:t>
            </w:r>
            <w:r>
              <w:rPr>
                <w:rFonts w:ascii="Calibri" w:cs="Calibri" w:eastAsia="Calibri" w:hAnsi="Calibri"/>
                <w:sz w:val="20"/>
                <w:szCs w:val="20"/>
                <w:b w:val="1"/>
                <w:bCs w:val="1"/>
                <w:color w:val="auto"/>
                <w:strike w:val="1"/>
                <w:w w:val="92"/>
                <w:vertAlign w:val="superscript"/>
              </w:rPr>
              <w:t>b</w:t>
            </w:r>
            <w:r>
              <w:rPr>
                <w:rFonts w:ascii="Calibri" w:cs="Calibri" w:eastAsia="Calibri" w:hAnsi="Calibri"/>
                <w:sz w:val="20"/>
                <w:szCs w:val="20"/>
                <w:b w:val="1"/>
                <w:bCs w:val="1"/>
                <w:color w:val="auto"/>
                <w:w w:val="92"/>
                <w:vertAlign w:val="superscript"/>
              </w:rPr>
              <w:t>c</w:t>
            </w:r>
          </w:p>
        </w:tc>
        <w:tc>
          <w:tcPr>
            <w:tcW w:w="3320" w:type="dxa"/>
            <w:vAlign w:val="bottom"/>
            <w:tcBorders>
              <w:top w:val="single" w:sz="8" w:color="auto"/>
              <w:right w:val="single" w:sz="8" w:color="auto"/>
            </w:tcBorders>
            <w:gridSpan w:val="4"/>
          </w:tcPr>
          <w:p>
            <w:pPr>
              <w:jc w:val="right"/>
              <w:ind w:right="140"/>
              <w:spacing w:after="0"/>
              <w:rPr>
                <w:sz w:val="20"/>
                <w:szCs w:val="20"/>
                <w:color w:val="auto"/>
              </w:rPr>
            </w:pPr>
            <w:r>
              <w:rPr>
                <w:rFonts w:ascii="Calibri" w:cs="Calibri" w:eastAsia="Calibri" w:hAnsi="Calibri"/>
                <w:sz w:val="16"/>
                <w:szCs w:val="16"/>
                <w:b w:val="1"/>
                <w:bCs w:val="1"/>
                <w:color w:val="auto"/>
              </w:rPr>
              <w:t>Percent of EVC (pre-1750) extent in the CAR</w:t>
            </w:r>
          </w:p>
        </w:tc>
      </w:tr>
      <w:tr>
        <w:trPr>
          <w:trHeight w:val="179"/>
        </w:trPr>
        <w:tc>
          <w:tcPr>
            <w:tcW w:w="1720" w:type="dxa"/>
            <w:vAlign w:val="bottom"/>
            <w:tcBorders>
              <w:left w:val="single" w:sz="8" w:color="auto"/>
              <w:right w:val="single" w:sz="8" w:color="auto"/>
            </w:tcBorders>
          </w:tcPr>
          <w:p>
            <w:pPr>
              <w:ind w:left="40"/>
              <w:spacing w:after="0" w:line="179" w:lineRule="exact"/>
              <w:rPr>
                <w:sz w:val="20"/>
                <w:szCs w:val="20"/>
                <w:color w:val="auto"/>
              </w:rPr>
            </w:pPr>
            <w:r>
              <w:rPr>
                <w:rFonts w:ascii="Calibri" w:cs="Calibri" w:eastAsia="Calibri" w:hAnsi="Calibri"/>
                <w:sz w:val="16"/>
                <w:szCs w:val="16"/>
                <w:b w:val="1"/>
                <w:bCs w:val="1"/>
                <w:color w:val="auto"/>
              </w:rPr>
              <w:t>Class</w:t>
            </w:r>
          </w:p>
        </w:tc>
        <w:tc>
          <w:tcPr>
            <w:tcW w:w="1020" w:type="dxa"/>
            <w:vAlign w:val="bottom"/>
            <w:tcBorders>
              <w:right w:val="single" w:sz="8" w:color="auto"/>
            </w:tcBorders>
          </w:tcPr>
          <w:p>
            <w:pPr>
              <w:ind w:left="20"/>
              <w:spacing w:after="0" w:line="179" w:lineRule="exact"/>
              <w:rPr>
                <w:sz w:val="20"/>
                <w:szCs w:val="20"/>
                <w:color w:val="auto"/>
              </w:rPr>
            </w:pPr>
            <w:r>
              <w:rPr>
                <w:rFonts w:ascii="Calibri" w:cs="Calibri" w:eastAsia="Calibri" w:hAnsi="Calibri"/>
                <w:sz w:val="16"/>
                <w:szCs w:val="16"/>
                <w:b w:val="1"/>
                <w:bCs w:val="1"/>
                <w:color w:val="auto"/>
              </w:rPr>
              <w:t>changes as at</w:t>
            </w:r>
          </w:p>
        </w:tc>
        <w:tc>
          <w:tcPr>
            <w:tcW w:w="860" w:type="dxa"/>
            <w:vAlign w:val="bottom"/>
          </w:tcPr>
          <w:p>
            <w:pPr>
              <w:spacing w:after="0"/>
              <w:rPr>
                <w:sz w:val="15"/>
                <w:szCs w:val="15"/>
                <w:color w:val="auto"/>
              </w:rPr>
            </w:pPr>
          </w:p>
        </w:tc>
        <w:tc>
          <w:tcPr>
            <w:tcW w:w="200" w:type="dxa"/>
            <w:vAlign w:val="bottom"/>
          </w:tcPr>
          <w:p>
            <w:pPr>
              <w:spacing w:after="0"/>
              <w:rPr>
                <w:sz w:val="15"/>
                <w:szCs w:val="15"/>
                <w:color w:val="auto"/>
              </w:rPr>
            </w:pPr>
          </w:p>
        </w:tc>
        <w:tc>
          <w:tcPr>
            <w:tcW w:w="640" w:type="dxa"/>
            <w:vAlign w:val="bottom"/>
            <w:tcBorders>
              <w:right w:val="single" w:sz="8" w:color="auto"/>
            </w:tcBorders>
          </w:tcPr>
          <w:p>
            <w:pPr>
              <w:spacing w:after="0"/>
              <w:rPr>
                <w:sz w:val="15"/>
                <w:szCs w:val="15"/>
                <w:color w:val="auto"/>
              </w:rPr>
            </w:pPr>
          </w:p>
        </w:tc>
        <w:tc>
          <w:tcPr>
            <w:tcW w:w="840" w:type="dxa"/>
            <w:vAlign w:val="bottom"/>
            <w:tcBorders>
              <w:right w:val="single" w:sz="8" w:color="auto"/>
            </w:tcBorders>
          </w:tcPr>
          <w:p>
            <w:pPr>
              <w:jc w:val="center"/>
              <w:spacing w:after="0" w:line="179" w:lineRule="exact"/>
              <w:rPr>
                <w:sz w:val="20"/>
                <w:szCs w:val="20"/>
                <w:color w:val="auto"/>
              </w:rPr>
            </w:pPr>
            <w:r>
              <w:rPr>
                <w:rFonts w:ascii="Calibri" w:cs="Calibri" w:eastAsia="Calibri" w:hAnsi="Calibri"/>
                <w:sz w:val="16"/>
                <w:szCs w:val="16"/>
                <w:b w:val="1"/>
                <w:bCs w:val="1"/>
                <w:color w:val="auto"/>
                <w:w w:val="99"/>
              </w:rPr>
              <w:t>Remaining</w:t>
            </w:r>
          </w:p>
        </w:tc>
        <w:tc>
          <w:tcPr>
            <w:tcW w:w="680" w:type="dxa"/>
            <w:vAlign w:val="bottom"/>
            <w:tcBorders>
              <w:right w:val="single" w:sz="8" w:color="auto"/>
            </w:tcBorders>
          </w:tcPr>
          <w:p>
            <w:pPr>
              <w:jc w:val="center"/>
              <w:spacing w:after="0" w:line="179" w:lineRule="exact"/>
              <w:rPr>
                <w:sz w:val="20"/>
                <w:szCs w:val="20"/>
                <w:color w:val="auto"/>
              </w:rPr>
            </w:pPr>
            <w:r>
              <w:rPr>
                <w:rFonts w:ascii="Calibri" w:cs="Calibri" w:eastAsia="Calibri" w:hAnsi="Calibri"/>
                <w:sz w:val="16"/>
                <w:szCs w:val="16"/>
                <w:b w:val="1"/>
                <w:bCs w:val="1"/>
                <w:color w:val="auto"/>
                <w:w w:val="95"/>
              </w:rPr>
              <w:t>as at</w:t>
            </w:r>
          </w:p>
        </w:tc>
        <w:tc>
          <w:tcPr>
            <w:tcW w:w="760" w:type="dxa"/>
            <w:vAlign w:val="bottom"/>
          </w:tcPr>
          <w:p>
            <w:pPr>
              <w:spacing w:after="0"/>
              <w:rPr>
                <w:sz w:val="15"/>
                <w:szCs w:val="15"/>
                <w:color w:val="auto"/>
              </w:rPr>
            </w:pPr>
          </w:p>
        </w:tc>
        <w:tc>
          <w:tcPr>
            <w:tcW w:w="1840" w:type="dxa"/>
            <w:vAlign w:val="bottom"/>
            <w:gridSpan w:val="2"/>
          </w:tcPr>
          <w:p>
            <w:pPr>
              <w:jc w:val="right"/>
              <w:spacing w:after="0" w:line="179" w:lineRule="exact"/>
              <w:rPr>
                <w:sz w:val="20"/>
                <w:szCs w:val="20"/>
                <w:color w:val="auto"/>
              </w:rPr>
            </w:pPr>
            <w:r>
              <w:rPr>
                <w:rFonts w:ascii="Calibri" w:cs="Calibri" w:eastAsia="Calibri" w:hAnsi="Calibri"/>
                <w:sz w:val="16"/>
                <w:szCs w:val="16"/>
                <w:b w:val="1"/>
                <w:bCs w:val="1"/>
                <w:color w:val="auto"/>
                <w:w w:val="99"/>
              </w:rPr>
              <w:t>Reserve System as at 1998</w:t>
            </w:r>
          </w:p>
        </w:tc>
        <w:tc>
          <w:tcPr>
            <w:tcW w:w="720" w:type="dxa"/>
            <w:vAlign w:val="bottom"/>
            <w:tcBorders>
              <w:right w:val="single" w:sz="8" w:color="auto"/>
            </w:tcBorders>
          </w:tcPr>
          <w:p>
            <w:pPr>
              <w:spacing w:after="0"/>
              <w:rPr>
                <w:sz w:val="15"/>
                <w:szCs w:val="15"/>
                <w:color w:val="auto"/>
              </w:rPr>
            </w:pPr>
          </w:p>
        </w:tc>
      </w:tr>
      <w:tr>
        <w:trPr>
          <w:trHeight w:val="270"/>
        </w:trPr>
        <w:tc>
          <w:tcPr>
            <w:tcW w:w="1720" w:type="dxa"/>
            <w:vAlign w:val="bottom"/>
            <w:tcBorders>
              <w:left w:val="single" w:sz="8" w:color="auto"/>
              <w:right w:val="single" w:sz="8" w:color="auto"/>
            </w:tcBorders>
          </w:tcPr>
          <w:p>
            <w:pPr>
              <w:spacing w:after="0"/>
              <w:rPr>
                <w:sz w:val="23"/>
                <w:szCs w:val="23"/>
                <w:color w:val="auto"/>
              </w:rPr>
            </w:pPr>
          </w:p>
        </w:tc>
        <w:tc>
          <w:tcPr>
            <w:tcW w:w="1020" w:type="dxa"/>
            <w:vAlign w:val="bottom"/>
            <w:tcBorders>
              <w:right w:val="single" w:sz="8" w:color="auto"/>
            </w:tcBorders>
          </w:tcPr>
          <w:p>
            <w:pPr>
              <w:ind w:left="20"/>
              <w:spacing w:after="0"/>
              <w:rPr>
                <w:sz w:val="20"/>
                <w:szCs w:val="20"/>
                <w:color w:val="auto"/>
              </w:rPr>
            </w:pPr>
            <w:r>
              <w:rPr>
                <w:rFonts w:ascii="Calibri" w:cs="Calibri" w:eastAsia="Calibri" w:hAnsi="Calibri"/>
                <w:sz w:val="16"/>
                <w:szCs w:val="16"/>
                <w:b w:val="1"/>
                <w:bCs w:val="1"/>
                <w:color w:val="auto"/>
              </w:rPr>
              <w:t>2019</w:t>
            </w:r>
            <w:r>
              <w:rPr>
                <w:rFonts w:ascii="Calibri" w:cs="Calibri" w:eastAsia="Calibri" w:hAnsi="Calibri"/>
                <w:sz w:val="20"/>
                <w:szCs w:val="20"/>
                <w:b w:val="1"/>
                <w:bCs w:val="1"/>
                <w:color w:val="auto"/>
                <w:vertAlign w:val="superscript"/>
              </w:rPr>
              <w:t>b</w:t>
            </w:r>
          </w:p>
        </w:tc>
        <w:tc>
          <w:tcPr>
            <w:tcW w:w="86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640" w:type="dxa"/>
            <w:vAlign w:val="bottom"/>
            <w:tcBorders>
              <w:right w:val="single" w:sz="8" w:color="auto"/>
            </w:tcBorders>
          </w:tcPr>
          <w:p>
            <w:pPr>
              <w:spacing w:after="0"/>
              <w:rPr>
                <w:sz w:val="23"/>
                <w:szCs w:val="23"/>
                <w:color w:val="auto"/>
              </w:rPr>
            </w:pPr>
          </w:p>
        </w:tc>
        <w:tc>
          <w:tcPr>
            <w:tcW w:w="84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w w:val="97"/>
              </w:rPr>
              <w:t>as at 1998</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rPr>
              <w:t>1998</w:t>
            </w:r>
          </w:p>
        </w:tc>
        <w:tc>
          <w:tcPr>
            <w:tcW w:w="760" w:type="dxa"/>
            <w:vAlign w:val="bottom"/>
          </w:tcPr>
          <w:p>
            <w:pPr>
              <w:spacing w:after="0"/>
              <w:rPr>
                <w:sz w:val="23"/>
                <w:szCs w:val="23"/>
                <w:color w:val="auto"/>
              </w:rPr>
            </w:pPr>
          </w:p>
        </w:tc>
        <w:tc>
          <w:tcPr>
            <w:tcW w:w="800" w:type="dxa"/>
            <w:vAlign w:val="bottom"/>
          </w:tcPr>
          <w:p>
            <w:pPr>
              <w:spacing w:after="0"/>
              <w:rPr>
                <w:sz w:val="23"/>
                <w:szCs w:val="23"/>
                <w:color w:val="auto"/>
              </w:rPr>
            </w:pPr>
          </w:p>
        </w:tc>
        <w:tc>
          <w:tcPr>
            <w:tcW w:w="1040" w:type="dxa"/>
            <w:vAlign w:val="bottom"/>
          </w:tcPr>
          <w:p>
            <w:pPr>
              <w:spacing w:after="0"/>
              <w:rPr>
                <w:sz w:val="23"/>
                <w:szCs w:val="23"/>
                <w:color w:val="auto"/>
              </w:rPr>
            </w:pPr>
          </w:p>
        </w:tc>
        <w:tc>
          <w:tcPr>
            <w:tcW w:w="720" w:type="dxa"/>
            <w:vAlign w:val="bottom"/>
            <w:tcBorders>
              <w:right w:val="single" w:sz="8" w:color="auto"/>
            </w:tcBorders>
          </w:tcPr>
          <w:p>
            <w:pPr>
              <w:spacing w:after="0"/>
              <w:rPr>
                <w:sz w:val="23"/>
                <w:szCs w:val="23"/>
                <w:color w:val="auto"/>
              </w:rPr>
            </w:pPr>
          </w:p>
        </w:tc>
      </w:tr>
      <w:tr>
        <w:trPr>
          <w:trHeight w:val="612"/>
        </w:trPr>
        <w:tc>
          <w:tcPr>
            <w:tcW w:w="1720" w:type="dxa"/>
            <w:vAlign w:val="bottom"/>
            <w:tcBorders>
              <w:left w:val="single" w:sz="8" w:color="auto"/>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860" w:type="dxa"/>
            <w:vAlign w:val="bottom"/>
            <w:tcBorders>
              <w:bottom w:val="single" w:sz="8" w:color="auto"/>
            </w:tcBorders>
          </w:tcPr>
          <w:p>
            <w:pPr>
              <w:spacing w:after="0"/>
              <w:rPr>
                <w:sz w:val="24"/>
                <w:szCs w:val="24"/>
                <w:color w:val="auto"/>
              </w:rPr>
            </w:pPr>
          </w:p>
        </w:tc>
        <w:tc>
          <w:tcPr>
            <w:tcW w:w="840" w:type="dxa"/>
            <w:vAlign w:val="bottom"/>
            <w:tcBorders>
              <w:bottom w:val="single" w:sz="8" w:color="auto"/>
              <w:right w:val="single" w:sz="8" w:color="auto"/>
            </w:tcBorders>
            <w:gridSpan w:val="2"/>
          </w:tcPr>
          <w:p>
            <w:pPr>
              <w:spacing w:after="0"/>
              <w:rPr>
                <w:sz w:val="24"/>
                <w:szCs w:val="24"/>
                <w:color w:val="auto"/>
              </w:rPr>
            </w:pPr>
          </w:p>
        </w:tc>
        <w:tc>
          <w:tcPr>
            <w:tcW w:w="84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60" w:type="dxa"/>
            <w:vAlign w:val="bottom"/>
            <w:tcBorders>
              <w:bottom w:val="single" w:sz="8" w:color="auto"/>
            </w:tcBorders>
          </w:tcPr>
          <w:p>
            <w:pPr>
              <w:spacing w:after="0"/>
              <w:rPr>
                <w:sz w:val="24"/>
                <w:szCs w:val="24"/>
                <w:color w:val="auto"/>
              </w:rPr>
            </w:pPr>
          </w:p>
        </w:tc>
        <w:tc>
          <w:tcPr>
            <w:tcW w:w="800" w:type="dxa"/>
            <w:vAlign w:val="bottom"/>
            <w:tcBorders>
              <w:bottom w:val="single" w:sz="8" w:color="auto"/>
            </w:tcBorders>
          </w:tcPr>
          <w:p>
            <w:pPr>
              <w:spacing w:after="0"/>
              <w:rPr>
                <w:sz w:val="24"/>
                <w:szCs w:val="24"/>
                <w:color w:val="auto"/>
              </w:rPr>
            </w:pPr>
          </w:p>
        </w:tc>
        <w:tc>
          <w:tcPr>
            <w:tcW w:w="1040" w:type="dxa"/>
            <w:vAlign w:val="bottom"/>
            <w:tcBorders>
              <w:bottom w:val="single" w:sz="8" w:color="auto"/>
            </w:tcBorders>
          </w:tcPr>
          <w:p>
            <w:pPr>
              <w:spacing w:after="0"/>
              <w:rPr>
                <w:sz w:val="24"/>
                <w:szCs w:val="24"/>
                <w:color w:val="auto"/>
              </w:rPr>
            </w:pPr>
          </w:p>
        </w:tc>
        <w:tc>
          <w:tcPr>
            <w:tcW w:w="720" w:type="dxa"/>
            <w:vAlign w:val="bottom"/>
            <w:tcBorders>
              <w:bottom w:val="single" w:sz="8" w:color="auto"/>
              <w:right w:val="single" w:sz="8" w:color="auto"/>
            </w:tcBorders>
          </w:tcPr>
          <w:p>
            <w:pPr>
              <w:spacing w:after="0"/>
              <w:rPr>
                <w:sz w:val="24"/>
                <w:szCs w:val="24"/>
                <w:color w:val="auto"/>
              </w:rPr>
            </w:pPr>
          </w:p>
        </w:tc>
      </w:tr>
      <w:tr>
        <w:trPr>
          <w:trHeight w:val="235"/>
        </w:trPr>
        <w:tc>
          <w:tcPr>
            <w:tcW w:w="1720" w:type="dxa"/>
            <w:vAlign w:val="bottom"/>
            <w:tcBorders>
              <w:left w:val="single" w:sz="8" w:color="auto"/>
              <w:right w:val="single" w:sz="8" w:color="auto"/>
            </w:tcBorders>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860" w:type="dxa"/>
            <w:vAlign w:val="bottom"/>
            <w:tcBorders>
              <w:right w:val="single" w:sz="8" w:color="auto"/>
            </w:tcBorders>
          </w:tcPr>
          <w:p>
            <w:pPr>
              <w:jc w:val="center"/>
              <w:spacing w:after="0" w:line="188" w:lineRule="exact"/>
              <w:rPr>
                <w:sz w:val="20"/>
                <w:szCs w:val="20"/>
                <w:color w:val="auto"/>
              </w:rPr>
            </w:pPr>
            <w:r>
              <w:rPr>
                <w:rFonts w:ascii="Calibri" w:cs="Calibri" w:eastAsia="Calibri" w:hAnsi="Calibri"/>
                <w:sz w:val="16"/>
                <w:szCs w:val="16"/>
                <w:b w:val="1"/>
                <w:bCs w:val="1"/>
                <w:color w:val="auto"/>
              </w:rPr>
              <w:t>Pre 1750</w:t>
            </w:r>
          </w:p>
        </w:tc>
        <w:tc>
          <w:tcPr>
            <w:tcW w:w="840" w:type="dxa"/>
            <w:vAlign w:val="bottom"/>
            <w:tcBorders>
              <w:right w:val="single" w:sz="8" w:color="auto"/>
            </w:tcBorders>
            <w:gridSpan w:val="2"/>
          </w:tcPr>
          <w:p>
            <w:pPr>
              <w:jc w:val="center"/>
              <w:spacing w:after="0" w:line="188" w:lineRule="exact"/>
              <w:rPr>
                <w:sz w:val="20"/>
                <w:szCs w:val="20"/>
                <w:color w:val="auto"/>
              </w:rPr>
            </w:pPr>
            <w:r>
              <w:rPr>
                <w:rFonts w:ascii="Calibri" w:cs="Calibri" w:eastAsia="Calibri" w:hAnsi="Calibri"/>
                <w:sz w:val="16"/>
                <w:szCs w:val="16"/>
                <w:b w:val="1"/>
                <w:bCs w:val="1"/>
                <w:color w:val="auto"/>
              </w:rPr>
              <w:t>Extent as at</w:t>
            </w:r>
          </w:p>
        </w:tc>
        <w:tc>
          <w:tcPr>
            <w:tcW w:w="840" w:type="dxa"/>
            <w:vAlign w:val="bottom"/>
            <w:tcBorders>
              <w:right w:val="single" w:sz="8" w:color="auto"/>
            </w:tcBorders>
          </w:tcPr>
          <w:p>
            <w:pPr>
              <w:spacing w:after="0"/>
              <w:rPr>
                <w:sz w:val="20"/>
                <w:szCs w:val="20"/>
                <w:color w:val="auto"/>
              </w:rPr>
            </w:pPr>
          </w:p>
        </w:tc>
        <w:tc>
          <w:tcPr>
            <w:tcW w:w="68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b w:val="1"/>
                <w:bCs w:val="1"/>
                <w:color w:val="auto"/>
              </w:rPr>
              <w:t>Dedicated</w:t>
            </w:r>
          </w:p>
        </w:tc>
        <w:tc>
          <w:tcPr>
            <w:tcW w:w="800" w:type="dxa"/>
            <w:vAlign w:val="bottom"/>
            <w:tcBorders>
              <w:right w:val="single" w:sz="8" w:color="auto"/>
            </w:tcBorders>
          </w:tcPr>
          <w:p>
            <w:pPr>
              <w:jc w:val="right"/>
              <w:ind w:right="40"/>
              <w:spacing w:after="0" w:line="188" w:lineRule="exact"/>
              <w:rPr>
                <w:sz w:val="20"/>
                <w:szCs w:val="20"/>
                <w:color w:val="auto"/>
              </w:rPr>
            </w:pPr>
            <w:r>
              <w:rPr>
                <w:rFonts w:ascii="Calibri" w:cs="Calibri" w:eastAsia="Calibri" w:hAnsi="Calibri"/>
                <w:sz w:val="16"/>
                <w:szCs w:val="16"/>
                <w:b w:val="1"/>
                <w:bCs w:val="1"/>
                <w:color w:val="auto"/>
              </w:rPr>
              <w:t>Informal</w:t>
            </w:r>
          </w:p>
        </w:tc>
        <w:tc>
          <w:tcPr>
            <w:tcW w:w="1040" w:type="dxa"/>
            <w:vAlign w:val="bottom"/>
            <w:tcBorders>
              <w:right w:val="single" w:sz="8" w:color="auto"/>
            </w:tcBorders>
          </w:tcPr>
          <w:p>
            <w:pPr>
              <w:jc w:val="right"/>
              <w:spacing w:after="0" w:line="235" w:lineRule="exact"/>
              <w:rPr>
                <w:sz w:val="20"/>
                <w:szCs w:val="20"/>
                <w:color w:val="auto"/>
              </w:rPr>
            </w:pPr>
            <w:r>
              <w:rPr>
                <w:rFonts w:ascii="Calibri" w:cs="Calibri" w:eastAsia="Calibri" w:hAnsi="Calibri"/>
                <w:sz w:val="16"/>
                <w:szCs w:val="16"/>
                <w:b w:val="1"/>
                <w:bCs w:val="1"/>
                <w:color w:val="auto"/>
                <w:w w:val="99"/>
              </w:rPr>
              <w:t>Prescription</w:t>
            </w:r>
            <w:r>
              <w:rPr>
                <w:rFonts w:ascii="Calibri" w:cs="Calibri" w:eastAsia="Calibri" w:hAnsi="Calibri"/>
                <w:sz w:val="20"/>
                <w:szCs w:val="20"/>
                <w:b w:val="1"/>
                <w:bCs w:val="1"/>
                <w:color w:val="auto"/>
                <w:strike w:val="1"/>
                <w:w w:val="99"/>
                <w:vertAlign w:val="superscript"/>
              </w:rPr>
              <w:t>d</w:t>
            </w:r>
            <w:r>
              <w:rPr>
                <w:rFonts w:ascii="Calibri" w:cs="Calibri" w:eastAsia="Calibri" w:hAnsi="Calibri"/>
                <w:sz w:val="20"/>
                <w:szCs w:val="20"/>
                <w:b w:val="1"/>
                <w:bCs w:val="1"/>
                <w:color w:val="auto"/>
                <w:w w:val="99"/>
                <w:vertAlign w:val="superscript"/>
              </w:rPr>
              <w:t>e</w:t>
            </w:r>
          </w:p>
        </w:tc>
        <w:tc>
          <w:tcPr>
            <w:tcW w:w="720" w:type="dxa"/>
            <w:vAlign w:val="bottom"/>
            <w:tcBorders>
              <w:right w:val="single" w:sz="8" w:color="auto"/>
            </w:tcBorders>
          </w:tcPr>
          <w:p>
            <w:pPr>
              <w:jc w:val="right"/>
              <w:ind w:right="120"/>
              <w:spacing w:after="0" w:line="188" w:lineRule="exact"/>
              <w:rPr>
                <w:sz w:val="20"/>
                <w:szCs w:val="20"/>
                <w:color w:val="auto"/>
              </w:rPr>
            </w:pPr>
            <w:r>
              <w:rPr>
                <w:rFonts w:ascii="Calibri" w:cs="Calibri" w:eastAsia="Calibri" w:hAnsi="Calibri"/>
                <w:sz w:val="16"/>
                <w:szCs w:val="16"/>
                <w:b w:val="1"/>
                <w:bCs w:val="1"/>
                <w:color w:val="auto"/>
              </w:rPr>
              <w:t>Total</w:t>
            </w:r>
          </w:p>
        </w:tc>
      </w:tr>
      <w:tr>
        <w:trPr>
          <w:trHeight w:val="223"/>
        </w:trPr>
        <w:tc>
          <w:tcPr>
            <w:tcW w:w="1720" w:type="dxa"/>
            <w:vAlign w:val="bottom"/>
            <w:tcBorders>
              <w:left w:val="single" w:sz="8" w:color="auto"/>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jc w:val="center"/>
              <w:spacing w:after="0" w:line="176" w:lineRule="exact"/>
              <w:rPr>
                <w:sz w:val="20"/>
                <w:szCs w:val="20"/>
                <w:color w:val="auto"/>
              </w:rPr>
            </w:pPr>
            <w:r>
              <w:rPr>
                <w:rFonts w:ascii="Calibri" w:cs="Calibri" w:eastAsia="Calibri" w:hAnsi="Calibri"/>
                <w:sz w:val="16"/>
                <w:szCs w:val="16"/>
                <w:b w:val="1"/>
                <w:bCs w:val="1"/>
                <w:color w:val="auto"/>
              </w:rPr>
              <w:t>extent</w:t>
            </w:r>
          </w:p>
        </w:tc>
        <w:tc>
          <w:tcPr>
            <w:tcW w:w="200" w:type="dxa"/>
            <w:vAlign w:val="bottom"/>
          </w:tcPr>
          <w:p>
            <w:pPr>
              <w:spacing w:after="0"/>
              <w:rPr>
                <w:sz w:val="19"/>
                <w:szCs w:val="19"/>
                <w:color w:val="auto"/>
              </w:rPr>
            </w:pPr>
          </w:p>
        </w:tc>
        <w:tc>
          <w:tcPr>
            <w:tcW w:w="640" w:type="dxa"/>
            <w:vAlign w:val="bottom"/>
            <w:tcBorders>
              <w:right w:val="single" w:sz="8" w:color="auto"/>
            </w:tcBorders>
          </w:tcPr>
          <w:p>
            <w:pPr>
              <w:jc w:val="center"/>
              <w:ind w:right="140"/>
              <w:spacing w:after="0" w:line="176" w:lineRule="exact"/>
              <w:rPr>
                <w:sz w:val="20"/>
                <w:szCs w:val="20"/>
                <w:color w:val="auto"/>
              </w:rPr>
            </w:pPr>
            <w:r>
              <w:rPr>
                <w:rFonts w:ascii="Calibri" w:cs="Calibri" w:eastAsia="Calibri" w:hAnsi="Calibri"/>
                <w:sz w:val="16"/>
                <w:szCs w:val="16"/>
                <w:b w:val="1"/>
                <w:bCs w:val="1"/>
                <w:color w:val="auto"/>
              </w:rPr>
              <w:t>1998</w:t>
            </w: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jc w:val="right"/>
              <w:ind w:right="40"/>
              <w:spacing w:after="0" w:line="176" w:lineRule="exact"/>
              <w:rPr>
                <w:sz w:val="20"/>
                <w:szCs w:val="20"/>
                <w:color w:val="auto"/>
              </w:rPr>
            </w:pPr>
            <w:r>
              <w:rPr>
                <w:rFonts w:ascii="Calibri" w:cs="Calibri" w:eastAsia="Calibri" w:hAnsi="Calibri"/>
                <w:sz w:val="16"/>
                <w:szCs w:val="16"/>
                <w:b w:val="1"/>
                <w:bCs w:val="1"/>
                <w:color w:val="auto"/>
              </w:rPr>
              <w:t>Reserve</w:t>
            </w:r>
          </w:p>
        </w:tc>
        <w:tc>
          <w:tcPr>
            <w:tcW w:w="800" w:type="dxa"/>
            <w:vAlign w:val="bottom"/>
            <w:tcBorders>
              <w:right w:val="single" w:sz="8" w:color="auto"/>
            </w:tcBorders>
          </w:tcPr>
          <w:p>
            <w:pPr>
              <w:jc w:val="right"/>
              <w:ind w:right="20"/>
              <w:spacing w:after="0" w:line="223" w:lineRule="exact"/>
              <w:rPr>
                <w:sz w:val="20"/>
                <w:szCs w:val="20"/>
                <w:color w:val="auto"/>
              </w:rPr>
            </w:pPr>
            <w:r>
              <w:rPr>
                <w:rFonts w:ascii="Calibri" w:cs="Calibri" w:eastAsia="Calibri" w:hAnsi="Calibri"/>
                <w:sz w:val="16"/>
                <w:szCs w:val="16"/>
                <w:b w:val="1"/>
                <w:bCs w:val="1"/>
                <w:color w:val="auto"/>
              </w:rPr>
              <w:t>Reserve</w:t>
            </w:r>
            <w:r>
              <w:rPr>
                <w:rFonts w:ascii="Calibri" w:cs="Calibri" w:eastAsia="Calibri" w:hAnsi="Calibri"/>
                <w:sz w:val="20"/>
                <w:szCs w:val="20"/>
                <w:b w:val="1"/>
                <w:bCs w:val="1"/>
                <w:color w:val="auto"/>
                <w:vertAlign w:val="superscript"/>
              </w:rPr>
              <w:t>d</w:t>
            </w:r>
            <w:r>
              <w:rPr>
                <w:rFonts w:ascii="Calibri" w:cs="Calibri" w:eastAsia="Calibri" w:hAnsi="Calibri"/>
                <w:sz w:val="20"/>
                <w:szCs w:val="20"/>
                <w:b w:val="1"/>
                <w:bCs w:val="1"/>
                <w:color w:val="auto"/>
                <w:strike w:val="1"/>
                <w:vertAlign w:val="superscript"/>
              </w:rPr>
              <w:t>c</w:t>
            </w: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378"/>
        </w:trPr>
        <w:tc>
          <w:tcPr>
            <w:tcW w:w="1720" w:type="dxa"/>
            <w:vAlign w:val="bottom"/>
            <w:tcBorders>
              <w:left w:val="single" w:sz="8" w:color="auto"/>
              <w:right w:val="single" w:sz="8" w:color="auto"/>
            </w:tcBorders>
          </w:tcPr>
          <w:p>
            <w:pPr>
              <w:spacing w:after="0"/>
              <w:rPr>
                <w:sz w:val="24"/>
                <w:szCs w:val="24"/>
                <w:color w:val="auto"/>
              </w:rPr>
            </w:pP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rPr>
              <w:t>(ha)</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center"/>
              <w:ind w:right="140"/>
              <w:spacing w:after="0"/>
              <w:rPr>
                <w:sz w:val="20"/>
                <w:szCs w:val="20"/>
                <w:color w:val="auto"/>
              </w:rPr>
            </w:pPr>
            <w:r>
              <w:rPr>
                <w:rFonts w:ascii="Calibri" w:cs="Calibri" w:eastAsia="Calibri" w:hAnsi="Calibri"/>
                <w:sz w:val="16"/>
                <w:szCs w:val="16"/>
                <w:b w:val="1"/>
                <w:bCs w:val="1"/>
                <w:color w:val="auto"/>
                <w:w w:val="97"/>
              </w:rPr>
              <w:t>(ha)</w:t>
            </w:r>
          </w:p>
        </w:tc>
        <w:tc>
          <w:tcPr>
            <w:tcW w:w="84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234"/>
        </w:trPr>
        <w:tc>
          <w:tcPr>
            <w:tcW w:w="1720" w:type="dxa"/>
            <w:vAlign w:val="bottom"/>
            <w:tcBorders>
              <w:left w:val="single" w:sz="8" w:color="auto"/>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640" w:type="dxa"/>
            <w:vAlign w:val="bottom"/>
            <w:tcBorders>
              <w:bottom w:val="single" w:sz="8" w:color="auto"/>
              <w:right w:val="single" w:sz="8" w:color="auto"/>
            </w:tcBorders>
          </w:tcPr>
          <w:p>
            <w:pPr>
              <w:spacing w:after="0"/>
              <w:rPr>
                <w:sz w:val="20"/>
                <w:szCs w:val="20"/>
                <w:color w:val="auto"/>
              </w:rPr>
            </w:pPr>
          </w:p>
        </w:tc>
        <w:tc>
          <w:tcPr>
            <w:tcW w:w="84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760" w:type="dxa"/>
            <w:vAlign w:val="bottom"/>
            <w:tcBorders>
              <w:bottom w:val="single" w:sz="8" w:color="auto"/>
              <w:right w:val="single" w:sz="8" w:color="auto"/>
            </w:tcBorders>
          </w:tcPr>
          <w:p>
            <w:pPr>
              <w:spacing w:after="0"/>
              <w:rPr>
                <w:sz w:val="20"/>
                <w:szCs w:val="20"/>
                <w:color w:val="auto"/>
              </w:rPr>
            </w:pPr>
          </w:p>
        </w:tc>
        <w:tc>
          <w:tcPr>
            <w:tcW w:w="800" w:type="dxa"/>
            <w:vAlign w:val="bottom"/>
            <w:tcBorders>
              <w:bottom w:val="single" w:sz="8" w:color="auto"/>
              <w:right w:val="single" w:sz="8" w:color="auto"/>
            </w:tcBorders>
          </w:tcPr>
          <w:p>
            <w:pPr>
              <w:spacing w:after="0"/>
              <w:rPr>
                <w:sz w:val="20"/>
                <w:szCs w:val="20"/>
                <w:color w:val="auto"/>
              </w:rPr>
            </w:pPr>
          </w:p>
        </w:tc>
        <w:tc>
          <w:tcPr>
            <w:tcW w:w="1040" w:type="dxa"/>
            <w:vAlign w:val="bottom"/>
            <w:tcBorders>
              <w:bottom w:val="single" w:sz="8" w:color="auto"/>
              <w:right w:val="single" w:sz="8" w:color="auto"/>
            </w:tcBorders>
          </w:tcPr>
          <w:p>
            <w:pPr>
              <w:spacing w:after="0"/>
              <w:rPr>
                <w:sz w:val="20"/>
                <w:szCs w:val="20"/>
                <w:color w:val="auto"/>
              </w:rPr>
            </w:pPr>
          </w:p>
        </w:tc>
        <w:tc>
          <w:tcPr>
            <w:tcW w:w="720" w:type="dxa"/>
            <w:vAlign w:val="bottom"/>
            <w:tcBorders>
              <w:bottom w:val="single" w:sz="8" w:color="auto"/>
              <w:right w:val="single" w:sz="8" w:color="auto"/>
            </w:tcBorders>
          </w:tcPr>
          <w:p>
            <w:pPr>
              <w:spacing w:after="0"/>
              <w:rPr>
                <w:sz w:val="20"/>
                <w:szCs w:val="20"/>
                <w:color w:val="auto"/>
              </w:rPr>
            </w:pPr>
          </w:p>
        </w:tc>
      </w:tr>
      <w:tr>
        <w:trPr>
          <w:trHeight w:val="186"/>
        </w:trPr>
        <w:tc>
          <w:tcPr>
            <w:tcW w:w="172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Clay Heathland</w:t>
            </w:r>
          </w:p>
        </w:tc>
        <w:tc>
          <w:tcPr>
            <w:tcW w:w="102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27</w:t>
            </w:r>
          </w:p>
        </w:tc>
        <w:tc>
          <w:tcPr>
            <w:tcW w:w="200" w:type="dxa"/>
            <w:vAlign w:val="bottom"/>
          </w:tcPr>
          <w:p>
            <w:pPr>
              <w:spacing w:after="0"/>
              <w:rPr>
                <w:sz w:val="16"/>
                <w:szCs w:val="16"/>
                <w:color w:val="auto"/>
              </w:rPr>
            </w:pPr>
          </w:p>
        </w:tc>
        <w:tc>
          <w:tcPr>
            <w:tcW w:w="6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27</w:t>
            </w:r>
          </w:p>
        </w:tc>
        <w:tc>
          <w:tcPr>
            <w:tcW w:w="8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99.2</w:t>
            </w:r>
          </w:p>
        </w:tc>
        <w:tc>
          <w:tcPr>
            <w:tcW w:w="680" w:type="dxa"/>
            <w:vAlign w:val="bottom"/>
            <w:tcBorders>
              <w:right w:val="single" w:sz="8" w:color="auto"/>
            </w:tcBorders>
          </w:tcPr>
          <w:p>
            <w:pPr>
              <w:jc w:val="center"/>
              <w:spacing w:after="0" w:line="186" w:lineRule="exact"/>
              <w:rPr>
                <w:sz w:val="20"/>
                <w:szCs w:val="20"/>
                <w:color w:val="auto"/>
              </w:rPr>
            </w:pPr>
            <w:r>
              <w:rPr>
                <w:rFonts w:ascii="Calibri" w:cs="Calibri" w:eastAsia="Calibri" w:hAnsi="Calibri"/>
                <w:sz w:val="16"/>
                <w:szCs w:val="16"/>
                <w:color w:val="auto"/>
              </w:rPr>
              <w:t>R</w:t>
            </w:r>
          </w:p>
        </w:tc>
        <w:tc>
          <w:tcPr>
            <w:tcW w:w="760" w:type="dxa"/>
            <w:vAlign w:val="bottom"/>
            <w:tcBorders>
              <w:right w:val="single" w:sz="8" w:color="auto"/>
            </w:tcBorders>
          </w:tcPr>
          <w:p>
            <w:pPr>
              <w:spacing w:after="0"/>
              <w:rPr>
                <w:sz w:val="16"/>
                <w:szCs w:val="16"/>
                <w:color w:val="auto"/>
              </w:rPr>
            </w:pPr>
          </w:p>
        </w:tc>
        <w:tc>
          <w:tcPr>
            <w:tcW w:w="80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19.8</w:t>
            </w:r>
          </w:p>
        </w:tc>
        <w:tc>
          <w:tcPr>
            <w:tcW w:w="104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19.8</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Lowland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78,992</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42,805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54.2</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13.7</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2.3</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1.0</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17.0</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Riparian Scrub Complex</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9,992</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2,695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27.0</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V</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1.0</w:t>
            </w: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0.1</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1.1</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Riparian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43,059</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31,801</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73.9</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15.5</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19.7</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5.1</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40.2</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Heathy Dry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15,025</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14,435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96.1</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26.6</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37.1</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64.8</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Grassy Dry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73,892</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41,579</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56.3</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19.2</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4.7</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0.3</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24.2</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Herb-rich Foothill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168,346</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123,049</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73.1</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11.6</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10.6</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2.4</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24.6</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Rocky Outcrop Scrub</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311</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227</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73.1</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R</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62.9</w:t>
            </w: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62.9</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Rocky Outcrop</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19</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28.0</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V R</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0.2</w:t>
            </w: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0.2</w:t>
            </w:r>
          </w:p>
        </w:tc>
      </w:tr>
      <w:tr>
        <w:trPr>
          <w:trHeight w:val="223"/>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Shrubland</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200" w:type="dxa"/>
            <w:vAlign w:val="bottom"/>
          </w:tcPr>
          <w:p>
            <w:pPr>
              <w:spacing w:after="0"/>
              <w:rPr>
                <w:sz w:val="19"/>
                <w:szCs w:val="19"/>
                <w:color w:val="auto"/>
              </w:rPr>
            </w:pPr>
          </w:p>
        </w:tc>
        <w:tc>
          <w:tcPr>
            <w:tcW w:w="6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Damp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198,726</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162,307</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81.7</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16.6</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8.5</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4.4</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29.5</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Wet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123,752</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120,068</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97.0</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28.7</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10.9</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6.3</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45.9</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Cool Temperate</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12,984</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12,970</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99.9</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R</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43.8</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31.6</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5.5</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80.8</w:t>
            </w:r>
          </w:p>
        </w:tc>
      </w:tr>
      <w:tr>
        <w:trPr>
          <w:trHeight w:val="223"/>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Rainforest</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200" w:type="dxa"/>
            <w:vAlign w:val="bottom"/>
          </w:tcPr>
          <w:p>
            <w:pPr>
              <w:spacing w:after="0"/>
              <w:rPr>
                <w:sz w:val="19"/>
                <w:szCs w:val="19"/>
                <w:color w:val="auto"/>
              </w:rPr>
            </w:pPr>
          </w:p>
        </w:tc>
        <w:tc>
          <w:tcPr>
            <w:tcW w:w="6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Montane Dry Woodland</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7,087</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7,050</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99.5</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3.2</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47.7</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2.4</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53.2</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Montane Damp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20,506</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20,150</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98.3</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7.7</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15.5</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6.0</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29.1</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Montane Wet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50,319</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49,678</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98.7</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33.6</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9.1</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3.7</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46.3</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Montane Riparian</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3,056</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3,056</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100.0</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33.3</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17.6</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13.0</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63.9</w:t>
            </w:r>
          </w:p>
        </w:tc>
      </w:tr>
      <w:tr>
        <w:trPr>
          <w:trHeight w:val="226"/>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Thicket</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200" w:type="dxa"/>
            <w:vAlign w:val="bottom"/>
          </w:tcPr>
          <w:p>
            <w:pPr>
              <w:spacing w:after="0"/>
              <w:rPr>
                <w:sz w:val="19"/>
                <w:szCs w:val="19"/>
                <w:color w:val="auto"/>
              </w:rPr>
            </w:pPr>
          </w:p>
        </w:tc>
        <w:tc>
          <w:tcPr>
            <w:tcW w:w="6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Sub-alpine Woodland</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7,262</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7,259</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100.0</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78.9</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5.4</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0.5</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84.8</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Treeless Sub-alpine</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1,855</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1,825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98.4</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84.9</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7.1</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1.4</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93.4</w:t>
            </w:r>
          </w:p>
        </w:tc>
      </w:tr>
      <w:tr>
        <w:trPr>
          <w:trHeight w:val="223"/>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Complex</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200" w:type="dxa"/>
            <w:vAlign w:val="bottom"/>
          </w:tcPr>
          <w:p>
            <w:pPr>
              <w:spacing w:after="0"/>
              <w:rPr>
                <w:sz w:val="19"/>
                <w:szCs w:val="19"/>
                <w:color w:val="auto"/>
              </w:rPr>
            </w:pPr>
          </w:p>
        </w:tc>
        <w:tc>
          <w:tcPr>
            <w:tcW w:w="6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Shrubby Foothill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50,296</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35,482</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70.5</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22.4</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3.1</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0.8</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26.2</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Valley Grassy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64,452</w:t>
            </w:r>
          </w:p>
        </w:tc>
        <w:tc>
          <w:tcPr>
            <w:tcW w:w="200" w:type="dxa"/>
            <w:vAlign w:val="bottom"/>
          </w:tcPr>
          <w:p>
            <w:pPr>
              <w:spacing w:after="0"/>
              <w:rPr>
                <w:sz w:val="24"/>
                <w:szCs w:val="24"/>
                <w:color w:val="auto"/>
              </w:rPr>
            </w:pPr>
          </w:p>
        </w:tc>
        <w:tc>
          <w:tcPr>
            <w:tcW w:w="6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7,201</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11.2</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 V</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1.6</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0.1</w:t>
            </w: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1.7</w:t>
            </w:r>
          </w:p>
        </w:tc>
      </w:tr>
      <w:tr>
        <w:trPr>
          <w:trHeight w:val="234"/>
        </w:trPr>
        <w:tc>
          <w:tcPr>
            <w:tcW w:w="1720" w:type="dxa"/>
            <w:vAlign w:val="bottom"/>
            <w:tcBorders>
              <w:left w:val="single" w:sz="8" w:color="auto"/>
              <w:right w:val="single" w:sz="8" w:color="auto"/>
            </w:tcBorders>
          </w:tcPr>
          <w:p>
            <w:pPr>
              <w:spacing w:after="0"/>
              <w:rPr>
                <w:sz w:val="20"/>
                <w:szCs w:val="20"/>
                <w:color w:val="auto"/>
              </w:rPr>
            </w:pPr>
          </w:p>
        </w:tc>
        <w:tc>
          <w:tcPr>
            <w:tcW w:w="1020" w:type="dxa"/>
            <w:vAlign w:val="bottom"/>
            <w:tcBorders>
              <w:right w:val="single" w:sz="8" w:color="auto"/>
            </w:tcBorders>
          </w:tcPr>
          <w:p>
            <w:pPr>
              <w:spacing w:after="0"/>
              <w:rPr>
                <w:sz w:val="20"/>
                <w:szCs w:val="20"/>
                <w:color w:val="auto"/>
              </w:rPr>
            </w:pPr>
          </w:p>
        </w:tc>
        <w:tc>
          <w:tcPr>
            <w:tcW w:w="860" w:type="dxa"/>
            <w:vAlign w:val="bottom"/>
            <w:tcBorders>
              <w:right w:val="single" w:sz="8" w:color="auto"/>
            </w:tcBorders>
          </w:tcPr>
          <w:p>
            <w:pPr>
              <w:spacing w:after="0"/>
              <w:rPr>
                <w:sz w:val="20"/>
                <w:szCs w:val="20"/>
                <w:color w:val="auto"/>
              </w:rPr>
            </w:pPr>
          </w:p>
        </w:tc>
        <w:tc>
          <w:tcPr>
            <w:tcW w:w="200" w:type="dxa"/>
            <w:vAlign w:val="bottom"/>
          </w:tcPr>
          <w:p>
            <w:pPr>
              <w:spacing w:after="0"/>
              <w:rPr>
                <w:sz w:val="20"/>
                <w:szCs w:val="20"/>
                <w:color w:val="auto"/>
              </w:rPr>
            </w:pPr>
          </w:p>
        </w:tc>
        <w:tc>
          <w:tcPr>
            <w:tcW w:w="640" w:type="dxa"/>
            <w:vAlign w:val="bottom"/>
            <w:tcBorders>
              <w:right w:val="single" w:sz="8" w:color="auto"/>
            </w:tcBorders>
          </w:tcPr>
          <w:p>
            <w:pPr>
              <w:spacing w:after="0"/>
              <w:rPr>
                <w:sz w:val="20"/>
                <w:szCs w:val="20"/>
                <w:color w:val="auto"/>
              </w:rPr>
            </w:pPr>
          </w:p>
        </w:tc>
        <w:tc>
          <w:tcPr>
            <w:tcW w:w="840" w:type="dxa"/>
            <w:vAlign w:val="bottom"/>
            <w:tcBorders>
              <w:right w:val="single" w:sz="8" w:color="auto"/>
            </w:tcBorders>
          </w:tcPr>
          <w:p>
            <w:pPr>
              <w:spacing w:after="0"/>
              <w:rPr>
                <w:sz w:val="20"/>
                <w:szCs w:val="20"/>
                <w:color w:val="auto"/>
              </w:rPr>
            </w:pPr>
          </w:p>
        </w:tc>
        <w:tc>
          <w:tcPr>
            <w:tcW w:w="680" w:type="dxa"/>
            <w:vAlign w:val="bottom"/>
            <w:tcBorders>
              <w:right w:val="single" w:sz="8" w:color="auto"/>
            </w:tcBorders>
          </w:tcPr>
          <w:p>
            <w:pPr>
              <w:spacing w:after="0"/>
              <w:rPr>
                <w:sz w:val="20"/>
                <w:szCs w:val="20"/>
                <w:color w:val="auto"/>
              </w:rPr>
            </w:pPr>
          </w:p>
        </w:tc>
        <w:tc>
          <w:tcPr>
            <w:tcW w:w="760" w:type="dxa"/>
            <w:vAlign w:val="bottom"/>
            <w:tcBorders>
              <w:right w:val="single" w:sz="8" w:color="auto"/>
            </w:tcBorders>
          </w:tcPr>
          <w:p>
            <w:pPr>
              <w:spacing w:after="0"/>
              <w:rPr>
                <w:sz w:val="20"/>
                <w:szCs w:val="20"/>
                <w:color w:val="auto"/>
              </w:rPr>
            </w:pPr>
          </w:p>
        </w:tc>
        <w:tc>
          <w:tcPr>
            <w:tcW w:w="800" w:type="dxa"/>
            <w:vAlign w:val="bottom"/>
            <w:tcBorders>
              <w:right w:val="single" w:sz="8" w:color="auto"/>
            </w:tcBorders>
          </w:tcPr>
          <w:p>
            <w:pPr>
              <w:spacing w:after="0"/>
              <w:rPr>
                <w:sz w:val="20"/>
                <w:szCs w:val="20"/>
                <w:color w:val="auto"/>
              </w:rPr>
            </w:pPr>
          </w:p>
        </w:tc>
        <w:tc>
          <w:tcPr>
            <w:tcW w:w="1040" w:type="dxa"/>
            <w:vAlign w:val="bottom"/>
            <w:tcBorders>
              <w:right w:val="single" w:sz="8" w:color="auto"/>
            </w:tcBorders>
          </w:tcPr>
          <w:p>
            <w:pPr>
              <w:spacing w:after="0"/>
              <w:rPr>
                <w:sz w:val="20"/>
                <w:szCs w:val="20"/>
                <w:color w:val="auto"/>
              </w:rPr>
            </w:pPr>
          </w:p>
        </w:tc>
        <w:tc>
          <w:tcPr>
            <w:tcW w:w="720" w:type="dxa"/>
            <w:vAlign w:val="bottom"/>
            <w:tcBorders>
              <w:right w:val="single" w:sz="8" w:color="auto"/>
            </w:tcBorders>
          </w:tcPr>
          <w:p>
            <w:pPr>
              <w:spacing w:after="0"/>
              <w:rPr>
                <w:sz w:val="20"/>
                <w:szCs w:val="20"/>
                <w:color w:val="auto"/>
              </w:rPr>
            </w:pPr>
          </w:p>
        </w:tc>
      </w:tr>
    </w:tbl>
    <w:p>
      <w:pPr>
        <w:spacing w:after="0" w:line="200" w:lineRule="exact"/>
        <w:rPr>
          <w:sz w:val="20"/>
          <w:szCs w:val="20"/>
          <w:color w:val="auto"/>
        </w:rPr>
      </w:pPr>
    </w:p>
    <w:p>
      <w:pPr>
        <w:spacing w:after="0" w:line="322"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54</w:t>
      </w:r>
    </w:p>
    <w:p>
      <w:pPr>
        <w:sectPr>
          <w:pgSz w:w="11900" w:h="16838" w:orient="portrait"/>
          <w:cols w:equalWidth="0" w:num="1">
            <w:col w:w="9260"/>
          </w:cols>
          <w:pgMar w:left="1440" w:top="1440" w:right="1206" w:bottom="149" w:gutter="0" w:footer="0" w:header="0"/>
        </w:sectPr>
      </w:pPr>
    </w:p>
    <w:bookmarkStart w:id="54" w:name="page55"/>
    <w:bookmarkEnd w:id="54"/>
    <w:tbl>
      <w:tblPr>
        <w:tblLayout w:type="fixed"/>
        <w:tblInd w:w="10" w:type="dxa"/>
        <w:tblCellMar>
          <w:top w:w="0" w:type="dxa"/>
          <w:left w:w="0" w:type="dxa"/>
          <w:bottom w:w="0" w:type="dxa"/>
          <w:right w:w="0" w:type="dxa"/>
        </w:tblCellMar>
      </w:tblPr>
      <w:tr>
        <w:trPr>
          <w:trHeight w:val="19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Heathy Woodland</w:t>
            </w:r>
          </w:p>
        </w:tc>
        <w:tc>
          <w:tcPr>
            <w:tcW w:w="102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17,876</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6,684</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37.4</w:t>
            </w:r>
          </w:p>
        </w:tc>
        <w:tc>
          <w:tcPr>
            <w:tcW w:w="68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21.4</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1.7</w:t>
            </w: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0.3</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23.4</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Wet/Swamp Heathland</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6,250</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3,779</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60.5</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47.1</w:t>
            </w: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0.2</w:t>
            </w: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47.3</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Swamp Scrub</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5,655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429</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7.6</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Box Woodland</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25,339</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328</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1.3</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0.2</w:t>
            </w: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0.2</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Plains Grassy Woodland</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44,721</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1,475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3.3</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0.2</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0.6</w:t>
            </w: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0.8</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Floodplain Riparian</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18,016</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2,431</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13.5</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 V R</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6.2</w:t>
            </w: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6.2</w:t>
            </w:r>
          </w:p>
        </w:tc>
      </w:tr>
      <w:tr>
        <w:trPr>
          <w:trHeight w:val="223"/>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Woodland</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Riparian Thicket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1,726</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1,006</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58.3</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4.1</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28.9</w:t>
            </w: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33.1</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Box Ironbark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1,449</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711</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49.1</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1.8</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5.7</w:t>
            </w: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7.5</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Granitic Hills Woodland</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1,258</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215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17.1</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 V</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Riverine Escarpment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765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241</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31.5</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V R</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20.9</w:t>
            </w: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20.9</w:t>
            </w:r>
          </w:p>
        </w:tc>
      </w:tr>
      <w:tr>
        <w:trPr>
          <w:trHeight w:val="223"/>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Scrub</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Swampy Riparian</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2,530</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964</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38.1</w:t>
            </w: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15.6</w:t>
            </w: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15.6</w:t>
            </w:r>
          </w:p>
        </w:tc>
      </w:tr>
      <w:tr>
        <w:trPr>
          <w:trHeight w:val="226"/>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Woodland</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Grassland</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7,982</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0.2</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Gray Clay Drainage Line</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560</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223"/>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Complex</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Plains Grassy Wetland</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354</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w w:val="99"/>
              </w:rPr>
              <w:t>E R</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w:t>
            </w: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Swampy Riparian</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50,889</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5,945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11.7</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 V</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0.8</w:t>
            </w: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0.1</w:t>
            </w: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0.9</w:t>
            </w:r>
          </w:p>
        </w:tc>
      </w:tr>
      <w:tr>
        <w:trPr>
          <w:trHeight w:val="226"/>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Complex</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Valley Heathy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4,155</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347</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8.4</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Grassy Forest</w:t>
            </w:r>
          </w:p>
        </w:tc>
        <w:tc>
          <w:tcPr>
            <w:tcW w:w="10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10,059</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2,682</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26.7</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 V</w:t>
            </w:r>
          </w:p>
        </w:tc>
        <w:tc>
          <w:tcPr>
            <w:tcW w:w="7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1.3</w:t>
            </w: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1.3</w:t>
            </w: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Swamp Formation</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12</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10.7</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V</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Damp Sands Herb-rich</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162</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46</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28.4</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 V</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19.5</w:t>
            </w: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19.5</w:t>
            </w:r>
          </w:p>
        </w:tc>
      </w:tr>
      <w:tr>
        <w:trPr>
          <w:trHeight w:val="223"/>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Woodland</w:t>
            </w:r>
          </w:p>
        </w:tc>
        <w:tc>
          <w:tcPr>
            <w:tcW w:w="1020" w:type="dxa"/>
            <w:vAlign w:val="bottom"/>
            <w:tcBorders>
              <w:right w:val="single" w:sz="8" w:color="auto"/>
            </w:tcBorders>
          </w:tcPr>
          <w:p>
            <w:pPr>
              <w:spacing w:after="0"/>
              <w:rPr>
                <w:sz w:val="19"/>
                <w:szCs w:val="19"/>
                <w:color w:val="auto"/>
              </w:rPr>
            </w:pPr>
          </w:p>
        </w:tc>
        <w:tc>
          <w:tcPr>
            <w:tcW w:w="86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84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760" w:type="dxa"/>
            <w:vAlign w:val="bottom"/>
            <w:tcBorders>
              <w:right w:val="single" w:sz="8" w:color="auto"/>
            </w:tcBorders>
          </w:tcPr>
          <w:p>
            <w:pPr>
              <w:spacing w:after="0"/>
              <w:rPr>
                <w:sz w:val="19"/>
                <w:szCs w:val="19"/>
                <w:color w:val="auto"/>
              </w:rPr>
            </w:pPr>
          </w:p>
        </w:tc>
        <w:tc>
          <w:tcPr>
            <w:tcW w:w="800" w:type="dxa"/>
            <w:vAlign w:val="bottom"/>
            <w:tcBorders>
              <w:right w:val="single" w:sz="8" w:color="auto"/>
            </w:tcBorders>
          </w:tcPr>
          <w:p>
            <w:pPr>
              <w:spacing w:after="0"/>
              <w:rPr>
                <w:sz w:val="19"/>
                <w:szCs w:val="19"/>
                <w:color w:val="auto"/>
              </w:rPr>
            </w:pPr>
          </w:p>
        </w:tc>
        <w:tc>
          <w:tcPr>
            <w:tcW w:w="1040" w:type="dxa"/>
            <w:vAlign w:val="bottom"/>
            <w:tcBorders>
              <w:right w:val="single" w:sz="8" w:color="auto"/>
            </w:tcBorders>
          </w:tcPr>
          <w:p>
            <w:pPr>
              <w:spacing w:after="0"/>
              <w:rPr>
                <w:sz w:val="19"/>
                <w:szCs w:val="19"/>
                <w:color w:val="auto"/>
              </w:rPr>
            </w:pPr>
          </w:p>
        </w:tc>
        <w:tc>
          <w:tcPr>
            <w:tcW w:w="720" w:type="dxa"/>
            <w:vAlign w:val="bottom"/>
            <w:tcBorders>
              <w:right w:val="single" w:sz="8" w:color="auto"/>
            </w:tcBorders>
          </w:tcPr>
          <w:p>
            <w:pPr>
              <w:spacing w:after="0"/>
              <w:rPr>
                <w:sz w:val="19"/>
                <w:szCs w:val="19"/>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Riverine Forest</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210</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1.9</w:t>
            </w:r>
          </w:p>
        </w:tc>
        <w:tc>
          <w:tcPr>
            <w:tcW w:w="680" w:type="dxa"/>
            <w:vAlign w:val="bottom"/>
            <w:tcBorders>
              <w:right w:val="single" w:sz="8" w:color="auto"/>
            </w:tcBorders>
          </w:tcPr>
          <w:p>
            <w:pPr>
              <w:jc w:val="center"/>
              <w:spacing w:after="0"/>
              <w:rPr>
                <w:sz w:val="20"/>
                <w:szCs w:val="20"/>
                <w:color w:val="auto"/>
              </w:rPr>
            </w:pPr>
            <w:r>
              <w:rPr>
                <w:rFonts w:ascii="Calibri" w:cs="Calibri" w:eastAsia="Calibri" w:hAnsi="Calibri"/>
                <w:sz w:val="16"/>
                <w:szCs w:val="16"/>
                <w:color w:val="auto"/>
              </w:rPr>
              <w:t>E</w:t>
            </w: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Rock</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23</w:t>
            </w:r>
          </w:p>
        </w:tc>
        <w:tc>
          <w:tcPr>
            <w:tcW w:w="84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Cleared Land</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23</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405,145</w:t>
            </w:r>
          </w:p>
        </w:tc>
        <w:tc>
          <w:tcPr>
            <w:tcW w:w="84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425"/>
        </w:trPr>
        <w:tc>
          <w:tcPr>
            <w:tcW w:w="172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Water Bodies</w:t>
            </w:r>
          </w:p>
        </w:tc>
        <w:tc>
          <w:tcPr>
            <w:tcW w:w="1020" w:type="dxa"/>
            <w:vAlign w:val="bottom"/>
            <w:tcBorders>
              <w:right w:val="single" w:sz="8" w:color="auto"/>
            </w:tcBorders>
          </w:tcPr>
          <w:p>
            <w:pPr>
              <w:ind w:left="460"/>
              <w:spacing w:after="0"/>
              <w:rPr>
                <w:sz w:val="20"/>
                <w:szCs w:val="20"/>
                <w:color w:val="auto"/>
              </w:rPr>
            </w:pPr>
            <w:r>
              <w:rPr>
                <w:rFonts w:ascii="Calibri" w:cs="Calibri" w:eastAsia="Calibri" w:hAnsi="Calibri"/>
                <w:sz w:val="16"/>
                <w:szCs w:val="16"/>
                <w:color w:val="auto"/>
              </w:rPr>
              <w:t>X</w:t>
            </w:r>
          </w:p>
        </w:tc>
        <w:tc>
          <w:tcPr>
            <w:tcW w:w="86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4</w:t>
            </w:r>
          </w:p>
        </w:tc>
        <w:tc>
          <w:tcPr>
            <w:tcW w:w="840" w:type="dxa"/>
            <w:vAlign w:val="bottom"/>
            <w:tcBorders>
              <w:right w:val="single" w:sz="8" w:color="auto"/>
            </w:tcBorders>
          </w:tcPr>
          <w:p>
            <w:pPr>
              <w:jc w:val="right"/>
              <w:spacing w:after="0"/>
              <w:rPr>
                <w:sz w:val="20"/>
                <w:szCs w:val="20"/>
                <w:color w:val="auto"/>
              </w:rPr>
            </w:pPr>
            <w:r>
              <w:rPr>
                <w:rFonts w:ascii="Calibri" w:cs="Calibri" w:eastAsia="Calibri" w:hAnsi="Calibri"/>
                <w:sz w:val="16"/>
                <w:szCs w:val="16"/>
                <w:color w:val="auto"/>
              </w:rPr>
              <w:t>13,809</w:t>
            </w:r>
          </w:p>
        </w:tc>
        <w:tc>
          <w:tcPr>
            <w:tcW w:w="840" w:type="dxa"/>
            <w:vAlign w:val="bottom"/>
            <w:tcBorders>
              <w:right w:val="single" w:sz="8" w:color="auto"/>
            </w:tcBorders>
          </w:tcPr>
          <w:p>
            <w:pPr>
              <w:spacing w:after="0"/>
              <w:rPr>
                <w:sz w:val="24"/>
                <w:szCs w:val="24"/>
                <w:color w:val="auto"/>
              </w:rPr>
            </w:pPr>
          </w:p>
        </w:tc>
        <w:tc>
          <w:tcPr>
            <w:tcW w:w="680" w:type="dxa"/>
            <w:vAlign w:val="bottom"/>
            <w:tcBorders>
              <w:right w:val="single" w:sz="8" w:color="auto"/>
            </w:tcBorders>
          </w:tcPr>
          <w:p>
            <w:pPr>
              <w:spacing w:after="0"/>
              <w:rPr>
                <w:sz w:val="24"/>
                <w:szCs w:val="24"/>
                <w:color w:val="auto"/>
              </w:rPr>
            </w:pPr>
          </w:p>
        </w:tc>
        <w:tc>
          <w:tcPr>
            <w:tcW w:w="760" w:type="dxa"/>
            <w:vAlign w:val="bottom"/>
            <w:tcBorders>
              <w:right w:val="single" w:sz="8" w:color="auto"/>
            </w:tcBorders>
          </w:tcPr>
          <w:p>
            <w:pPr>
              <w:spacing w:after="0"/>
              <w:rPr>
                <w:sz w:val="24"/>
                <w:szCs w:val="24"/>
                <w:color w:val="auto"/>
              </w:rPr>
            </w:pPr>
          </w:p>
        </w:tc>
        <w:tc>
          <w:tcPr>
            <w:tcW w:w="800" w:type="dxa"/>
            <w:vAlign w:val="bottom"/>
            <w:tcBorders>
              <w:right w:val="single" w:sz="8" w:color="auto"/>
            </w:tcBorders>
          </w:tcPr>
          <w:p>
            <w:pPr>
              <w:spacing w:after="0"/>
              <w:rPr>
                <w:sz w:val="24"/>
                <w:szCs w:val="24"/>
                <w:color w:val="auto"/>
              </w:rPr>
            </w:pPr>
          </w:p>
        </w:tc>
        <w:tc>
          <w:tcPr>
            <w:tcW w:w="1040" w:type="dxa"/>
            <w:vAlign w:val="bottom"/>
            <w:tcBorders>
              <w:right w:val="single" w:sz="8" w:color="auto"/>
            </w:tcBorders>
          </w:tcPr>
          <w:p>
            <w:pPr>
              <w:spacing w:after="0"/>
              <w:rPr>
                <w:sz w:val="24"/>
                <w:szCs w:val="24"/>
                <w:color w:val="auto"/>
              </w:rPr>
            </w:pPr>
          </w:p>
        </w:tc>
        <w:tc>
          <w:tcPr>
            <w:tcW w:w="720" w:type="dxa"/>
            <w:vAlign w:val="bottom"/>
            <w:tcBorders>
              <w:right w:val="single" w:sz="8" w:color="auto"/>
            </w:tcBorders>
          </w:tcPr>
          <w:p>
            <w:pPr>
              <w:spacing w:after="0"/>
              <w:rPr>
                <w:sz w:val="24"/>
                <w:szCs w:val="24"/>
                <w:color w:val="auto"/>
              </w:rPr>
            </w:pPr>
          </w:p>
        </w:tc>
      </w:tr>
      <w:tr>
        <w:trPr>
          <w:trHeight w:val="234"/>
        </w:trPr>
        <w:tc>
          <w:tcPr>
            <w:tcW w:w="1720" w:type="dxa"/>
            <w:vAlign w:val="bottom"/>
            <w:tcBorders>
              <w:left w:val="single" w:sz="8" w:color="auto"/>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840" w:type="dxa"/>
            <w:vAlign w:val="bottom"/>
            <w:tcBorders>
              <w:bottom w:val="single" w:sz="8" w:color="auto"/>
              <w:right w:val="single" w:sz="8" w:color="auto"/>
            </w:tcBorders>
          </w:tcPr>
          <w:p>
            <w:pPr>
              <w:spacing w:after="0"/>
              <w:rPr>
                <w:sz w:val="20"/>
                <w:szCs w:val="20"/>
                <w:color w:val="auto"/>
              </w:rPr>
            </w:pPr>
          </w:p>
        </w:tc>
        <w:tc>
          <w:tcPr>
            <w:tcW w:w="84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760" w:type="dxa"/>
            <w:vAlign w:val="bottom"/>
            <w:tcBorders>
              <w:bottom w:val="single" w:sz="8" w:color="auto"/>
              <w:right w:val="single" w:sz="8" w:color="auto"/>
            </w:tcBorders>
          </w:tcPr>
          <w:p>
            <w:pPr>
              <w:spacing w:after="0"/>
              <w:rPr>
                <w:sz w:val="20"/>
                <w:szCs w:val="20"/>
                <w:color w:val="auto"/>
              </w:rPr>
            </w:pPr>
          </w:p>
        </w:tc>
        <w:tc>
          <w:tcPr>
            <w:tcW w:w="800" w:type="dxa"/>
            <w:vAlign w:val="bottom"/>
            <w:tcBorders>
              <w:bottom w:val="single" w:sz="8" w:color="auto"/>
              <w:right w:val="single" w:sz="8" w:color="auto"/>
            </w:tcBorders>
          </w:tcPr>
          <w:p>
            <w:pPr>
              <w:spacing w:after="0"/>
              <w:rPr>
                <w:sz w:val="20"/>
                <w:szCs w:val="20"/>
                <w:color w:val="auto"/>
              </w:rPr>
            </w:pPr>
          </w:p>
        </w:tc>
        <w:tc>
          <w:tcPr>
            <w:tcW w:w="1040" w:type="dxa"/>
            <w:vAlign w:val="bottom"/>
            <w:tcBorders>
              <w:bottom w:val="single" w:sz="8" w:color="auto"/>
              <w:right w:val="single" w:sz="8" w:color="auto"/>
            </w:tcBorders>
          </w:tcPr>
          <w:p>
            <w:pPr>
              <w:spacing w:after="0"/>
              <w:rPr>
                <w:sz w:val="20"/>
                <w:szCs w:val="20"/>
                <w:color w:val="auto"/>
              </w:rPr>
            </w:pPr>
          </w:p>
        </w:tc>
        <w:tc>
          <w:tcPr>
            <w:tcW w:w="720" w:type="dxa"/>
            <w:vAlign w:val="bottom"/>
            <w:tcBorders>
              <w:bottom w:val="single" w:sz="8" w:color="auto"/>
              <w:right w:val="single" w:sz="8" w:color="auto"/>
            </w:tcBorders>
          </w:tcPr>
          <w:p>
            <w:pPr>
              <w:spacing w:after="0"/>
              <w:rPr>
                <w:sz w:val="20"/>
                <w:szCs w:val="20"/>
                <w:color w:val="auto"/>
              </w:rPr>
            </w:pPr>
          </w:p>
        </w:tc>
      </w:tr>
      <w:tr>
        <w:trPr>
          <w:trHeight w:val="186"/>
        </w:trPr>
        <w:tc>
          <w:tcPr>
            <w:tcW w:w="172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Total Area</w:t>
            </w:r>
          </w:p>
        </w:tc>
        <w:tc>
          <w:tcPr>
            <w:tcW w:w="1020" w:type="dxa"/>
            <w:vAlign w:val="bottom"/>
            <w:tcBorders>
              <w:right w:val="single" w:sz="8" w:color="auto"/>
            </w:tcBorders>
          </w:tcPr>
          <w:p>
            <w:pPr>
              <w:spacing w:after="0"/>
              <w:rPr>
                <w:sz w:val="16"/>
                <w:szCs w:val="16"/>
                <w:color w:val="auto"/>
              </w:rPr>
            </w:pPr>
          </w:p>
        </w:tc>
        <w:tc>
          <w:tcPr>
            <w:tcW w:w="86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1,129,953</w:t>
            </w:r>
          </w:p>
        </w:tc>
        <w:tc>
          <w:tcPr>
            <w:tcW w:w="8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1,129,953</w:t>
            </w:r>
          </w:p>
        </w:tc>
        <w:tc>
          <w:tcPr>
            <w:tcW w:w="840" w:type="dxa"/>
            <w:vAlign w:val="bottom"/>
          </w:tcPr>
          <w:p>
            <w:pPr>
              <w:spacing w:after="0"/>
              <w:rPr>
                <w:sz w:val="16"/>
                <w:szCs w:val="16"/>
                <w:color w:val="auto"/>
              </w:rPr>
            </w:pPr>
          </w:p>
        </w:tc>
        <w:tc>
          <w:tcPr>
            <w:tcW w:w="680" w:type="dxa"/>
            <w:vAlign w:val="bottom"/>
          </w:tcPr>
          <w:p>
            <w:pPr>
              <w:spacing w:after="0"/>
              <w:rPr>
                <w:sz w:val="16"/>
                <w:szCs w:val="16"/>
                <w:color w:val="auto"/>
              </w:rPr>
            </w:pPr>
          </w:p>
        </w:tc>
        <w:tc>
          <w:tcPr>
            <w:tcW w:w="760" w:type="dxa"/>
            <w:vAlign w:val="bottom"/>
          </w:tcPr>
          <w:p>
            <w:pPr>
              <w:spacing w:after="0"/>
              <w:rPr>
                <w:sz w:val="16"/>
                <w:szCs w:val="16"/>
                <w:color w:val="auto"/>
              </w:rPr>
            </w:pPr>
          </w:p>
        </w:tc>
        <w:tc>
          <w:tcPr>
            <w:tcW w:w="800" w:type="dxa"/>
            <w:vAlign w:val="bottom"/>
          </w:tcPr>
          <w:p>
            <w:pPr>
              <w:spacing w:after="0"/>
              <w:rPr>
                <w:sz w:val="16"/>
                <w:szCs w:val="16"/>
                <w:color w:val="auto"/>
              </w:rPr>
            </w:pPr>
          </w:p>
        </w:tc>
        <w:tc>
          <w:tcPr>
            <w:tcW w:w="1040" w:type="dxa"/>
            <w:vAlign w:val="bottom"/>
          </w:tcPr>
          <w:p>
            <w:pPr>
              <w:spacing w:after="0"/>
              <w:rPr>
                <w:sz w:val="16"/>
                <w:szCs w:val="16"/>
                <w:color w:val="auto"/>
              </w:rPr>
            </w:pPr>
          </w:p>
        </w:tc>
        <w:tc>
          <w:tcPr>
            <w:tcW w:w="720" w:type="dxa"/>
            <w:vAlign w:val="bottom"/>
          </w:tcPr>
          <w:p>
            <w:pPr>
              <w:spacing w:after="0"/>
              <w:rPr>
                <w:sz w:val="16"/>
                <w:szCs w:val="16"/>
                <w:color w:val="auto"/>
              </w:rPr>
            </w:pPr>
          </w:p>
        </w:tc>
      </w:tr>
      <w:tr>
        <w:trPr>
          <w:trHeight w:val="234"/>
        </w:trPr>
        <w:tc>
          <w:tcPr>
            <w:tcW w:w="1720" w:type="dxa"/>
            <w:vAlign w:val="bottom"/>
            <w:tcBorders>
              <w:left w:val="single" w:sz="8" w:color="auto"/>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860" w:type="dxa"/>
            <w:vAlign w:val="bottom"/>
            <w:tcBorders>
              <w:bottom w:val="single" w:sz="8" w:color="auto"/>
              <w:right w:val="single" w:sz="8" w:color="auto"/>
            </w:tcBorders>
          </w:tcPr>
          <w:p>
            <w:pPr>
              <w:spacing w:after="0"/>
              <w:rPr>
                <w:sz w:val="20"/>
                <w:szCs w:val="20"/>
                <w:color w:val="auto"/>
              </w:rPr>
            </w:pPr>
          </w:p>
        </w:tc>
        <w:tc>
          <w:tcPr>
            <w:tcW w:w="840" w:type="dxa"/>
            <w:vAlign w:val="bottom"/>
            <w:tcBorders>
              <w:bottom w:val="single" w:sz="8" w:color="auto"/>
              <w:right w:val="single" w:sz="8" w:color="auto"/>
            </w:tcBorders>
          </w:tcPr>
          <w:p>
            <w:pPr>
              <w:spacing w:after="0"/>
              <w:rPr>
                <w:sz w:val="20"/>
                <w:szCs w:val="20"/>
                <w:color w:val="auto"/>
              </w:rPr>
            </w:pPr>
          </w:p>
        </w:tc>
        <w:tc>
          <w:tcPr>
            <w:tcW w:w="840" w:type="dxa"/>
            <w:vAlign w:val="bottom"/>
          </w:tcPr>
          <w:p>
            <w:pPr>
              <w:spacing w:after="0"/>
              <w:rPr>
                <w:sz w:val="20"/>
                <w:szCs w:val="20"/>
                <w:color w:val="auto"/>
              </w:rPr>
            </w:pPr>
          </w:p>
        </w:tc>
        <w:tc>
          <w:tcPr>
            <w:tcW w:w="680" w:type="dxa"/>
            <w:vAlign w:val="bottom"/>
          </w:tcPr>
          <w:p>
            <w:pPr>
              <w:spacing w:after="0"/>
              <w:rPr>
                <w:sz w:val="20"/>
                <w:szCs w:val="20"/>
                <w:color w:val="auto"/>
              </w:rPr>
            </w:pPr>
          </w:p>
        </w:tc>
        <w:tc>
          <w:tcPr>
            <w:tcW w:w="760" w:type="dxa"/>
            <w:vAlign w:val="bottom"/>
          </w:tcPr>
          <w:p>
            <w:pPr>
              <w:spacing w:after="0"/>
              <w:rPr>
                <w:sz w:val="20"/>
                <w:szCs w:val="20"/>
                <w:color w:val="auto"/>
              </w:rPr>
            </w:pPr>
          </w:p>
        </w:tc>
        <w:tc>
          <w:tcPr>
            <w:tcW w:w="800" w:type="dxa"/>
            <w:vAlign w:val="bottom"/>
          </w:tcPr>
          <w:p>
            <w:pPr>
              <w:spacing w:after="0"/>
              <w:rPr>
                <w:sz w:val="20"/>
                <w:szCs w:val="20"/>
                <w:color w:val="auto"/>
              </w:rPr>
            </w:pPr>
          </w:p>
        </w:tc>
        <w:tc>
          <w:tcPr>
            <w:tcW w:w="1040" w:type="dxa"/>
            <w:vAlign w:val="bottom"/>
          </w:tcPr>
          <w:p>
            <w:pPr>
              <w:spacing w:after="0"/>
              <w:rPr>
                <w:sz w:val="20"/>
                <w:szCs w:val="20"/>
                <w:color w:val="auto"/>
              </w:rPr>
            </w:pPr>
          </w:p>
        </w:tc>
        <w:tc>
          <w:tcPr>
            <w:tcW w:w="720" w:type="dxa"/>
            <w:vAlign w:val="bottom"/>
          </w:tcPr>
          <w:p>
            <w:pPr>
              <w:spacing w:after="0"/>
              <w:rPr>
                <w:sz w:val="20"/>
                <w:szCs w:val="20"/>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b w:val="1"/>
          <w:bCs w:val="1"/>
          <w:color w:val="auto"/>
        </w:rPr>
        <w:t>NOTES ACCOMPANYING TABLE 1</w:t>
      </w:r>
    </w:p>
    <w:p>
      <w:pPr>
        <w:spacing w:after="0" w:line="231" w:lineRule="exact"/>
        <w:rPr>
          <w:sz w:val="20"/>
          <w:szCs w:val="20"/>
          <w:color w:val="auto"/>
        </w:rPr>
      </w:pPr>
    </w:p>
    <w:p>
      <w:pPr>
        <w:ind w:right="240"/>
        <w:spacing w:after="0" w:line="265" w:lineRule="auto"/>
        <w:tabs>
          <w:tab w:leader="none" w:pos="194" w:val="left"/>
        </w:tabs>
        <w:numPr>
          <w:ilvl w:val="0"/>
          <w:numId w:val="14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Central Highlands, and are therefore only approximate.</w:t>
      </w:r>
    </w:p>
    <w:p>
      <w:pPr>
        <w:spacing w:after="0" w:line="217" w:lineRule="exact"/>
        <w:rPr>
          <w:rFonts w:ascii="Times New Roman" w:cs="Times New Roman" w:eastAsia="Times New Roman" w:hAnsi="Times New Roman"/>
          <w:sz w:val="16"/>
          <w:szCs w:val="16"/>
          <w:color w:val="auto"/>
        </w:rPr>
      </w:pPr>
    </w:p>
    <w:p>
      <w:pPr>
        <w:ind w:right="80"/>
        <w:spacing w:after="0" w:line="265" w:lineRule="auto"/>
        <w:tabs>
          <w:tab w:leader="none" w:pos="163" w:val="left"/>
        </w:tabs>
        <w:numPr>
          <w:ilvl w:val="0"/>
          <w:numId w:val="14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X indicates where typology changes have resulted in these EVCs not being readily comparable to EVC types outlined in Tables 1a, 1b and 2a. EVC mapping used in 1998 has been revised to ensure the state-wide EVC data set is based on the best available information and integrates</w:t>
      </w:r>
    </w:p>
    <w:p>
      <w:pPr>
        <w:spacing w:after="0" w:line="200" w:lineRule="exact"/>
        <w:rPr>
          <w:sz w:val="20"/>
          <w:szCs w:val="20"/>
          <w:color w:val="auto"/>
        </w:rPr>
      </w:pPr>
    </w:p>
    <w:p>
      <w:pPr>
        <w:spacing w:after="0" w:line="200" w:lineRule="exact"/>
        <w:rPr>
          <w:sz w:val="20"/>
          <w:szCs w:val="20"/>
          <w:color w:val="auto"/>
        </w:rPr>
      </w:pPr>
    </w:p>
    <w:p>
      <w:pPr>
        <w:spacing w:after="0" w:line="226" w:lineRule="exact"/>
        <w:rPr>
          <w:sz w:val="20"/>
          <w:szCs w:val="20"/>
          <w:color w:val="auto"/>
        </w:rPr>
      </w:pPr>
    </w:p>
    <w:p>
      <w:pPr>
        <w:ind w:left="9020"/>
        <w:spacing w:after="0"/>
        <w:rPr>
          <w:sz w:val="20"/>
          <w:szCs w:val="20"/>
          <w:color w:val="auto"/>
        </w:rPr>
      </w:pPr>
      <w:r>
        <w:rPr>
          <w:rFonts w:ascii="Times New Roman" w:cs="Times New Roman" w:eastAsia="Times New Roman" w:hAnsi="Times New Roman"/>
          <w:sz w:val="18"/>
          <w:szCs w:val="18"/>
          <w:color w:val="auto"/>
        </w:rPr>
        <w:t>55</w:t>
      </w:r>
    </w:p>
    <w:p>
      <w:pPr>
        <w:sectPr>
          <w:pgSz w:w="11900" w:h="16838" w:orient="portrait"/>
          <w:cols w:equalWidth="0" w:num="1">
            <w:col w:w="9260"/>
          </w:cols>
          <w:pgMar w:left="1440" w:top="1436" w:right="1206" w:bottom="149" w:gutter="0" w:footer="0" w:header="0"/>
        </w:sectPr>
      </w:pPr>
    </w:p>
    <w:bookmarkStart w:id="55" w:name="page56"/>
    <w:bookmarkEnd w:id="55"/>
    <w:p>
      <w:pPr>
        <w:spacing w:after="0" w:line="4" w:lineRule="exact"/>
        <w:rPr>
          <w:sz w:val="20"/>
          <w:szCs w:val="20"/>
          <w:color w:val="auto"/>
        </w:rPr>
      </w:pPr>
    </w:p>
    <w:p>
      <w:pPr>
        <w:ind w:right="20"/>
        <w:spacing w:after="0" w:line="274" w:lineRule="auto"/>
        <w:rPr>
          <w:sz w:val="20"/>
          <w:szCs w:val="20"/>
          <w:color w:val="auto"/>
        </w:rPr>
      </w:pPr>
      <w:r>
        <w:rPr>
          <w:rFonts w:ascii="Times New Roman" w:cs="Times New Roman" w:eastAsia="Times New Roman" w:hAnsi="Times New Roman"/>
          <w:sz w:val="16"/>
          <w:szCs w:val="16"/>
          <w:color w:val="auto"/>
        </w:rPr>
        <w:t>new methods of mapping and modelling vegetation across Victoria. Differences between the 1998 and 2019 data sets include: changes to how the pre-1750 EVC dataset was created, changes to how DELWP creates a view of EVC extent (using a new native vegetation extent model and the pre 1750 dataset), applying nomenclature standards to EVCs which may have resulted in the discontinuation of certain EVC names, the splitting of EVCs, reconciliation of mapping units (such as mosaics and complexes), the delineation of new EVC types and spatial adjustments. As a result, information relating to EVC extent or reservation levels between 1998 and 2019 is not directly comparable and may differ due to the different modelling and mapping approaches.</w:t>
      </w:r>
    </w:p>
    <w:p>
      <w:pPr>
        <w:spacing w:after="0" w:line="201"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c. E=endangered, V=vulnerable, R=rare in accordance with the JANIS Reserve Criteria.</w:t>
      </w:r>
    </w:p>
    <w:p>
      <w:pPr>
        <w:spacing w:after="0" w:line="229" w:lineRule="exact"/>
        <w:rPr>
          <w:sz w:val="20"/>
          <w:szCs w:val="20"/>
          <w:color w:val="auto"/>
        </w:rPr>
      </w:pPr>
    </w:p>
    <w:p>
      <w:pPr>
        <w:ind w:left="200" w:hanging="200"/>
        <w:spacing w:after="0"/>
        <w:tabs>
          <w:tab w:leader="none" w:pos="200" w:val="left"/>
        </w:tabs>
        <w:numPr>
          <w:ilvl w:val="0"/>
          <w:numId w:val="14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greater than 100 metres and other informal reserves.</w:t>
      </w:r>
    </w:p>
    <w:p>
      <w:pPr>
        <w:spacing w:after="0" w:line="226" w:lineRule="exact"/>
        <w:rPr>
          <w:rFonts w:ascii="Times New Roman" w:cs="Times New Roman" w:eastAsia="Times New Roman" w:hAnsi="Times New Roman"/>
          <w:sz w:val="16"/>
          <w:szCs w:val="16"/>
          <w:color w:val="auto"/>
        </w:rPr>
      </w:pPr>
    </w:p>
    <w:p>
      <w:pPr>
        <w:ind w:left="200" w:hanging="200"/>
        <w:spacing w:after="0"/>
        <w:tabs>
          <w:tab w:leader="none" w:pos="200" w:val="left"/>
        </w:tabs>
        <w:numPr>
          <w:ilvl w:val="0"/>
          <w:numId w:val="14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those elements of GMZ and SMZ protected by regional prescriptions.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56</w:t>
      </w:r>
    </w:p>
    <w:p>
      <w:pPr>
        <w:sectPr>
          <w:pgSz w:w="11900" w:h="16838" w:orient="portrait"/>
          <w:cols w:equalWidth="0" w:num="1">
            <w:col w:w="9200"/>
          </w:cols>
          <w:pgMar w:left="1440" w:top="1440" w:right="1266" w:bottom="149" w:gutter="0" w:footer="0" w:header="0"/>
        </w:sectPr>
      </w:pPr>
    </w:p>
    <w:bookmarkStart w:id="56" w:name="page57"/>
    <w:bookmarkEnd w:id="56"/>
    <w:p>
      <w:pPr>
        <w:spacing w:after="0" w:line="3" w:lineRule="exact"/>
        <w:rPr>
          <w:sz w:val="20"/>
          <w:szCs w:val="20"/>
          <w:color w:val="auto"/>
        </w:rPr>
      </w:pPr>
    </w:p>
    <w:p>
      <w:pPr>
        <w:ind w:right="380"/>
        <w:spacing w:after="0" w:line="229" w:lineRule="auto"/>
        <w:rPr>
          <w:sz w:val="20"/>
          <w:szCs w:val="20"/>
          <w:color w:val="auto"/>
        </w:rPr>
      </w:pPr>
      <w:r>
        <w:rPr>
          <w:rFonts w:ascii="Times New Roman" w:cs="Times New Roman" w:eastAsia="Times New Roman" w:hAnsi="Times New Roman"/>
          <w:sz w:val="22"/>
          <w:szCs w:val="22"/>
          <w:b w:val="1"/>
          <w:bCs w:val="1"/>
          <w:color w:val="auto"/>
        </w:rPr>
        <w:t>Table 1a Representative conservation (percentage reservation status) of Forest EVCs</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in the CAR Reserve System in the Central Highlands RFA Region as at 2019.</w:t>
      </w:r>
    </w:p>
    <w:p>
      <w:pPr>
        <w:spacing w:after="0" w:line="222" w:lineRule="exact"/>
        <w:rPr>
          <w:sz w:val="20"/>
          <w:szCs w:val="20"/>
          <w:color w:val="auto"/>
        </w:rPr>
      </w:pPr>
    </w:p>
    <w:tbl>
      <w:tblPr>
        <w:tblLayout w:type="fixed"/>
        <w:tblInd w:w="10" w:type="dxa"/>
        <w:tblCellMar>
          <w:top w:w="0" w:type="dxa"/>
          <w:left w:w="0" w:type="dxa"/>
          <w:bottom w:w="0" w:type="dxa"/>
          <w:right w:w="0" w:type="dxa"/>
        </w:tblCellMar>
      </w:tblPr>
      <w:tr>
        <w:trPr>
          <w:trHeight w:val="235"/>
        </w:trPr>
        <w:tc>
          <w:tcPr>
            <w:tcW w:w="43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Ecosystem type</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EVC</w:t>
            </w:r>
          </w:p>
        </w:tc>
        <w:tc>
          <w:tcPr>
            <w:tcW w:w="7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Pre-</w:t>
            </w:r>
          </w:p>
        </w:tc>
        <w:tc>
          <w:tcPr>
            <w:tcW w:w="76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Current</w:t>
            </w:r>
          </w:p>
        </w:tc>
        <w:tc>
          <w:tcPr>
            <w:tcW w:w="8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Percent</w:t>
            </w:r>
          </w:p>
        </w:tc>
        <w:tc>
          <w:tcPr>
            <w:tcW w:w="72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 of</w:t>
            </w:r>
          </w:p>
        </w:tc>
        <w:tc>
          <w:tcPr>
            <w:tcW w:w="680" w:type="dxa"/>
            <w:vAlign w:val="bottom"/>
            <w:tcBorders>
              <w:top w:val="single" w:sz="8" w:color="auto"/>
              <w:right w:val="single" w:sz="8" w:color="auto"/>
            </w:tcBorders>
          </w:tcPr>
          <w:p>
            <w:pPr>
              <w:jc w:val="center"/>
              <w:spacing w:after="0" w:line="234" w:lineRule="exact"/>
              <w:rPr>
                <w:sz w:val="20"/>
                <w:szCs w:val="20"/>
                <w:color w:val="auto"/>
              </w:rPr>
            </w:pPr>
            <w:r>
              <w:rPr>
                <w:rFonts w:ascii="Calibri" w:cs="Calibri" w:eastAsia="Calibri" w:hAnsi="Calibri"/>
                <w:sz w:val="16"/>
                <w:szCs w:val="16"/>
                <w:b w:val="1"/>
                <w:bCs w:val="1"/>
                <w:color w:val="auto"/>
                <w:w w:val="98"/>
              </w:rPr>
              <w:t>Status</w:t>
            </w:r>
            <w:r>
              <w:rPr>
                <w:rFonts w:ascii="Calibri" w:cs="Calibri" w:eastAsia="Calibri" w:hAnsi="Calibri"/>
                <w:sz w:val="20"/>
                <w:szCs w:val="20"/>
                <w:b w:val="1"/>
                <w:bCs w:val="1"/>
                <w:color w:val="auto"/>
                <w:w w:val="98"/>
                <w:vertAlign w:val="superscript"/>
              </w:rPr>
              <w:t>b</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 of</w:t>
            </w:r>
          </w:p>
        </w:tc>
        <w:tc>
          <w:tcPr>
            <w:tcW w:w="900" w:type="dxa"/>
            <w:vAlign w:val="bottom"/>
            <w:tcBorders>
              <w:top w:val="single" w:sz="8" w:color="auto"/>
            </w:tcBorders>
          </w:tcPr>
          <w:p>
            <w:pPr>
              <w:spacing w:after="0"/>
              <w:rPr>
                <w:sz w:val="20"/>
                <w:szCs w:val="20"/>
                <w:color w:val="auto"/>
              </w:rPr>
            </w:pPr>
          </w:p>
        </w:tc>
        <w:tc>
          <w:tcPr>
            <w:tcW w:w="820" w:type="dxa"/>
            <w:vAlign w:val="bottom"/>
            <w:tcBorders>
              <w:top w:val="single" w:sz="8" w:color="auto"/>
            </w:tcBorders>
          </w:tcPr>
          <w:p>
            <w:pPr>
              <w:spacing w:after="0"/>
              <w:rPr>
                <w:sz w:val="20"/>
                <w:szCs w:val="20"/>
                <w:color w:val="auto"/>
              </w:rPr>
            </w:pPr>
          </w:p>
        </w:tc>
        <w:tc>
          <w:tcPr>
            <w:tcW w:w="1080" w:type="dxa"/>
            <w:vAlign w:val="bottom"/>
            <w:tcBorders>
              <w:top w:val="single" w:sz="8" w:color="auto"/>
            </w:tcBorders>
          </w:tcPr>
          <w:p>
            <w:pPr>
              <w:spacing w:after="0"/>
              <w:rPr>
                <w:sz w:val="20"/>
                <w:szCs w:val="20"/>
                <w:color w:val="auto"/>
              </w:rPr>
            </w:pPr>
          </w:p>
        </w:tc>
        <w:tc>
          <w:tcPr>
            <w:tcW w:w="740" w:type="dxa"/>
            <w:vAlign w:val="bottom"/>
            <w:tcBorders>
              <w:top w:val="single" w:sz="8" w:color="auto"/>
            </w:tcBorders>
          </w:tcPr>
          <w:p>
            <w:pPr>
              <w:spacing w:after="0"/>
              <w:rPr>
                <w:sz w:val="20"/>
                <w:szCs w:val="20"/>
                <w:color w:val="auto"/>
              </w:rPr>
            </w:pPr>
          </w:p>
        </w:tc>
        <w:tc>
          <w:tcPr>
            <w:tcW w:w="840" w:type="dxa"/>
            <w:vAlign w:val="bottom"/>
            <w:tcBorders>
              <w:top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61"/>
        </w:trPr>
        <w:tc>
          <w:tcPr>
            <w:tcW w:w="4320" w:type="dxa"/>
            <w:vAlign w:val="bottom"/>
            <w:tcBorders>
              <w:left w:val="single" w:sz="8" w:color="auto"/>
              <w:right w:val="single" w:sz="8" w:color="auto"/>
            </w:tcBorders>
          </w:tcPr>
          <w:p>
            <w:pPr>
              <w:spacing w:after="0"/>
              <w:rPr>
                <w:sz w:val="13"/>
                <w:szCs w:val="13"/>
                <w:color w:val="auto"/>
              </w:rPr>
            </w:pPr>
          </w:p>
        </w:tc>
        <w:tc>
          <w:tcPr>
            <w:tcW w:w="74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number</w:t>
            </w:r>
          </w:p>
        </w:tc>
        <w:tc>
          <w:tcPr>
            <w:tcW w:w="76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1750</w:t>
            </w:r>
          </w:p>
        </w:tc>
        <w:tc>
          <w:tcPr>
            <w:tcW w:w="760" w:type="dxa"/>
            <w:vAlign w:val="bottom"/>
            <w:tcBorders>
              <w:right w:val="single" w:sz="8" w:color="auto"/>
            </w:tcBorders>
          </w:tcPr>
          <w:p>
            <w:pPr>
              <w:ind w:left="80"/>
              <w:spacing w:after="0" w:line="161" w:lineRule="exact"/>
              <w:rPr>
                <w:sz w:val="20"/>
                <w:szCs w:val="20"/>
                <w:color w:val="auto"/>
              </w:rPr>
            </w:pPr>
            <w:r>
              <w:rPr>
                <w:rFonts w:ascii="Calibri" w:cs="Calibri" w:eastAsia="Calibri" w:hAnsi="Calibri"/>
                <w:sz w:val="16"/>
                <w:szCs w:val="16"/>
                <w:b w:val="1"/>
                <w:bCs w:val="1"/>
                <w:color w:val="auto"/>
              </w:rPr>
              <w:t>extent</w:t>
            </w:r>
          </w:p>
        </w:tc>
        <w:tc>
          <w:tcPr>
            <w:tcW w:w="880" w:type="dxa"/>
            <w:vAlign w:val="bottom"/>
            <w:tcBorders>
              <w:right w:val="single" w:sz="8" w:color="auto"/>
            </w:tcBorders>
          </w:tcPr>
          <w:p>
            <w:pPr>
              <w:ind w:left="80"/>
              <w:spacing w:after="0" w:line="161" w:lineRule="exact"/>
              <w:rPr>
                <w:sz w:val="20"/>
                <w:szCs w:val="20"/>
                <w:color w:val="auto"/>
              </w:rPr>
            </w:pPr>
            <w:r>
              <w:rPr>
                <w:rFonts w:ascii="Calibri" w:cs="Calibri" w:eastAsia="Calibri" w:hAnsi="Calibri"/>
                <w:sz w:val="16"/>
                <w:szCs w:val="16"/>
                <w:b w:val="1"/>
                <w:bCs w:val="1"/>
                <w:color w:val="auto"/>
              </w:rPr>
              <w:t>remaining</w:t>
            </w:r>
          </w:p>
        </w:tc>
        <w:tc>
          <w:tcPr>
            <w:tcW w:w="72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current</w:t>
            </w:r>
          </w:p>
        </w:tc>
        <w:tc>
          <w:tcPr>
            <w:tcW w:w="68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pre-</w:t>
            </w:r>
          </w:p>
        </w:tc>
        <w:tc>
          <w:tcPr>
            <w:tcW w:w="4380" w:type="dxa"/>
            <w:vAlign w:val="bottom"/>
            <w:tcBorders>
              <w:right w:val="single" w:sz="8" w:color="auto"/>
            </w:tcBorders>
            <w:gridSpan w:val="5"/>
            <w:vMerge w:val="restart"/>
          </w:tcPr>
          <w:p>
            <w:pPr>
              <w:jc w:val="right"/>
              <w:ind w:right="580"/>
              <w:spacing w:after="0"/>
              <w:rPr>
                <w:sz w:val="20"/>
                <w:szCs w:val="20"/>
                <w:color w:val="auto"/>
              </w:rPr>
            </w:pPr>
            <w:r>
              <w:rPr>
                <w:rFonts w:ascii="Calibri" w:cs="Calibri" w:eastAsia="Calibri" w:hAnsi="Calibri"/>
                <w:sz w:val="16"/>
                <w:szCs w:val="16"/>
                <w:b w:val="1"/>
                <w:bCs w:val="1"/>
                <w:color w:val="auto"/>
              </w:rPr>
              <w:t>% of current extent in the CAR Reserve System</w:t>
            </w:r>
          </w:p>
        </w:tc>
        <w:tc>
          <w:tcPr>
            <w:tcW w:w="0" w:type="dxa"/>
            <w:vAlign w:val="bottom"/>
          </w:tcPr>
          <w:p>
            <w:pPr>
              <w:spacing w:after="0"/>
              <w:rPr>
                <w:sz w:val="1"/>
                <w:szCs w:val="1"/>
                <w:color w:val="auto"/>
              </w:rPr>
            </w:pPr>
          </w:p>
        </w:tc>
      </w:tr>
      <w:tr>
        <w:trPr>
          <w:trHeight w:val="125"/>
        </w:trPr>
        <w:tc>
          <w:tcPr>
            <w:tcW w:w="4320" w:type="dxa"/>
            <w:vAlign w:val="bottom"/>
            <w:tcBorders>
              <w:left w:val="single" w:sz="8" w:color="auto"/>
              <w:right w:val="single" w:sz="8" w:color="auto"/>
            </w:tcBorders>
          </w:tcPr>
          <w:p>
            <w:pPr>
              <w:spacing w:after="0"/>
              <w:rPr>
                <w:sz w:val="10"/>
                <w:szCs w:val="10"/>
                <w:color w:val="auto"/>
              </w:rPr>
            </w:pPr>
          </w:p>
        </w:tc>
        <w:tc>
          <w:tcPr>
            <w:tcW w:w="740" w:type="dxa"/>
            <w:vAlign w:val="bottom"/>
            <w:tcBorders>
              <w:right w:val="single" w:sz="8" w:color="auto"/>
            </w:tcBorders>
          </w:tcPr>
          <w:p>
            <w:pPr>
              <w:spacing w:after="0"/>
              <w:rPr>
                <w:sz w:val="10"/>
                <w:szCs w:val="10"/>
                <w:color w:val="auto"/>
              </w:rPr>
            </w:pPr>
          </w:p>
        </w:tc>
        <w:tc>
          <w:tcPr>
            <w:tcW w:w="76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extent</w:t>
            </w:r>
          </w:p>
        </w:tc>
        <w:tc>
          <w:tcPr>
            <w:tcW w:w="76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(ha)</w:t>
            </w:r>
          </w:p>
        </w:tc>
        <w:tc>
          <w:tcPr>
            <w:tcW w:w="880" w:type="dxa"/>
            <w:vAlign w:val="bottom"/>
            <w:tcBorders>
              <w:right w:val="single" w:sz="8" w:color="auto"/>
            </w:tcBorders>
          </w:tcPr>
          <w:p>
            <w:pPr>
              <w:spacing w:after="0"/>
              <w:rPr>
                <w:sz w:val="10"/>
                <w:szCs w:val="10"/>
                <w:color w:val="auto"/>
              </w:rPr>
            </w:pPr>
          </w:p>
        </w:tc>
        <w:tc>
          <w:tcPr>
            <w:tcW w:w="72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extent</w:t>
            </w:r>
          </w:p>
        </w:tc>
        <w:tc>
          <w:tcPr>
            <w:tcW w:w="680" w:type="dxa"/>
            <w:vAlign w:val="bottom"/>
            <w:tcBorders>
              <w:right w:val="single" w:sz="8" w:color="auto"/>
            </w:tcBorders>
          </w:tcPr>
          <w:p>
            <w:pPr>
              <w:spacing w:after="0"/>
              <w:rPr>
                <w:sz w:val="10"/>
                <w:szCs w:val="10"/>
                <w:color w:val="auto"/>
              </w:rPr>
            </w:pP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1750</w:t>
            </w:r>
          </w:p>
        </w:tc>
        <w:tc>
          <w:tcPr>
            <w:tcW w:w="4380" w:type="dxa"/>
            <w:vAlign w:val="bottom"/>
            <w:tcBorders>
              <w:right w:val="single" w:sz="8" w:color="auto"/>
            </w:tcBorders>
            <w:gridSpan w:val="5"/>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72"/>
        </w:trPr>
        <w:tc>
          <w:tcPr>
            <w:tcW w:w="4320" w:type="dxa"/>
            <w:vAlign w:val="bottom"/>
            <w:tcBorders>
              <w:left w:val="single" w:sz="8" w:color="auto"/>
              <w:right w:val="single" w:sz="8" w:color="auto"/>
            </w:tcBorders>
          </w:tcPr>
          <w:p>
            <w:pPr>
              <w:spacing w:after="0"/>
              <w:rPr>
                <w:sz w:val="6"/>
                <w:szCs w:val="6"/>
                <w:color w:val="auto"/>
              </w:rPr>
            </w:pPr>
          </w:p>
        </w:tc>
        <w:tc>
          <w:tcPr>
            <w:tcW w:w="740" w:type="dxa"/>
            <w:vAlign w:val="bottom"/>
            <w:tcBorders>
              <w:right w:val="single" w:sz="8" w:color="auto"/>
            </w:tcBorders>
          </w:tcPr>
          <w:p>
            <w:pPr>
              <w:spacing w:after="0"/>
              <w:rPr>
                <w:sz w:val="6"/>
                <w:szCs w:val="6"/>
                <w:color w:val="auto"/>
              </w:rPr>
            </w:pPr>
          </w:p>
        </w:tc>
        <w:tc>
          <w:tcPr>
            <w:tcW w:w="760" w:type="dxa"/>
            <w:vAlign w:val="bottom"/>
            <w:tcBorders>
              <w:right w:val="single" w:sz="8" w:color="auto"/>
            </w:tcBorders>
            <w:vMerge w:val="continue"/>
          </w:tcPr>
          <w:p>
            <w:pPr>
              <w:spacing w:after="0"/>
              <w:rPr>
                <w:sz w:val="6"/>
                <w:szCs w:val="6"/>
                <w:color w:val="auto"/>
              </w:rPr>
            </w:pPr>
          </w:p>
        </w:tc>
        <w:tc>
          <w:tcPr>
            <w:tcW w:w="760" w:type="dxa"/>
            <w:vAlign w:val="bottom"/>
            <w:tcBorders>
              <w:right w:val="single" w:sz="8" w:color="auto"/>
            </w:tcBorders>
            <w:vMerge w:val="continue"/>
          </w:tcPr>
          <w:p>
            <w:pPr>
              <w:spacing w:after="0"/>
              <w:rPr>
                <w:sz w:val="6"/>
                <w:szCs w:val="6"/>
                <w:color w:val="auto"/>
              </w:rPr>
            </w:pPr>
          </w:p>
        </w:tc>
        <w:tc>
          <w:tcPr>
            <w:tcW w:w="880" w:type="dxa"/>
            <w:vAlign w:val="bottom"/>
            <w:tcBorders>
              <w:right w:val="single" w:sz="8" w:color="auto"/>
            </w:tcBorders>
          </w:tcPr>
          <w:p>
            <w:pPr>
              <w:spacing w:after="0"/>
              <w:rPr>
                <w:sz w:val="6"/>
                <w:szCs w:val="6"/>
                <w:color w:val="auto"/>
              </w:rPr>
            </w:pPr>
          </w:p>
        </w:tc>
        <w:tc>
          <w:tcPr>
            <w:tcW w:w="720" w:type="dxa"/>
            <w:vAlign w:val="bottom"/>
            <w:tcBorders>
              <w:right w:val="single" w:sz="8" w:color="auto"/>
            </w:tcBorders>
            <w:vMerge w:val="continue"/>
          </w:tcPr>
          <w:p>
            <w:pPr>
              <w:spacing w:after="0"/>
              <w:rPr>
                <w:sz w:val="6"/>
                <w:szCs w:val="6"/>
                <w:color w:val="auto"/>
              </w:rPr>
            </w:pPr>
          </w:p>
        </w:tc>
        <w:tc>
          <w:tcPr>
            <w:tcW w:w="680" w:type="dxa"/>
            <w:vAlign w:val="bottom"/>
            <w:tcBorders>
              <w:right w:val="single" w:sz="8" w:color="auto"/>
            </w:tcBorders>
          </w:tcPr>
          <w:p>
            <w:pPr>
              <w:spacing w:after="0"/>
              <w:rPr>
                <w:sz w:val="6"/>
                <w:szCs w:val="6"/>
                <w:color w:val="auto"/>
              </w:rPr>
            </w:pPr>
          </w:p>
        </w:tc>
        <w:tc>
          <w:tcPr>
            <w:tcW w:w="740" w:type="dxa"/>
            <w:vAlign w:val="bottom"/>
            <w:tcBorders>
              <w:right w:val="single" w:sz="8" w:color="auto"/>
            </w:tcBorders>
            <w:vMerge w:val="continue"/>
          </w:tcPr>
          <w:p>
            <w:pPr>
              <w:spacing w:after="0"/>
              <w:rPr>
                <w:sz w:val="6"/>
                <w:szCs w:val="6"/>
                <w:color w:val="auto"/>
              </w:rPr>
            </w:pPr>
          </w:p>
        </w:tc>
        <w:tc>
          <w:tcPr>
            <w:tcW w:w="900" w:type="dxa"/>
            <w:vAlign w:val="bottom"/>
          </w:tcPr>
          <w:p>
            <w:pPr>
              <w:spacing w:after="0"/>
              <w:rPr>
                <w:sz w:val="6"/>
                <w:szCs w:val="6"/>
                <w:color w:val="auto"/>
              </w:rPr>
            </w:pPr>
          </w:p>
        </w:tc>
        <w:tc>
          <w:tcPr>
            <w:tcW w:w="820" w:type="dxa"/>
            <w:vAlign w:val="bottom"/>
          </w:tcPr>
          <w:p>
            <w:pPr>
              <w:spacing w:after="0"/>
              <w:rPr>
                <w:sz w:val="6"/>
                <w:szCs w:val="6"/>
                <w:color w:val="auto"/>
              </w:rPr>
            </w:pPr>
          </w:p>
        </w:tc>
        <w:tc>
          <w:tcPr>
            <w:tcW w:w="1080" w:type="dxa"/>
            <w:vAlign w:val="bottom"/>
          </w:tcPr>
          <w:p>
            <w:pPr>
              <w:spacing w:after="0"/>
              <w:rPr>
                <w:sz w:val="6"/>
                <w:szCs w:val="6"/>
                <w:color w:val="auto"/>
              </w:rPr>
            </w:pPr>
          </w:p>
        </w:tc>
        <w:tc>
          <w:tcPr>
            <w:tcW w:w="740" w:type="dxa"/>
            <w:vAlign w:val="bottom"/>
          </w:tcPr>
          <w:p>
            <w:pPr>
              <w:spacing w:after="0"/>
              <w:rPr>
                <w:sz w:val="6"/>
                <w:szCs w:val="6"/>
                <w:color w:val="auto"/>
              </w:rPr>
            </w:pPr>
          </w:p>
        </w:tc>
        <w:tc>
          <w:tcPr>
            <w:tcW w:w="840" w:type="dxa"/>
            <w:vAlign w:val="bottom"/>
            <w:tcBorders>
              <w:right w:val="single" w:sz="8" w:color="auto"/>
            </w:tcBorders>
          </w:tcPr>
          <w:p>
            <w:pPr>
              <w:spacing w:after="0"/>
              <w:rPr>
                <w:sz w:val="6"/>
                <w:szCs w:val="6"/>
                <w:color w:val="auto"/>
              </w:rPr>
            </w:pPr>
          </w:p>
        </w:tc>
        <w:tc>
          <w:tcPr>
            <w:tcW w:w="0" w:type="dxa"/>
            <w:vAlign w:val="bottom"/>
          </w:tcPr>
          <w:p>
            <w:pPr>
              <w:spacing w:after="0"/>
              <w:rPr>
                <w:sz w:val="1"/>
                <w:szCs w:val="1"/>
                <w:color w:val="auto"/>
              </w:rPr>
            </w:pPr>
          </w:p>
        </w:tc>
      </w:tr>
      <w:tr>
        <w:trPr>
          <w:trHeight w:val="194"/>
        </w:trPr>
        <w:tc>
          <w:tcPr>
            <w:tcW w:w="4320" w:type="dxa"/>
            <w:vAlign w:val="bottom"/>
            <w:tcBorders>
              <w:left w:val="single" w:sz="8" w:color="auto"/>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76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(ha)</w:t>
            </w:r>
          </w:p>
        </w:tc>
        <w:tc>
          <w:tcPr>
            <w:tcW w:w="76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2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on</w:t>
            </w:r>
          </w:p>
        </w:tc>
        <w:tc>
          <w:tcPr>
            <w:tcW w:w="68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extent</w:t>
            </w:r>
          </w:p>
        </w:tc>
        <w:tc>
          <w:tcPr>
            <w:tcW w:w="900" w:type="dxa"/>
            <w:vAlign w:val="bottom"/>
          </w:tcPr>
          <w:p>
            <w:pPr>
              <w:spacing w:after="0"/>
              <w:rPr>
                <w:sz w:val="16"/>
                <w:szCs w:val="16"/>
                <w:color w:val="auto"/>
              </w:rPr>
            </w:pPr>
          </w:p>
        </w:tc>
        <w:tc>
          <w:tcPr>
            <w:tcW w:w="820" w:type="dxa"/>
            <w:vAlign w:val="bottom"/>
          </w:tcPr>
          <w:p>
            <w:pPr>
              <w:spacing w:after="0"/>
              <w:rPr>
                <w:sz w:val="16"/>
                <w:szCs w:val="16"/>
                <w:color w:val="auto"/>
              </w:rPr>
            </w:pPr>
          </w:p>
        </w:tc>
        <w:tc>
          <w:tcPr>
            <w:tcW w:w="1080" w:type="dxa"/>
            <w:vAlign w:val="bottom"/>
          </w:tcPr>
          <w:p>
            <w:pPr>
              <w:spacing w:after="0"/>
              <w:rPr>
                <w:sz w:val="16"/>
                <w:szCs w:val="16"/>
                <w:color w:val="auto"/>
              </w:rPr>
            </w:pPr>
          </w:p>
        </w:tc>
        <w:tc>
          <w:tcPr>
            <w:tcW w:w="740" w:type="dxa"/>
            <w:vAlign w:val="bottom"/>
          </w:tcPr>
          <w:p>
            <w:pPr>
              <w:spacing w:after="0"/>
              <w:rPr>
                <w:sz w:val="16"/>
                <w:szCs w:val="16"/>
                <w:color w:val="auto"/>
              </w:rPr>
            </w:pPr>
          </w:p>
        </w:tc>
        <w:tc>
          <w:tcPr>
            <w:tcW w:w="84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56"/>
        </w:trPr>
        <w:tc>
          <w:tcPr>
            <w:tcW w:w="4320" w:type="dxa"/>
            <w:vAlign w:val="bottom"/>
            <w:tcBorders>
              <w:left w:val="single" w:sz="8" w:color="auto"/>
              <w:right w:val="single" w:sz="8" w:color="auto"/>
            </w:tcBorders>
          </w:tcPr>
          <w:p>
            <w:pPr>
              <w:spacing w:after="0"/>
              <w:rPr>
                <w:sz w:val="4"/>
                <w:szCs w:val="4"/>
                <w:color w:val="auto"/>
              </w:rPr>
            </w:pPr>
          </w:p>
        </w:tc>
        <w:tc>
          <w:tcPr>
            <w:tcW w:w="740" w:type="dxa"/>
            <w:vAlign w:val="bottom"/>
            <w:tcBorders>
              <w:right w:val="single" w:sz="8" w:color="auto"/>
            </w:tcBorders>
          </w:tcPr>
          <w:p>
            <w:pPr>
              <w:spacing w:after="0"/>
              <w:rPr>
                <w:sz w:val="4"/>
                <w:szCs w:val="4"/>
                <w:color w:val="auto"/>
              </w:rPr>
            </w:pPr>
          </w:p>
        </w:tc>
        <w:tc>
          <w:tcPr>
            <w:tcW w:w="760" w:type="dxa"/>
            <w:vAlign w:val="bottom"/>
            <w:tcBorders>
              <w:right w:val="single" w:sz="8" w:color="auto"/>
            </w:tcBorders>
          </w:tcPr>
          <w:p>
            <w:pPr>
              <w:spacing w:after="0"/>
              <w:rPr>
                <w:sz w:val="4"/>
                <w:szCs w:val="4"/>
                <w:color w:val="auto"/>
              </w:rPr>
            </w:pPr>
          </w:p>
        </w:tc>
        <w:tc>
          <w:tcPr>
            <w:tcW w:w="760" w:type="dxa"/>
            <w:vAlign w:val="bottom"/>
            <w:tcBorders>
              <w:right w:val="single" w:sz="8" w:color="auto"/>
            </w:tcBorders>
          </w:tcPr>
          <w:p>
            <w:pPr>
              <w:spacing w:after="0"/>
              <w:rPr>
                <w:sz w:val="4"/>
                <w:szCs w:val="4"/>
                <w:color w:val="auto"/>
              </w:rPr>
            </w:pPr>
          </w:p>
        </w:tc>
        <w:tc>
          <w:tcPr>
            <w:tcW w:w="880" w:type="dxa"/>
            <w:vAlign w:val="bottom"/>
            <w:tcBorders>
              <w:right w:val="single" w:sz="8" w:color="auto"/>
            </w:tcBorders>
          </w:tcPr>
          <w:p>
            <w:pPr>
              <w:spacing w:after="0"/>
              <w:rPr>
                <w:sz w:val="4"/>
                <w:szCs w:val="4"/>
                <w:color w:val="auto"/>
              </w:rPr>
            </w:pPr>
          </w:p>
        </w:tc>
        <w:tc>
          <w:tcPr>
            <w:tcW w:w="72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private</w:t>
            </w:r>
          </w:p>
        </w:tc>
        <w:tc>
          <w:tcPr>
            <w:tcW w:w="680" w:type="dxa"/>
            <w:vAlign w:val="bottom"/>
            <w:tcBorders>
              <w:right w:val="single" w:sz="8" w:color="auto"/>
            </w:tcBorders>
          </w:tcPr>
          <w:p>
            <w:pPr>
              <w:spacing w:after="0"/>
              <w:rPr>
                <w:sz w:val="4"/>
                <w:szCs w:val="4"/>
                <w:color w:val="auto"/>
              </w:rPr>
            </w:pP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in the</w:t>
            </w:r>
          </w:p>
        </w:tc>
        <w:tc>
          <w:tcPr>
            <w:tcW w:w="900" w:type="dxa"/>
            <w:vAlign w:val="bottom"/>
            <w:tcBorders>
              <w:bottom w:val="single" w:sz="8" w:color="auto"/>
            </w:tcBorders>
          </w:tcPr>
          <w:p>
            <w:pPr>
              <w:spacing w:after="0"/>
              <w:rPr>
                <w:sz w:val="4"/>
                <w:szCs w:val="4"/>
                <w:color w:val="auto"/>
              </w:rPr>
            </w:pPr>
          </w:p>
        </w:tc>
        <w:tc>
          <w:tcPr>
            <w:tcW w:w="820" w:type="dxa"/>
            <w:vAlign w:val="bottom"/>
            <w:tcBorders>
              <w:bottom w:val="single" w:sz="8" w:color="auto"/>
            </w:tcBorders>
          </w:tcPr>
          <w:p>
            <w:pPr>
              <w:spacing w:after="0"/>
              <w:rPr>
                <w:sz w:val="4"/>
                <w:szCs w:val="4"/>
                <w:color w:val="auto"/>
              </w:rPr>
            </w:pPr>
          </w:p>
        </w:tc>
        <w:tc>
          <w:tcPr>
            <w:tcW w:w="1080" w:type="dxa"/>
            <w:vAlign w:val="bottom"/>
            <w:tcBorders>
              <w:bottom w:val="single" w:sz="8" w:color="auto"/>
            </w:tcBorders>
          </w:tcPr>
          <w:p>
            <w:pPr>
              <w:spacing w:after="0"/>
              <w:rPr>
                <w:sz w:val="4"/>
                <w:szCs w:val="4"/>
                <w:color w:val="auto"/>
              </w:rPr>
            </w:pPr>
          </w:p>
        </w:tc>
        <w:tc>
          <w:tcPr>
            <w:tcW w:w="740" w:type="dxa"/>
            <w:vAlign w:val="bottom"/>
            <w:tcBorders>
              <w:bottom w:val="single" w:sz="8" w:color="auto"/>
            </w:tcBorders>
          </w:tcPr>
          <w:p>
            <w:pPr>
              <w:spacing w:after="0"/>
              <w:rPr>
                <w:sz w:val="4"/>
                <w:szCs w:val="4"/>
                <w:color w:val="auto"/>
              </w:rPr>
            </w:pPr>
          </w:p>
        </w:tc>
        <w:tc>
          <w:tcPr>
            <w:tcW w:w="84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r>
        <w:trPr>
          <w:trHeight w:val="155"/>
        </w:trPr>
        <w:tc>
          <w:tcPr>
            <w:tcW w:w="4320" w:type="dxa"/>
            <w:vAlign w:val="bottom"/>
            <w:tcBorders>
              <w:left w:val="single" w:sz="8" w:color="auto"/>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vMerge w:val="continue"/>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vMerge w:val="continue"/>
          </w:tcPr>
          <w:p>
            <w:pPr>
              <w:spacing w:after="0"/>
              <w:rPr>
                <w:sz w:val="13"/>
                <w:szCs w:val="13"/>
                <w:color w:val="auto"/>
              </w:rPr>
            </w:pPr>
          </w:p>
        </w:tc>
        <w:tc>
          <w:tcPr>
            <w:tcW w:w="900" w:type="dxa"/>
            <w:vAlign w:val="bottom"/>
            <w:tcBorders>
              <w:right w:val="single" w:sz="8" w:color="auto"/>
            </w:tcBorders>
          </w:tcPr>
          <w:p>
            <w:pPr>
              <w:jc w:val="right"/>
              <w:ind w:right="40"/>
              <w:spacing w:after="0" w:line="155" w:lineRule="exact"/>
              <w:rPr>
                <w:sz w:val="20"/>
                <w:szCs w:val="20"/>
                <w:color w:val="auto"/>
              </w:rPr>
            </w:pPr>
            <w:r>
              <w:rPr>
                <w:rFonts w:ascii="Calibri" w:cs="Calibri" w:eastAsia="Calibri" w:hAnsi="Calibri"/>
                <w:sz w:val="16"/>
                <w:szCs w:val="16"/>
                <w:b w:val="1"/>
                <w:bCs w:val="1"/>
                <w:color w:val="auto"/>
              </w:rPr>
              <w:t>Dedicated</w:t>
            </w:r>
          </w:p>
        </w:tc>
        <w:tc>
          <w:tcPr>
            <w:tcW w:w="820" w:type="dxa"/>
            <w:vAlign w:val="bottom"/>
            <w:tcBorders>
              <w:right w:val="single" w:sz="8" w:color="auto"/>
            </w:tcBorders>
          </w:tcPr>
          <w:p>
            <w:pPr>
              <w:jc w:val="right"/>
              <w:ind w:right="40"/>
              <w:spacing w:after="0" w:line="155" w:lineRule="exact"/>
              <w:rPr>
                <w:sz w:val="20"/>
                <w:szCs w:val="20"/>
                <w:color w:val="auto"/>
              </w:rPr>
            </w:pPr>
            <w:r>
              <w:rPr>
                <w:rFonts w:ascii="Calibri" w:cs="Calibri" w:eastAsia="Calibri" w:hAnsi="Calibri"/>
                <w:sz w:val="13"/>
                <w:szCs w:val="13"/>
                <w:b w:val="1"/>
                <w:bCs w:val="1"/>
                <w:color w:val="auto"/>
              </w:rPr>
              <w:t>Informal</w:t>
            </w:r>
            <w:r>
              <w:rPr>
                <w:rFonts w:ascii="Calibri" w:cs="Calibri" w:eastAsia="Calibri" w:hAnsi="Calibri"/>
                <w:sz w:val="16"/>
                <w:szCs w:val="16"/>
                <w:b w:val="1"/>
                <w:bCs w:val="1"/>
                <w:color w:val="auto"/>
                <w:vertAlign w:val="superscript"/>
              </w:rPr>
              <w:t>c</w:t>
            </w:r>
          </w:p>
        </w:tc>
        <w:tc>
          <w:tcPr>
            <w:tcW w:w="1080" w:type="dxa"/>
            <w:vAlign w:val="bottom"/>
            <w:tcBorders>
              <w:right w:val="single" w:sz="8" w:color="auto"/>
            </w:tcBorders>
          </w:tcPr>
          <w:p>
            <w:pPr>
              <w:jc w:val="right"/>
              <w:ind w:right="40"/>
              <w:spacing w:after="0" w:line="155" w:lineRule="exact"/>
              <w:rPr>
                <w:sz w:val="20"/>
                <w:szCs w:val="20"/>
                <w:color w:val="auto"/>
              </w:rPr>
            </w:pPr>
            <w:r>
              <w:rPr>
                <w:rFonts w:ascii="Calibri" w:cs="Calibri" w:eastAsia="Calibri" w:hAnsi="Calibri"/>
                <w:sz w:val="13"/>
                <w:szCs w:val="13"/>
                <w:b w:val="1"/>
                <w:bCs w:val="1"/>
                <w:color w:val="auto"/>
              </w:rPr>
              <w:t>Prescription</w:t>
            </w:r>
            <w:r>
              <w:rPr>
                <w:rFonts w:ascii="Calibri" w:cs="Calibri" w:eastAsia="Calibri" w:hAnsi="Calibri"/>
                <w:sz w:val="16"/>
                <w:szCs w:val="16"/>
                <w:b w:val="1"/>
                <w:bCs w:val="1"/>
                <w:color w:val="auto"/>
                <w:vertAlign w:val="superscript"/>
              </w:rPr>
              <w:t>d</w:t>
            </w:r>
          </w:p>
        </w:tc>
        <w:tc>
          <w:tcPr>
            <w:tcW w:w="740" w:type="dxa"/>
            <w:vAlign w:val="bottom"/>
            <w:tcBorders>
              <w:right w:val="single" w:sz="8" w:color="auto"/>
            </w:tcBorders>
          </w:tcPr>
          <w:p>
            <w:pPr>
              <w:ind w:left="80"/>
              <w:spacing w:after="0" w:line="155" w:lineRule="exact"/>
              <w:rPr>
                <w:sz w:val="20"/>
                <w:szCs w:val="20"/>
                <w:color w:val="auto"/>
              </w:rPr>
            </w:pPr>
            <w:r>
              <w:rPr>
                <w:rFonts w:ascii="Calibri" w:cs="Calibri" w:eastAsia="Calibri" w:hAnsi="Calibri"/>
                <w:sz w:val="16"/>
                <w:szCs w:val="16"/>
                <w:b w:val="1"/>
                <w:bCs w:val="1"/>
                <w:color w:val="auto"/>
              </w:rPr>
              <w:t>Private</w:t>
            </w:r>
          </w:p>
        </w:tc>
        <w:tc>
          <w:tcPr>
            <w:tcW w:w="840" w:type="dxa"/>
            <w:vAlign w:val="bottom"/>
            <w:tcBorders>
              <w:right w:val="single" w:sz="8" w:color="auto"/>
            </w:tcBorders>
          </w:tcPr>
          <w:p>
            <w:pPr>
              <w:jc w:val="right"/>
              <w:ind w:right="320"/>
              <w:spacing w:after="0" w:line="155" w:lineRule="exact"/>
              <w:rPr>
                <w:sz w:val="20"/>
                <w:szCs w:val="20"/>
                <w:color w:val="auto"/>
              </w:rPr>
            </w:pPr>
            <w:r>
              <w:rPr>
                <w:rFonts w:ascii="Calibri" w:cs="Calibri" w:eastAsia="Calibri" w:hAnsi="Calibri"/>
                <w:sz w:val="16"/>
                <w:szCs w:val="16"/>
                <w:b w:val="1"/>
                <w:bCs w:val="1"/>
                <w:color w:val="auto"/>
              </w:rPr>
              <w:t>Total</w:t>
            </w:r>
          </w:p>
        </w:tc>
        <w:tc>
          <w:tcPr>
            <w:tcW w:w="0" w:type="dxa"/>
            <w:vAlign w:val="bottom"/>
          </w:tcPr>
          <w:p>
            <w:pPr>
              <w:spacing w:after="0"/>
              <w:rPr>
                <w:sz w:val="1"/>
                <w:szCs w:val="1"/>
                <w:color w:val="auto"/>
              </w:rPr>
            </w:pPr>
          </w:p>
        </w:tc>
      </w:tr>
      <w:tr>
        <w:trPr>
          <w:trHeight w:val="161"/>
        </w:trPr>
        <w:tc>
          <w:tcPr>
            <w:tcW w:w="4320" w:type="dxa"/>
            <w:vAlign w:val="bottom"/>
            <w:tcBorders>
              <w:left w:val="single" w:sz="8" w:color="auto"/>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76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spacing w:after="0"/>
              <w:rPr>
                <w:sz w:val="13"/>
                <w:szCs w:val="13"/>
                <w:color w:val="auto"/>
              </w:rPr>
            </w:pPr>
          </w:p>
        </w:tc>
        <w:tc>
          <w:tcPr>
            <w:tcW w:w="72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land</w:t>
            </w:r>
          </w:p>
        </w:tc>
        <w:tc>
          <w:tcPr>
            <w:tcW w:w="68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CAR</w:t>
            </w:r>
          </w:p>
        </w:tc>
        <w:tc>
          <w:tcPr>
            <w:tcW w:w="90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land</w:t>
            </w:r>
          </w:p>
        </w:tc>
        <w:tc>
          <w:tcPr>
            <w:tcW w:w="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62"/>
        </w:trPr>
        <w:tc>
          <w:tcPr>
            <w:tcW w:w="4320" w:type="dxa"/>
            <w:vAlign w:val="bottom"/>
            <w:tcBorders>
              <w:left w:val="single" w:sz="8" w:color="auto"/>
              <w:right w:val="single" w:sz="8" w:color="auto"/>
            </w:tcBorders>
          </w:tcPr>
          <w:p>
            <w:pPr>
              <w:spacing w:after="0"/>
              <w:rPr>
                <w:sz w:val="5"/>
                <w:szCs w:val="5"/>
                <w:color w:val="auto"/>
              </w:rPr>
            </w:pPr>
          </w:p>
        </w:tc>
        <w:tc>
          <w:tcPr>
            <w:tcW w:w="740" w:type="dxa"/>
            <w:vAlign w:val="bottom"/>
            <w:tcBorders>
              <w:right w:val="single" w:sz="8" w:color="auto"/>
            </w:tcBorders>
          </w:tcPr>
          <w:p>
            <w:pPr>
              <w:spacing w:after="0"/>
              <w:rPr>
                <w:sz w:val="5"/>
                <w:szCs w:val="5"/>
                <w:color w:val="auto"/>
              </w:rPr>
            </w:pPr>
          </w:p>
        </w:tc>
        <w:tc>
          <w:tcPr>
            <w:tcW w:w="760" w:type="dxa"/>
            <w:vAlign w:val="bottom"/>
            <w:tcBorders>
              <w:right w:val="single" w:sz="8" w:color="auto"/>
            </w:tcBorders>
          </w:tcPr>
          <w:p>
            <w:pPr>
              <w:spacing w:after="0"/>
              <w:rPr>
                <w:sz w:val="5"/>
                <w:szCs w:val="5"/>
                <w:color w:val="auto"/>
              </w:rPr>
            </w:pPr>
          </w:p>
        </w:tc>
        <w:tc>
          <w:tcPr>
            <w:tcW w:w="760" w:type="dxa"/>
            <w:vAlign w:val="bottom"/>
            <w:tcBorders>
              <w:right w:val="single" w:sz="8" w:color="auto"/>
            </w:tcBorders>
          </w:tcPr>
          <w:p>
            <w:pPr>
              <w:spacing w:after="0"/>
              <w:rPr>
                <w:sz w:val="5"/>
                <w:szCs w:val="5"/>
                <w:color w:val="auto"/>
              </w:rPr>
            </w:pPr>
          </w:p>
        </w:tc>
        <w:tc>
          <w:tcPr>
            <w:tcW w:w="88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Reserve</w:t>
            </w:r>
          </w:p>
        </w:tc>
        <w:tc>
          <w:tcPr>
            <w:tcW w:w="900" w:type="dxa"/>
            <w:vAlign w:val="bottom"/>
            <w:tcBorders>
              <w:right w:val="single" w:sz="8" w:color="auto"/>
            </w:tcBorders>
          </w:tcPr>
          <w:p>
            <w:pPr>
              <w:spacing w:after="0"/>
              <w:rPr>
                <w:sz w:val="5"/>
                <w:szCs w:val="5"/>
                <w:color w:val="auto"/>
              </w:rPr>
            </w:pPr>
          </w:p>
        </w:tc>
        <w:tc>
          <w:tcPr>
            <w:tcW w:w="820" w:type="dxa"/>
            <w:vAlign w:val="bottom"/>
            <w:tcBorders>
              <w:right w:val="single" w:sz="8" w:color="auto"/>
            </w:tcBorders>
          </w:tcPr>
          <w:p>
            <w:pPr>
              <w:spacing w:after="0"/>
              <w:rPr>
                <w:sz w:val="5"/>
                <w:szCs w:val="5"/>
                <w:color w:val="auto"/>
              </w:rPr>
            </w:pPr>
          </w:p>
        </w:tc>
        <w:tc>
          <w:tcPr>
            <w:tcW w:w="1080" w:type="dxa"/>
            <w:vAlign w:val="bottom"/>
            <w:tcBorders>
              <w:right w:val="single" w:sz="8" w:color="auto"/>
            </w:tcBorders>
          </w:tcPr>
          <w:p>
            <w:pPr>
              <w:spacing w:after="0"/>
              <w:rPr>
                <w:sz w:val="5"/>
                <w:szCs w:val="5"/>
                <w:color w:val="auto"/>
              </w:rPr>
            </w:pPr>
          </w:p>
        </w:tc>
        <w:tc>
          <w:tcPr>
            <w:tcW w:w="74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32"/>
        </w:trPr>
        <w:tc>
          <w:tcPr>
            <w:tcW w:w="4320" w:type="dxa"/>
            <w:vAlign w:val="bottom"/>
            <w:tcBorders>
              <w:left w:val="single" w:sz="8" w:color="auto"/>
              <w:right w:val="single" w:sz="8" w:color="auto"/>
            </w:tcBorders>
          </w:tcPr>
          <w:p>
            <w:pPr>
              <w:spacing w:after="0"/>
              <w:rPr>
                <w:sz w:val="11"/>
                <w:szCs w:val="11"/>
                <w:color w:val="auto"/>
              </w:rPr>
            </w:pPr>
          </w:p>
        </w:tc>
        <w:tc>
          <w:tcPr>
            <w:tcW w:w="740" w:type="dxa"/>
            <w:vAlign w:val="bottom"/>
            <w:tcBorders>
              <w:right w:val="single" w:sz="8" w:color="auto"/>
            </w:tcBorders>
          </w:tcPr>
          <w:p>
            <w:pPr>
              <w:spacing w:after="0"/>
              <w:rPr>
                <w:sz w:val="11"/>
                <w:szCs w:val="11"/>
                <w:color w:val="auto"/>
              </w:rPr>
            </w:pPr>
          </w:p>
        </w:tc>
        <w:tc>
          <w:tcPr>
            <w:tcW w:w="760" w:type="dxa"/>
            <w:vAlign w:val="bottom"/>
            <w:tcBorders>
              <w:right w:val="single" w:sz="8" w:color="auto"/>
            </w:tcBorders>
          </w:tcPr>
          <w:p>
            <w:pPr>
              <w:spacing w:after="0"/>
              <w:rPr>
                <w:sz w:val="11"/>
                <w:szCs w:val="11"/>
                <w:color w:val="auto"/>
              </w:rPr>
            </w:pPr>
          </w:p>
        </w:tc>
        <w:tc>
          <w:tcPr>
            <w:tcW w:w="760" w:type="dxa"/>
            <w:vAlign w:val="bottom"/>
            <w:tcBorders>
              <w:right w:val="single" w:sz="8" w:color="auto"/>
            </w:tcBorders>
          </w:tcPr>
          <w:p>
            <w:pPr>
              <w:spacing w:after="0"/>
              <w:rPr>
                <w:sz w:val="11"/>
                <w:szCs w:val="11"/>
                <w:color w:val="auto"/>
              </w:rPr>
            </w:pPr>
          </w:p>
        </w:tc>
        <w:tc>
          <w:tcPr>
            <w:tcW w:w="880" w:type="dxa"/>
            <w:vAlign w:val="bottom"/>
            <w:tcBorders>
              <w:right w:val="single" w:sz="8" w:color="auto"/>
            </w:tcBorders>
          </w:tcPr>
          <w:p>
            <w:pPr>
              <w:spacing w:after="0"/>
              <w:rPr>
                <w:sz w:val="11"/>
                <w:szCs w:val="11"/>
                <w:color w:val="auto"/>
              </w:rPr>
            </w:pPr>
          </w:p>
        </w:tc>
        <w:tc>
          <w:tcPr>
            <w:tcW w:w="720" w:type="dxa"/>
            <w:vAlign w:val="bottom"/>
            <w:tcBorders>
              <w:right w:val="single" w:sz="8" w:color="auto"/>
            </w:tcBorders>
          </w:tcPr>
          <w:p>
            <w:pPr>
              <w:spacing w:after="0"/>
              <w:rPr>
                <w:sz w:val="11"/>
                <w:szCs w:val="11"/>
                <w:color w:val="auto"/>
              </w:rPr>
            </w:pPr>
          </w:p>
        </w:tc>
        <w:tc>
          <w:tcPr>
            <w:tcW w:w="680" w:type="dxa"/>
            <w:vAlign w:val="bottom"/>
            <w:tcBorders>
              <w:right w:val="single" w:sz="8" w:color="auto"/>
            </w:tcBorders>
          </w:tcPr>
          <w:p>
            <w:pPr>
              <w:spacing w:after="0"/>
              <w:rPr>
                <w:sz w:val="11"/>
                <w:szCs w:val="11"/>
                <w:color w:val="auto"/>
              </w:rPr>
            </w:pPr>
          </w:p>
        </w:tc>
        <w:tc>
          <w:tcPr>
            <w:tcW w:w="740" w:type="dxa"/>
            <w:vAlign w:val="bottom"/>
            <w:tcBorders>
              <w:right w:val="single" w:sz="8" w:color="auto"/>
            </w:tcBorders>
            <w:vMerge w:val="continue"/>
          </w:tcPr>
          <w:p>
            <w:pPr>
              <w:spacing w:after="0"/>
              <w:rPr>
                <w:sz w:val="11"/>
                <w:szCs w:val="11"/>
                <w:color w:val="auto"/>
              </w:rPr>
            </w:pPr>
          </w:p>
        </w:tc>
        <w:tc>
          <w:tcPr>
            <w:tcW w:w="900" w:type="dxa"/>
            <w:vAlign w:val="bottom"/>
            <w:tcBorders>
              <w:right w:val="single" w:sz="8" w:color="auto"/>
            </w:tcBorders>
          </w:tcPr>
          <w:p>
            <w:pPr>
              <w:spacing w:after="0"/>
              <w:rPr>
                <w:sz w:val="11"/>
                <w:szCs w:val="11"/>
                <w:color w:val="auto"/>
              </w:rPr>
            </w:pPr>
          </w:p>
        </w:tc>
        <w:tc>
          <w:tcPr>
            <w:tcW w:w="820" w:type="dxa"/>
            <w:vAlign w:val="bottom"/>
            <w:tcBorders>
              <w:right w:val="single" w:sz="8" w:color="auto"/>
            </w:tcBorders>
          </w:tcPr>
          <w:p>
            <w:pPr>
              <w:spacing w:after="0"/>
              <w:rPr>
                <w:sz w:val="11"/>
                <w:szCs w:val="11"/>
                <w:color w:val="auto"/>
              </w:rPr>
            </w:pPr>
          </w:p>
        </w:tc>
        <w:tc>
          <w:tcPr>
            <w:tcW w:w="1080" w:type="dxa"/>
            <w:vAlign w:val="bottom"/>
            <w:tcBorders>
              <w:right w:val="single" w:sz="8" w:color="auto"/>
            </w:tcBorders>
          </w:tcPr>
          <w:p>
            <w:pPr>
              <w:spacing w:after="0"/>
              <w:rPr>
                <w:sz w:val="11"/>
                <w:szCs w:val="11"/>
                <w:color w:val="auto"/>
              </w:rPr>
            </w:pPr>
          </w:p>
        </w:tc>
        <w:tc>
          <w:tcPr>
            <w:tcW w:w="74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covena-</w:t>
            </w:r>
          </w:p>
        </w:tc>
        <w:tc>
          <w:tcPr>
            <w:tcW w:w="840" w:type="dxa"/>
            <w:vAlign w:val="bottom"/>
            <w:tcBorders>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62"/>
        </w:trPr>
        <w:tc>
          <w:tcPr>
            <w:tcW w:w="4320" w:type="dxa"/>
            <w:vAlign w:val="bottom"/>
            <w:tcBorders>
              <w:left w:val="single" w:sz="8" w:color="auto"/>
              <w:right w:val="single" w:sz="8" w:color="auto"/>
            </w:tcBorders>
          </w:tcPr>
          <w:p>
            <w:pPr>
              <w:spacing w:after="0"/>
              <w:rPr>
                <w:sz w:val="5"/>
                <w:szCs w:val="5"/>
                <w:color w:val="auto"/>
              </w:rPr>
            </w:pPr>
          </w:p>
        </w:tc>
        <w:tc>
          <w:tcPr>
            <w:tcW w:w="740" w:type="dxa"/>
            <w:vAlign w:val="bottom"/>
            <w:tcBorders>
              <w:right w:val="single" w:sz="8" w:color="auto"/>
            </w:tcBorders>
          </w:tcPr>
          <w:p>
            <w:pPr>
              <w:spacing w:after="0"/>
              <w:rPr>
                <w:sz w:val="5"/>
                <w:szCs w:val="5"/>
                <w:color w:val="auto"/>
              </w:rPr>
            </w:pPr>
          </w:p>
        </w:tc>
        <w:tc>
          <w:tcPr>
            <w:tcW w:w="760" w:type="dxa"/>
            <w:vAlign w:val="bottom"/>
            <w:tcBorders>
              <w:right w:val="single" w:sz="8" w:color="auto"/>
            </w:tcBorders>
          </w:tcPr>
          <w:p>
            <w:pPr>
              <w:spacing w:after="0"/>
              <w:rPr>
                <w:sz w:val="5"/>
                <w:szCs w:val="5"/>
                <w:color w:val="auto"/>
              </w:rPr>
            </w:pPr>
          </w:p>
        </w:tc>
        <w:tc>
          <w:tcPr>
            <w:tcW w:w="760" w:type="dxa"/>
            <w:vAlign w:val="bottom"/>
            <w:tcBorders>
              <w:right w:val="single" w:sz="8" w:color="auto"/>
            </w:tcBorders>
          </w:tcPr>
          <w:p>
            <w:pPr>
              <w:spacing w:after="0"/>
              <w:rPr>
                <w:sz w:val="5"/>
                <w:szCs w:val="5"/>
                <w:color w:val="auto"/>
              </w:rPr>
            </w:pPr>
          </w:p>
        </w:tc>
        <w:tc>
          <w:tcPr>
            <w:tcW w:w="880" w:type="dxa"/>
            <w:vAlign w:val="bottom"/>
            <w:tcBorders>
              <w:right w:val="single" w:sz="8" w:color="auto"/>
            </w:tcBorders>
          </w:tcPr>
          <w:p>
            <w:pPr>
              <w:spacing w:after="0"/>
              <w:rPr>
                <w:sz w:val="5"/>
                <w:szCs w:val="5"/>
                <w:color w:val="auto"/>
              </w:rPr>
            </w:pPr>
          </w:p>
        </w:tc>
        <w:tc>
          <w:tcPr>
            <w:tcW w:w="720" w:type="dxa"/>
            <w:vAlign w:val="bottom"/>
            <w:tcBorders>
              <w:right w:val="single" w:sz="8" w:color="auto"/>
            </w:tcBorders>
          </w:tcPr>
          <w:p>
            <w:pPr>
              <w:spacing w:after="0"/>
              <w:rPr>
                <w:sz w:val="5"/>
                <w:szCs w:val="5"/>
                <w:color w:val="auto"/>
              </w:rPr>
            </w:pPr>
          </w:p>
        </w:tc>
        <w:tc>
          <w:tcPr>
            <w:tcW w:w="680" w:type="dxa"/>
            <w:vAlign w:val="bottom"/>
            <w:tcBorders>
              <w:right w:val="single" w:sz="8" w:color="auto"/>
            </w:tcBorders>
          </w:tcPr>
          <w:p>
            <w:pPr>
              <w:spacing w:after="0"/>
              <w:rPr>
                <w:sz w:val="5"/>
                <w:szCs w:val="5"/>
                <w:color w:val="auto"/>
              </w:rPr>
            </w:pPr>
          </w:p>
        </w:tc>
        <w:tc>
          <w:tcPr>
            <w:tcW w:w="7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System</w:t>
            </w:r>
          </w:p>
        </w:tc>
        <w:tc>
          <w:tcPr>
            <w:tcW w:w="900" w:type="dxa"/>
            <w:vAlign w:val="bottom"/>
            <w:tcBorders>
              <w:right w:val="single" w:sz="8" w:color="auto"/>
            </w:tcBorders>
          </w:tcPr>
          <w:p>
            <w:pPr>
              <w:spacing w:after="0"/>
              <w:rPr>
                <w:sz w:val="5"/>
                <w:szCs w:val="5"/>
                <w:color w:val="auto"/>
              </w:rPr>
            </w:pPr>
          </w:p>
        </w:tc>
        <w:tc>
          <w:tcPr>
            <w:tcW w:w="820" w:type="dxa"/>
            <w:vAlign w:val="bottom"/>
            <w:tcBorders>
              <w:right w:val="single" w:sz="8" w:color="auto"/>
            </w:tcBorders>
          </w:tcPr>
          <w:p>
            <w:pPr>
              <w:spacing w:after="0"/>
              <w:rPr>
                <w:sz w:val="5"/>
                <w:szCs w:val="5"/>
                <w:color w:val="auto"/>
              </w:rPr>
            </w:pPr>
          </w:p>
        </w:tc>
        <w:tc>
          <w:tcPr>
            <w:tcW w:w="1080" w:type="dxa"/>
            <w:vAlign w:val="bottom"/>
            <w:tcBorders>
              <w:right w:val="single" w:sz="8" w:color="auto"/>
            </w:tcBorders>
          </w:tcPr>
          <w:p>
            <w:pPr>
              <w:spacing w:after="0"/>
              <w:rPr>
                <w:sz w:val="5"/>
                <w:szCs w:val="5"/>
                <w:color w:val="auto"/>
              </w:rPr>
            </w:pPr>
          </w:p>
        </w:tc>
        <w:tc>
          <w:tcPr>
            <w:tcW w:w="740" w:type="dxa"/>
            <w:vAlign w:val="bottom"/>
            <w:tcBorders>
              <w:right w:val="single" w:sz="8" w:color="auto"/>
            </w:tcBorders>
            <w:vMerge w:val="continue"/>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46"/>
        </w:trPr>
        <w:tc>
          <w:tcPr>
            <w:tcW w:w="4320" w:type="dxa"/>
            <w:vAlign w:val="bottom"/>
            <w:tcBorders>
              <w:left w:val="single" w:sz="8" w:color="auto"/>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760" w:type="dxa"/>
            <w:vAlign w:val="bottom"/>
            <w:tcBorders>
              <w:bottom w:val="single" w:sz="8" w:color="auto"/>
              <w:right w:val="single" w:sz="8" w:color="auto"/>
            </w:tcBorders>
          </w:tcPr>
          <w:p>
            <w:pPr>
              <w:spacing w:after="0"/>
              <w:rPr>
                <w:sz w:val="21"/>
                <w:szCs w:val="21"/>
                <w:color w:val="auto"/>
              </w:rPr>
            </w:pPr>
          </w:p>
        </w:tc>
        <w:tc>
          <w:tcPr>
            <w:tcW w:w="880" w:type="dxa"/>
            <w:vAlign w:val="bottom"/>
            <w:tcBorders>
              <w:bottom w:val="single" w:sz="8" w:color="auto"/>
              <w:right w:val="single" w:sz="8" w:color="auto"/>
            </w:tcBorders>
          </w:tcPr>
          <w:p>
            <w:pPr>
              <w:spacing w:after="0"/>
              <w:rPr>
                <w:sz w:val="21"/>
                <w:szCs w:val="21"/>
                <w:color w:val="auto"/>
              </w:rPr>
            </w:pPr>
          </w:p>
        </w:tc>
        <w:tc>
          <w:tcPr>
            <w:tcW w:w="720" w:type="dxa"/>
            <w:vAlign w:val="bottom"/>
            <w:tcBorders>
              <w:bottom w:val="single" w:sz="8" w:color="auto"/>
              <w:right w:val="single" w:sz="8" w:color="auto"/>
            </w:tcBorders>
          </w:tcPr>
          <w:p>
            <w:pPr>
              <w:spacing w:after="0"/>
              <w:rPr>
                <w:sz w:val="21"/>
                <w:szCs w:val="21"/>
                <w:color w:val="auto"/>
              </w:rPr>
            </w:pPr>
          </w:p>
        </w:tc>
        <w:tc>
          <w:tcPr>
            <w:tcW w:w="68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vMerge w:val="continue"/>
          </w:tcPr>
          <w:p>
            <w:pPr>
              <w:spacing w:after="0"/>
              <w:rPr>
                <w:sz w:val="21"/>
                <w:szCs w:val="21"/>
                <w:color w:val="auto"/>
              </w:rPr>
            </w:pPr>
          </w:p>
        </w:tc>
        <w:tc>
          <w:tcPr>
            <w:tcW w:w="900" w:type="dxa"/>
            <w:vAlign w:val="bottom"/>
            <w:tcBorders>
              <w:bottom w:val="single" w:sz="8" w:color="auto"/>
              <w:right w:val="single" w:sz="8" w:color="auto"/>
            </w:tcBorders>
          </w:tcPr>
          <w:p>
            <w:pPr>
              <w:spacing w:after="0"/>
              <w:rPr>
                <w:sz w:val="21"/>
                <w:szCs w:val="21"/>
                <w:color w:val="auto"/>
              </w:rPr>
            </w:pPr>
          </w:p>
        </w:tc>
        <w:tc>
          <w:tcPr>
            <w:tcW w:w="820" w:type="dxa"/>
            <w:vAlign w:val="bottom"/>
            <w:tcBorders>
              <w:bottom w:val="single" w:sz="8" w:color="auto"/>
              <w:right w:val="single" w:sz="8" w:color="auto"/>
            </w:tcBorders>
          </w:tcPr>
          <w:p>
            <w:pPr>
              <w:spacing w:after="0"/>
              <w:rPr>
                <w:sz w:val="21"/>
                <w:szCs w:val="21"/>
                <w:color w:val="auto"/>
              </w:rPr>
            </w:pPr>
          </w:p>
        </w:tc>
        <w:tc>
          <w:tcPr>
            <w:tcW w:w="1080" w:type="dxa"/>
            <w:vAlign w:val="bottom"/>
            <w:tcBorders>
              <w:bottom w:val="single" w:sz="8" w:color="auto"/>
              <w:right w:val="single" w:sz="8" w:color="auto"/>
            </w:tcBorders>
          </w:tcPr>
          <w:p>
            <w:pPr>
              <w:spacing w:after="0"/>
              <w:rPr>
                <w:sz w:val="21"/>
                <w:szCs w:val="21"/>
                <w:color w:val="auto"/>
              </w:rPr>
            </w:pPr>
          </w:p>
        </w:tc>
        <w:tc>
          <w:tcPr>
            <w:tcW w:w="740" w:type="dxa"/>
            <w:vAlign w:val="bottom"/>
            <w:tcBorders>
              <w:bottom w:val="single" w:sz="8" w:color="auto"/>
              <w:right w:val="single" w:sz="8" w:color="auto"/>
            </w:tcBorders>
          </w:tcPr>
          <w:p>
            <w:pPr>
              <w:ind w:left="80"/>
              <w:spacing w:after="0" w:line="242" w:lineRule="exact"/>
              <w:rPr>
                <w:sz w:val="20"/>
                <w:szCs w:val="20"/>
                <w:color w:val="auto"/>
              </w:rPr>
            </w:pPr>
            <w:r>
              <w:rPr>
                <w:rFonts w:ascii="Calibri" w:cs="Calibri" w:eastAsia="Calibri" w:hAnsi="Calibri"/>
                <w:sz w:val="16"/>
                <w:szCs w:val="16"/>
                <w:b w:val="1"/>
                <w:bCs w:val="1"/>
                <w:color w:val="auto"/>
              </w:rPr>
              <w:t>nts</w:t>
            </w:r>
            <w:r>
              <w:rPr>
                <w:rFonts w:ascii="Calibri" w:cs="Calibri" w:eastAsia="Calibri" w:hAnsi="Calibri"/>
                <w:sz w:val="20"/>
                <w:szCs w:val="20"/>
                <w:b w:val="1"/>
                <w:bCs w:val="1"/>
                <w:color w:val="auto"/>
                <w:vertAlign w:val="superscript"/>
              </w:rPr>
              <w:t>e</w:t>
            </w:r>
          </w:p>
        </w:tc>
        <w:tc>
          <w:tcPr>
            <w:tcW w:w="84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185"/>
        </w:trPr>
        <w:tc>
          <w:tcPr>
            <w:tcW w:w="432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Box Ironbark Forest*</w:t>
            </w:r>
          </w:p>
        </w:tc>
        <w:tc>
          <w:tcPr>
            <w:tcW w:w="740" w:type="dxa"/>
            <w:vAlign w:val="bottom"/>
            <w:tcBorders>
              <w:right w:val="single" w:sz="8" w:color="auto"/>
            </w:tcBorders>
          </w:tcPr>
          <w:p>
            <w:pPr>
              <w:jc w:val="right"/>
              <w:ind w:right="40"/>
              <w:spacing w:after="0" w:line="185" w:lineRule="exact"/>
              <w:rPr>
                <w:sz w:val="20"/>
                <w:szCs w:val="20"/>
                <w:color w:val="auto"/>
              </w:rPr>
            </w:pPr>
            <w:r>
              <w:rPr>
                <w:rFonts w:ascii="Calibri" w:cs="Calibri" w:eastAsia="Calibri" w:hAnsi="Calibri"/>
                <w:sz w:val="16"/>
                <w:szCs w:val="16"/>
                <w:color w:val="auto"/>
              </w:rPr>
              <w:t>61</w:t>
            </w:r>
          </w:p>
        </w:tc>
        <w:tc>
          <w:tcPr>
            <w:tcW w:w="760" w:type="dxa"/>
            <w:vAlign w:val="bottom"/>
            <w:tcBorders>
              <w:right w:val="single" w:sz="8" w:color="auto"/>
            </w:tcBorders>
          </w:tcPr>
          <w:p>
            <w:pPr>
              <w:jc w:val="right"/>
              <w:ind w:right="40"/>
              <w:spacing w:after="0" w:line="185" w:lineRule="exact"/>
              <w:rPr>
                <w:sz w:val="20"/>
                <w:szCs w:val="20"/>
                <w:color w:val="auto"/>
              </w:rPr>
            </w:pPr>
            <w:r>
              <w:rPr>
                <w:rFonts w:ascii="Calibri" w:cs="Calibri" w:eastAsia="Calibri" w:hAnsi="Calibri"/>
                <w:sz w:val="16"/>
                <w:szCs w:val="16"/>
                <w:color w:val="auto"/>
              </w:rPr>
              <w:t>2,609</w:t>
            </w:r>
          </w:p>
        </w:tc>
        <w:tc>
          <w:tcPr>
            <w:tcW w:w="760" w:type="dxa"/>
            <w:vAlign w:val="bottom"/>
            <w:tcBorders>
              <w:right w:val="single" w:sz="8" w:color="auto"/>
            </w:tcBorders>
          </w:tcPr>
          <w:p>
            <w:pPr>
              <w:jc w:val="right"/>
              <w:ind w:right="40"/>
              <w:spacing w:after="0" w:line="185" w:lineRule="exact"/>
              <w:rPr>
                <w:sz w:val="20"/>
                <w:szCs w:val="20"/>
                <w:color w:val="auto"/>
              </w:rPr>
            </w:pPr>
            <w:r>
              <w:rPr>
                <w:rFonts w:ascii="Calibri" w:cs="Calibri" w:eastAsia="Calibri" w:hAnsi="Calibri"/>
                <w:sz w:val="16"/>
                <w:szCs w:val="16"/>
                <w:color w:val="auto"/>
              </w:rPr>
              <w:t>1,684</w:t>
            </w:r>
          </w:p>
        </w:tc>
        <w:tc>
          <w:tcPr>
            <w:tcW w:w="880" w:type="dxa"/>
            <w:vAlign w:val="bottom"/>
            <w:tcBorders>
              <w:right w:val="single" w:sz="8" w:color="auto"/>
            </w:tcBorders>
          </w:tcPr>
          <w:p>
            <w:pPr>
              <w:jc w:val="right"/>
              <w:ind w:right="20"/>
              <w:spacing w:after="0" w:line="185" w:lineRule="exact"/>
              <w:rPr>
                <w:sz w:val="20"/>
                <w:szCs w:val="20"/>
                <w:color w:val="auto"/>
              </w:rPr>
            </w:pPr>
            <w:r>
              <w:rPr>
                <w:rFonts w:ascii="Calibri" w:cs="Calibri" w:eastAsia="Calibri" w:hAnsi="Calibri"/>
                <w:sz w:val="16"/>
                <w:szCs w:val="16"/>
                <w:color w:val="auto"/>
              </w:rPr>
              <w:t>65%</w:t>
            </w:r>
          </w:p>
        </w:tc>
        <w:tc>
          <w:tcPr>
            <w:tcW w:w="720" w:type="dxa"/>
            <w:vAlign w:val="bottom"/>
            <w:tcBorders>
              <w:right w:val="single" w:sz="8" w:color="auto"/>
            </w:tcBorders>
          </w:tcPr>
          <w:p>
            <w:pPr>
              <w:jc w:val="center"/>
              <w:spacing w:after="0" w:line="185" w:lineRule="exact"/>
              <w:rPr>
                <w:sz w:val="20"/>
                <w:szCs w:val="20"/>
                <w:color w:val="auto"/>
              </w:rPr>
            </w:pPr>
            <w:r>
              <w:rPr>
                <w:rFonts w:ascii="Calibri" w:cs="Calibri" w:eastAsia="Calibri" w:hAnsi="Calibri"/>
                <w:sz w:val="16"/>
                <w:szCs w:val="16"/>
                <w:color w:val="auto"/>
              </w:rPr>
              <w:t>78%</w:t>
            </w:r>
          </w:p>
        </w:tc>
        <w:tc>
          <w:tcPr>
            <w:tcW w:w="680" w:type="dxa"/>
            <w:vAlign w:val="bottom"/>
            <w:tcBorders>
              <w:right w:val="single" w:sz="8" w:color="auto"/>
            </w:tcBorders>
          </w:tcPr>
          <w:p>
            <w:pPr>
              <w:jc w:val="center"/>
              <w:spacing w:after="0" w:line="185"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5" w:lineRule="exact"/>
              <w:rPr>
                <w:sz w:val="20"/>
                <w:szCs w:val="20"/>
                <w:color w:val="auto"/>
              </w:rPr>
            </w:pPr>
            <w:r>
              <w:rPr>
                <w:rFonts w:ascii="Calibri" w:cs="Calibri" w:eastAsia="Calibri" w:hAnsi="Calibri"/>
                <w:sz w:val="16"/>
                <w:szCs w:val="16"/>
                <w:color w:val="auto"/>
              </w:rPr>
              <w:t>1%</w:t>
            </w:r>
          </w:p>
        </w:tc>
        <w:tc>
          <w:tcPr>
            <w:tcW w:w="900" w:type="dxa"/>
            <w:vAlign w:val="bottom"/>
            <w:tcBorders>
              <w:right w:val="single" w:sz="8" w:color="auto"/>
            </w:tcBorders>
          </w:tcPr>
          <w:p>
            <w:pPr>
              <w:jc w:val="right"/>
              <w:ind w:right="40"/>
              <w:spacing w:after="0" w:line="185" w:lineRule="exact"/>
              <w:rPr>
                <w:sz w:val="20"/>
                <w:szCs w:val="20"/>
                <w:color w:val="auto"/>
              </w:rPr>
            </w:pPr>
            <w:r>
              <w:rPr>
                <w:rFonts w:ascii="Calibri" w:cs="Calibri" w:eastAsia="Calibri" w:hAnsi="Calibri"/>
                <w:sz w:val="16"/>
                <w:szCs w:val="16"/>
                <w:color w:val="auto"/>
              </w:rPr>
              <w:t>1%</w:t>
            </w:r>
          </w:p>
        </w:tc>
        <w:tc>
          <w:tcPr>
            <w:tcW w:w="820" w:type="dxa"/>
            <w:vAlign w:val="bottom"/>
            <w:tcBorders>
              <w:right w:val="single" w:sz="8" w:color="auto"/>
            </w:tcBorders>
          </w:tcPr>
          <w:p>
            <w:pPr>
              <w:jc w:val="right"/>
              <w:ind w:right="40"/>
              <w:spacing w:after="0" w:line="185"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5"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5"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5" w:lineRule="exact"/>
              <w:rPr>
                <w:sz w:val="20"/>
                <w:szCs w:val="20"/>
                <w:color w:val="auto"/>
              </w:rPr>
            </w:pPr>
            <w:r>
              <w:rPr>
                <w:rFonts w:ascii="Calibri" w:cs="Calibri" w:eastAsia="Calibri" w:hAnsi="Calibri"/>
                <w:sz w:val="16"/>
                <w:szCs w:val="16"/>
                <w:color w:val="auto"/>
              </w:rPr>
              <w:t>1%</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Cool Temperate Rainforest*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22,932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4,668</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20%</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43%</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95%</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Creekline Grassy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68</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705</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193</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27%</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92%</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E</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3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Creekline Herb-rich Woodland*</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164</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5,809</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2,746</w:t>
            </w:r>
          </w:p>
        </w:tc>
        <w:tc>
          <w:tcPr>
            <w:tcW w:w="880" w:type="dxa"/>
            <w:vAlign w:val="bottom"/>
            <w:tcBorders>
              <w:right w:val="single" w:sz="8" w:color="auto"/>
            </w:tcBorders>
          </w:tcPr>
          <w:p>
            <w:pPr>
              <w:jc w:val="right"/>
              <w:ind w:right="20"/>
              <w:spacing w:after="0" w:line="184" w:lineRule="exact"/>
              <w:rPr>
                <w:sz w:val="20"/>
                <w:szCs w:val="20"/>
                <w:color w:val="auto"/>
              </w:rPr>
            </w:pPr>
            <w:r>
              <w:rPr>
                <w:rFonts w:ascii="Calibri" w:cs="Calibri" w:eastAsia="Calibri" w:hAnsi="Calibri"/>
                <w:sz w:val="16"/>
                <w:szCs w:val="16"/>
                <w:color w:val="auto"/>
              </w:rPr>
              <w:t>47%</w:t>
            </w:r>
          </w:p>
        </w:tc>
        <w:tc>
          <w:tcPr>
            <w:tcW w:w="72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rPr>
              <w:t>92%</w:t>
            </w:r>
          </w:p>
        </w:tc>
        <w:tc>
          <w:tcPr>
            <w:tcW w:w="68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w:t>
            </w:r>
          </w:p>
        </w:tc>
        <w:tc>
          <w:tcPr>
            <w:tcW w:w="9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29</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198,927</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170,255</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86%</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15%</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38%</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44.2%</w:t>
            </w:r>
          </w:p>
        </w:tc>
        <w:tc>
          <w:tcPr>
            <w:tcW w:w="0" w:type="dxa"/>
            <w:vAlign w:val="bottom"/>
          </w:tcPr>
          <w:p>
            <w:pPr>
              <w:spacing w:after="0"/>
              <w:rPr>
                <w:sz w:val="1"/>
                <w:szCs w:val="1"/>
                <w:color w:val="auto"/>
              </w:rPr>
            </w:pPr>
          </w:p>
        </w:tc>
      </w:tr>
      <w:tr>
        <w:trPr>
          <w:trHeight w:val="92"/>
        </w:trPr>
        <w:tc>
          <w:tcPr>
            <w:tcW w:w="4320" w:type="dxa"/>
            <w:vAlign w:val="bottom"/>
            <w:tcBorders>
              <w:left w:val="single" w:sz="8" w:color="auto"/>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760" w:type="dxa"/>
            <w:vAlign w:val="bottom"/>
            <w:tcBorders>
              <w:bottom w:val="single" w:sz="8" w:color="auto"/>
              <w:right w:val="single" w:sz="8" w:color="auto"/>
            </w:tcBorders>
          </w:tcPr>
          <w:p>
            <w:pPr>
              <w:spacing w:after="0"/>
              <w:rPr>
                <w:sz w:val="8"/>
                <w:szCs w:val="8"/>
                <w:color w:val="auto"/>
              </w:rPr>
            </w:pPr>
          </w:p>
        </w:tc>
        <w:tc>
          <w:tcPr>
            <w:tcW w:w="880" w:type="dxa"/>
            <w:vAlign w:val="bottom"/>
            <w:tcBorders>
              <w:bottom w:val="single" w:sz="8" w:color="auto"/>
              <w:right w:val="single" w:sz="8" w:color="auto"/>
            </w:tcBorders>
          </w:tcPr>
          <w:p>
            <w:pPr>
              <w:spacing w:after="0"/>
              <w:rPr>
                <w:sz w:val="8"/>
                <w:szCs w:val="8"/>
                <w:color w:val="auto"/>
              </w:rPr>
            </w:pPr>
          </w:p>
        </w:tc>
        <w:tc>
          <w:tcPr>
            <w:tcW w:w="720" w:type="dxa"/>
            <w:vAlign w:val="bottom"/>
            <w:tcBorders>
              <w:bottom w:val="single" w:sz="8" w:color="auto"/>
              <w:right w:val="single" w:sz="8" w:color="auto"/>
            </w:tcBorders>
          </w:tcPr>
          <w:p>
            <w:pPr>
              <w:spacing w:after="0"/>
              <w:rPr>
                <w:sz w:val="8"/>
                <w:szCs w:val="8"/>
                <w:color w:val="auto"/>
              </w:rPr>
            </w:pPr>
          </w:p>
        </w:tc>
        <w:tc>
          <w:tcPr>
            <w:tcW w:w="68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900" w:type="dxa"/>
            <w:vAlign w:val="bottom"/>
            <w:tcBorders>
              <w:bottom w:val="single" w:sz="8" w:color="auto"/>
              <w:right w:val="single" w:sz="8" w:color="auto"/>
            </w:tcBorders>
          </w:tcPr>
          <w:p>
            <w:pPr>
              <w:spacing w:after="0"/>
              <w:rPr>
                <w:sz w:val="8"/>
                <w:szCs w:val="8"/>
                <w:color w:val="auto"/>
              </w:rPr>
            </w:pPr>
          </w:p>
        </w:tc>
        <w:tc>
          <w:tcPr>
            <w:tcW w:w="820" w:type="dxa"/>
            <w:vAlign w:val="bottom"/>
            <w:tcBorders>
              <w:bottom w:val="single" w:sz="8" w:color="auto"/>
              <w:right w:val="single" w:sz="8" w:color="auto"/>
            </w:tcBorders>
          </w:tcPr>
          <w:p>
            <w:pPr>
              <w:spacing w:after="0"/>
              <w:rPr>
                <w:sz w:val="8"/>
                <w:szCs w:val="8"/>
                <w:color w:val="auto"/>
              </w:rPr>
            </w:pPr>
          </w:p>
        </w:tc>
        <w:tc>
          <w:tcPr>
            <w:tcW w:w="1080" w:type="dxa"/>
            <w:vAlign w:val="bottom"/>
            <w:tcBorders>
              <w:bottom w:val="single" w:sz="8" w:color="auto"/>
              <w:right w:val="single" w:sz="8" w:color="auto"/>
            </w:tcBorders>
          </w:tcPr>
          <w:p>
            <w:pPr>
              <w:spacing w:after="0"/>
              <w:rPr>
                <w:sz w:val="8"/>
                <w:szCs w:val="8"/>
                <w:color w:val="auto"/>
              </w:rPr>
            </w:pPr>
          </w:p>
        </w:tc>
        <w:tc>
          <w:tcPr>
            <w:tcW w:w="740" w:type="dxa"/>
            <w:vAlign w:val="bottom"/>
            <w:tcBorders>
              <w:bottom w:val="single" w:sz="8" w:color="auto"/>
              <w:right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84"/>
        </w:trPr>
        <w:tc>
          <w:tcPr>
            <w:tcW w:w="43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Damp Heathy Woodland*</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793</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14,187</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7,120</w:t>
            </w:r>
          </w:p>
        </w:tc>
        <w:tc>
          <w:tcPr>
            <w:tcW w:w="880" w:type="dxa"/>
            <w:vAlign w:val="bottom"/>
            <w:tcBorders>
              <w:right w:val="single" w:sz="8" w:color="auto"/>
            </w:tcBorders>
          </w:tcPr>
          <w:p>
            <w:pPr>
              <w:jc w:val="right"/>
              <w:ind w:right="20"/>
              <w:spacing w:after="0" w:line="184" w:lineRule="exact"/>
              <w:rPr>
                <w:sz w:val="20"/>
                <w:szCs w:val="20"/>
                <w:color w:val="auto"/>
              </w:rPr>
            </w:pPr>
            <w:r>
              <w:rPr>
                <w:rFonts w:ascii="Calibri" w:cs="Calibri" w:eastAsia="Calibri" w:hAnsi="Calibri"/>
                <w:sz w:val="16"/>
                <w:szCs w:val="16"/>
                <w:color w:val="auto"/>
              </w:rPr>
              <w:t>50%</w:t>
            </w:r>
          </w:p>
        </w:tc>
        <w:tc>
          <w:tcPr>
            <w:tcW w:w="72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rPr>
              <w:t>47%</w:t>
            </w:r>
          </w:p>
        </w:tc>
        <w:tc>
          <w:tcPr>
            <w:tcW w:w="68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22%</w:t>
            </w:r>
          </w:p>
        </w:tc>
        <w:tc>
          <w:tcPr>
            <w:tcW w:w="9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43%</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43%</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Riparian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56</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18,565</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7,510</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40%</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70%</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Floodplain Riparian Woodland/Plains Grassy Woodland Mosaic</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250</w:t>
            </w:r>
          </w:p>
        </w:tc>
        <w:tc>
          <w:tcPr>
            <w:tcW w:w="76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8</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66%</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Granitic Hills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1,258</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976</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78%</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Dry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63,618</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47,288</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74%</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67%</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b w:val="1"/>
                <w:bCs w:val="1"/>
                <w:color w:val="auto"/>
                <w:w w:val="80"/>
              </w:rPr>
              <w: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128</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10,132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4,356</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43%</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87%</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91"/>
              </w:rPr>
              <w:t>R</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3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Grassy Riverine Forest*</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106</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210</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73</w:t>
            </w:r>
          </w:p>
        </w:tc>
        <w:tc>
          <w:tcPr>
            <w:tcW w:w="880" w:type="dxa"/>
            <w:vAlign w:val="bottom"/>
            <w:tcBorders>
              <w:right w:val="single" w:sz="8" w:color="auto"/>
            </w:tcBorders>
          </w:tcPr>
          <w:p>
            <w:pPr>
              <w:jc w:val="right"/>
              <w:ind w:right="20"/>
              <w:spacing w:after="0" w:line="184" w:lineRule="exact"/>
              <w:rPr>
                <w:sz w:val="20"/>
                <w:szCs w:val="20"/>
                <w:color w:val="auto"/>
              </w:rPr>
            </w:pPr>
            <w:r>
              <w:rPr>
                <w:rFonts w:ascii="Calibri" w:cs="Calibri" w:eastAsia="Calibri" w:hAnsi="Calibri"/>
                <w:sz w:val="16"/>
                <w:szCs w:val="16"/>
                <w:color w:val="auto"/>
              </w:rPr>
              <w:t>35%</w:t>
            </w:r>
          </w:p>
        </w:tc>
        <w:tc>
          <w:tcPr>
            <w:tcW w:w="72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rPr>
              <w:t>71%</w:t>
            </w:r>
          </w:p>
        </w:tc>
        <w:tc>
          <w:tcPr>
            <w:tcW w:w="68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Grassy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175</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24,695</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8,428</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34%</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96%</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Gully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902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360</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86%</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65%</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E</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29%</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34%</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34%</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15,162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14,725</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97%</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7%</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75%</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28%</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38%</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77%</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48</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3,713</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2,168</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58%</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15%</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33%</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39%</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56.2%</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Herb-rich Foothill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168,294</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137,336</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82%</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29%</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32%</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39.7%</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43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Lowland Forest*</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16</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76,481</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47,939</w:t>
            </w:r>
          </w:p>
        </w:tc>
        <w:tc>
          <w:tcPr>
            <w:tcW w:w="880" w:type="dxa"/>
            <w:vAlign w:val="bottom"/>
            <w:tcBorders>
              <w:right w:val="single" w:sz="8" w:color="auto"/>
            </w:tcBorders>
          </w:tcPr>
          <w:p>
            <w:pPr>
              <w:jc w:val="right"/>
              <w:ind w:right="20"/>
              <w:spacing w:after="0" w:line="184" w:lineRule="exact"/>
              <w:rPr>
                <w:sz w:val="20"/>
                <w:szCs w:val="20"/>
                <w:color w:val="auto"/>
              </w:rPr>
            </w:pPr>
            <w:r>
              <w:rPr>
                <w:rFonts w:ascii="Calibri" w:cs="Calibri" w:eastAsia="Calibri" w:hAnsi="Calibri"/>
                <w:sz w:val="16"/>
                <w:szCs w:val="16"/>
                <w:color w:val="auto"/>
              </w:rPr>
              <w:t>63%</w:t>
            </w:r>
          </w:p>
        </w:tc>
        <w:tc>
          <w:tcPr>
            <w:tcW w:w="72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rPr>
              <w:t>47%</w:t>
            </w:r>
          </w:p>
        </w:tc>
        <w:tc>
          <w:tcPr>
            <w:tcW w:w="68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17%</w:t>
            </w:r>
          </w:p>
        </w:tc>
        <w:tc>
          <w:tcPr>
            <w:tcW w:w="9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22%</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27%</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Damp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38</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20,433</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20,392</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51%</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51.3%</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Dry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36</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7,077</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7,077</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71%</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48%</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71%</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Grassy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37</w:t>
            </w:r>
          </w:p>
        </w:tc>
        <w:tc>
          <w:tcPr>
            <w:tcW w:w="76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11%</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91"/>
              </w:rPr>
              <w:t>R</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88%</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88%</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88%</w:t>
            </w:r>
          </w:p>
        </w:tc>
        <w:tc>
          <w:tcPr>
            <w:tcW w:w="0" w:type="dxa"/>
            <w:vAlign w:val="bottom"/>
          </w:tcPr>
          <w:p>
            <w:pPr>
              <w:spacing w:after="0"/>
              <w:rPr>
                <w:sz w:val="1"/>
                <w:szCs w:val="1"/>
                <w:color w:val="auto"/>
              </w:rPr>
            </w:pP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37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57</w:t>
      </w:r>
    </w:p>
    <w:p>
      <w:pPr>
        <w:sectPr>
          <w:pgSz w:w="16840" w:h="11906" w:orient="landscape"/>
          <w:cols w:equalWidth="0" w:num="1">
            <w:col w:w="13960"/>
          </w:cols>
          <w:pgMar w:left="1440" w:top="1440" w:right="1438" w:bottom="149" w:gutter="0" w:footer="0" w:header="0"/>
        </w:sectPr>
      </w:pPr>
    </w:p>
    <w:bookmarkStart w:id="57" w:name="page58"/>
    <w:bookmarkEnd w:id="57"/>
    <w:tbl>
      <w:tblPr>
        <w:tblLayout w:type="fixed"/>
        <w:tblInd w:w="10" w:type="dxa"/>
        <w:tblCellMar>
          <w:top w:w="0" w:type="dxa"/>
          <w:left w:w="0" w:type="dxa"/>
          <w:bottom w:w="0" w:type="dxa"/>
          <w:right w:w="0" w:type="dxa"/>
        </w:tblCellMar>
      </w:tblPr>
      <w:tr>
        <w:trPr>
          <w:trHeight w:val="201"/>
        </w:trPr>
        <w:tc>
          <w:tcPr>
            <w:tcW w:w="432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Montane Wet Forest</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39</w:t>
            </w:r>
          </w:p>
        </w:tc>
        <w:tc>
          <w:tcPr>
            <w:tcW w:w="7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46,528</w:t>
            </w:r>
          </w:p>
        </w:tc>
        <w:tc>
          <w:tcPr>
            <w:tcW w:w="7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46,516</w:t>
            </w:r>
          </w:p>
        </w:tc>
        <w:tc>
          <w:tcPr>
            <w:tcW w:w="880" w:type="dxa"/>
            <w:vAlign w:val="bottom"/>
            <w:tcBorders>
              <w:top w:val="single" w:sz="8" w:color="auto"/>
              <w:right w:val="single" w:sz="8" w:color="auto"/>
            </w:tcBorders>
          </w:tcPr>
          <w:p>
            <w:pPr>
              <w:jc w:val="right"/>
              <w:ind w:right="20"/>
              <w:spacing w:after="0"/>
              <w:rPr>
                <w:sz w:val="20"/>
                <w:szCs w:val="20"/>
                <w:color w:val="auto"/>
              </w:rPr>
            </w:pPr>
            <w:r>
              <w:rPr>
                <w:rFonts w:ascii="Calibri" w:cs="Calibri" w:eastAsia="Calibri" w:hAnsi="Calibri"/>
                <w:sz w:val="16"/>
                <w:szCs w:val="16"/>
                <w:color w:val="auto"/>
              </w:rPr>
              <w:t>100%</w:t>
            </w:r>
          </w:p>
        </w:tc>
        <w:tc>
          <w:tcPr>
            <w:tcW w:w="72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16"/>
                <w:szCs w:val="16"/>
                <w:color w:val="auto"/>
              </w:rPr>
              <w:t>0%</w:t>
            </w:r>
          </w:p>
        </w:tc>
        <w:tc>
          <w:tcPr>
            <w:tcW w:w="68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16"/>
                <w:szCs w:val="16"/>
                <w:color w:val="auto"/>
                <w:w w:val="87"/>
              </w:rPr>
              <w:t>V</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61%</w:t>
            </w:r>
          </w:p>
        </w:tc>
        <w:tc>
          <w:tcPr>
            <w:tcW w:w="90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34%</w:t>
            </w:r>
          </w:p>
        </w:tc>
        <w:tc>
          <w:tcPr>
            <w:tcW w:w="82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18%</w:t>
            </w:r>
          </w:p>
        </w:tc>
        <w:tc>
          <w:tcPr>
            <w:tcW w:w="10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9%</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0%</w:t>
            </w:r>
          </w:p>
        </w:tc>
        <w:tc>
          <w:tcPr>
            <w:tcW w:w="8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60.6%</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Grassland/Plains Grassy Woodland Mosaic</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897</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136</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28</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20%</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100%</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3"/>
        </w:trPr>
        <w:tc>
          <w:tcPr>
            <w:tcW w:w="43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Grassy Woodland*</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55</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44,316</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12,121</w:t>
            </w:r>
          </w:p>
        </w:tc>
        <w:tc>
          <w:tcPr>
            <w:tcW w:w="880" w:type="dxa"/>
            <w:vAlign w:val="bottom"/>
            <w:tcBorders>
              <w:right w:val="single" w:sz="8" w:color="auto"/>
            </w:tcBorders>
          </w:tcPr>
          <w:p>
            <w:pPr>
              <w:jc w:val="right"/>
              <w:ind w:right="20"/>
              <w:spacing w:after="0" w:line="184" w:lineRule="exact"/>
              <w:rPr>
                <w:sz w:val="20"/>
                <w:szCs w:val="20"/>
                <w:color w:val="auto"/>
              </w:rPr>
            </w:pPr>
            <w:r>
              <w:rPr>
                <w:rFonts w:ascii="Calibri" w:cs="Calibri" w:eastAsia="Calibri" w:hAnsi="Calibri"/>
                <w:sz w:val="16"/>
                <w:szCs w:val="16"/>
                <w:color w:val="auto"/>
              </w:rPr>
              <w:t>27%</w:t>
            </w:r>
          </w:p>
        </w:tc>
        <w:tc>
          <w:tcPr>
            <w:tcW w:w="72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rPr>
              <w:t>89%</w:t>
            </w:r>
          </w:p>
        </w:tc>
        <w:tc>
          <w:tcPr>
            <w:tcW w:w="68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18</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42,212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34,844</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83%</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24%</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44%</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22%</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53.2%</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Scrub/Swampy Riparian Forest Mosaic</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10,202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5,320</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52%</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85%</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Dry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14,823</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14,342</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97%</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69%</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54%</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71%</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Shrubby Foothill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45</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47,853</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36,558</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76%</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28%</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26%</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27%</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33.7%</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43</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7,744</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7,742</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100%</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0%</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90%</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78%</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90%</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3"/>
        </w:trPr>
        <w:tc>
          <w:tcPr>
            <w:tcW w:w="43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Swampy Riparian Woodland*</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83</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2,886</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1,634</w:t>
            </w:r>
          </w:p>
        </w:tc>
        <w:tc>
          <w:tcPr>
            <w:tcW w:w="880" w:type="dxa"/>
            <w:vAlign w:val="bottom"/>
            <w:tcBorders>
              <w:right w:val="single" w:sz="8" w:color="auto"/>
            </w:tcBorders>
          </w:tcPr>
          <w:p>
            <w:pPr>
              <w:jc w:val="right"/>
              <w:ind w:right="20"/>
              <w:spacing w:after="0" w:line="184" w:lineRule="exact"/>
              <w:rPr>
                <w:sz w:val="20"/>
                <w:szCs w:val="20"/>
                <w:color w:val="auto"/>
              </w:rPr>
            </w:pPr>
            <w:r>
              <w:rPr>
                <w:rFonts w:ascii="Calibri" w:cs="Calibri" w:eastAsia="Calibri" w:hAnsi="Calibri"/>
                <w:sz w:val="16"/>
                <w:szCs w:val="16"/>
                <w:color w:val="auto"/>
              </w:rPr>
              <w:t>57%</w:t>
            </w:r>
          </w:p>
        </w:tc>
        <w:tc>
          <w:tcPr>
            <w:tcW w:w="72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rPr>
              <w:t>54%</w:t>
            </w:r>
          </w:p>
        </w:tc>
        <w:tc>
          <w:tcPr>
            <w:tcW w:w="68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18%</w:t>
            </w:r>
          </w:p>
        </w:tc>
        <w:tc>
          <w:tcPr>
            <w:tcW w:w="9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33%</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33%</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Swampy Woodland*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937</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4,638</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993</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21%</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93%</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Grassy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47</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64,689</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24,372</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38%</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92%</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Valley Heathy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127</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4,061</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1,044</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26%</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99%</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91"/>
              </w:rPr>
              <w:t>R</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Warm Temperate Rainforest*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32</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360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28%</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2%</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E</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26%</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65%</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94%</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Forest*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30</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119,043</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116,803</w:t>
            </w:r>
          </w:p>
        </w:tc>
        <w:tc>
          <w:tcPr>
            <w:tcW w:w="880" w:type="dxa"/>
            <w:vAlign w:val="bottom"/>
            <w:tcBorders>
              <w:right w:val="single" w:sz="8" w:color="auto"/>
            </w:tcBorders>
          </w:tcPr>
          <w:p>
            <w:pPr>
              <w:jc w:val="right"/>
              <w:ind w:right="20"/>
              <w:spacing w:after="0" w:line="181" w:lineRule="exact"/>
              <w:rPr>
                <w:sz w:val="20"/>
                <w:szCs w:val="20"/>
                <w:color w:val="auto"/>
              </w:rPr>
            </w:pPr>
            <w:r>
              <w:rPr>
                <w:rFonts w:ascii="Calibri" w:cs="Calibri" w:eastAsia="Calibri" w:hAnsi="Calibri"/>
                <w:sz w:val="16"/>
                <w:szCs w:val="16"/>
                <w:color w:val="auto"/>
              </w:rPr>
              <w:t>98%</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6%</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w w:val="87"/>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56%</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56.6%</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3"/>
        </w:trPr>
        <w:tc>
          <w:tcPr>
            <w:tcW w:w="432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Cool Temperate Rainforest niche</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31</w:t>
            </w:r>
          </w:p>
        </w:tc>
        <w:tc>
          <w:tcPr>
            <w:tcW w:w="760" w:type="dxa"/>
            <w:vAlign w:val="bottom"/>
            <w:tcBorders>
              <w:right w:val="single" w:sz="8" w:color="auto"/>
            </w:tcBorders>
          </w:tcPr>
          <w:p>
            <w:pPr>
              <w:jc w:val="right"/>
              <w:ind w:right="140"/>
              <w:spacing w:after="0" w:line="184" w:lineRule="exact"/>
              <w:rPr>
                <w:sz w:val="20"/>
                <w:szCs w:val="20"/>
                <w:color w:val="auto"/>
              </w:rPr>
            </w:pPr>
            <w:r>
              <w:rPr>
                <w:rFonts w:ascii="Calibri" w:cs="Calibri" w:eastAsia="Calibri" w:hAnsi="Calibri"/>
                <w:sz w:val="16"/>
                <w:szCs w:val="16"/>
                <w:color w:val="auto"/>
              </w:rPr>
              <w:t>#N/A</w:t>
            </w:r>
          </w:p>
        </w:tc>
        <w:tc>
          <w:tcPr>
            <w:tcW w:w="7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18,252</w:t>
            </w:r>
          </w:p>
        </w:tc>
        <w:tc>
          <w:tcPr>
            <w:tcW w:w="880" w:type="dxa"/>
            <w:vAlign w:val="bottom"/>
            <w:tcBorders>
              <w:right w:val="single" w:sz="8" w:color="auto"/>
            </w:tcBorders>
          </w:tcPr>
          <w:p>
            <w:pPr>
              <w:jc w:val="right"/>
              <w:ind w:right="200"/>
              <w:spacing w:after="0" w:line="184" w:lineRule="exact"/>
              <w:rPr>
                <w:sz w:val="20"/>
                <w:szCs w:val="20"/>
                <w:color w:val="auto"/>
              </w:rPr>
            </w:pPr>
            <w:r>
              <w:rPr>
                <w:rFonts w:ascii="Calibri" w:cs="Calibri" w:eastAsia="Calibri" w:hAnsi="Calibri"/>
                <w:sz w:val="16"/>
                <w:szCs w:val="16"/>
                <w:color w:val="auto"/>
              </w:rPr>
              <w:t>#N/A</w:t>
            </w:r>
          </w:p>
        </w:tc>
        <w:tc>
          <w:tcPr>
            <w:tcW w:w="72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rPr>
              <w:t>1%</w:t>
            </w:r>
          </w:p>
        </w:tc>
        <w:tc>
          <w:tcPr>
            <w:tcW w:w="680" w:type="dxa"/>
            <w:vAlign w:val="bottom"/>
            <w:tcBorders>
              <w:right w:val="single" w:sz="8" w:color="auto"/>
            </w:tcBorders>
          </w:tcPr>
          <w:p>
            <w:pPr>
              <w:jc w:val="center"/>
              <w:spacing w:after="0" w:line="184"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140"/>
              <w:spacing w:after="0" w:line="184" w:lineRule="exact"/>
              <w:rPr>
                <w:sz w:val="20"/>
                <w:szCs w:val="20"/>
                <w:color w:val="auto"/>
              </w:rPr>
            </w:pPr>
            <w:r>
              <w:rPr>
                <w:rFonts w:ascii="Calibri" w:cs="Calibri" w:eastAsia="Calibri" w:hAnsi="Calibri"/>
                <w:sz w:val="16"/>
                <w:szCs w:val="16"/>
                <w:color w:val="auto"/>
              </w:rPr>
              <w:t>#N/A</w:t>
            </w:r>
          </w:p>
        </w:tc>
        <w:tc>
          <w:tcPr>
            <w:tcW w:w="90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39%</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34%</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12%</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85%</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r>
        <w:trPr>
          <w:trHeight w:val="181"/>
        </w:trPr>
        <w:tc>
          <w:tcPr>
            <w:tcW w:w="432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Warm Temperate Rainforest niche</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32</w:t>
            </w:r>
          </w:p>
        </w:tc>
        <w:tc>
          <w:tcPr>
            <w:tcW w:w="760" w:type="dxa"/>
            <w:vAlign w:val="bottom"/>
            <w:tcBorders>
              <w:right w:val="single" w:sz="8" w:color="auto"/>
            </w:tcBorders>
          </w:tcPr>
          <w:p>
            <w:pPr>
              <w:jc w:val="right"/>
              <w:ind w:right="140"/>
              <w:spacing w:after="0" w:line="181" w:lineRule="exact"/>
              <w:rPr>
                <w:sz w:val="20"/>
                <w:szCs w:val="20"/>
                <w:color w:val="auto"/>
              </w:rPr>
            </w:pPr>
            <w:r>
              <w:rPr>
                <w:rFonts w:ascii="Calibri" w:cs="Calibri" w:eastAsia="Calibri" w:hAnsi="Calibri"/>
                <w:sz w:val="16"/>
                <w:szCs w:val="16"/>
                <w:color w:val="auto"/>
              </w:rPr>
              <w:t>#N/A</w:t>
            </w:r>
          </w:p>
        </w:tc>
        <w:tc>
          <w:tcPr>
            <w:tcW w:w="7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259</w:t>
            </w:r>
          </w:p>
        </w:tc>
        <w:tc>
          <w:tcPr>
            <w:tcW w:w="880" w:type="dxa"/>
            <w:vAlign w:val="bottom"/>
            <w:tcBorders>
              <w:right w:val="single" w:sz="8" w:color="auto"/>
            </w:tcBorders>
          </w:tcPr>
          <w:p>
            <w:pPr>
              <w:jc w:val="right"/>
              <w:ind w:right="200"/>
              <w:spacing w:after="0" w:line="181" w:lineRule="exact"/>
              <w:rPr>
                <w:sz w:val="20"/>
                <w:szCs w:val="20"/>
                <w:color w:val="auto"/>
              </w:rPr>
            </w:pPr>
            <w:r>
              <w:rPr>
                <w:rFonts w:ascii="Calibri" w:cs="Calibri" w:eastAsia="Calibri" w:hAnsi="Calibri"/>
                <w:sz w:val="16"/>
                <w:szCs w:val="16"/>
                <w:color w:val="auto"/>
              </w:rPr>
              <w:t>#N/A</w:t>
            </w:r>
          </w:p>
        </w:tc>
        <w:tc>
          <w:tcPr>
            <w:tcW w:w="72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6%</w:t>
            </w:r>
          </w:p>
        </w:tc>
        <w:tc>
          <w:tcPr>
            <w:tcW w:w="680" w:type="dxa"/>
            <w:vAlign w:val="bottom"/>
            <w:tcBorders>
              <w:right w:val="single" w:sz="8" w:color="auto"/>
            </w:tcBorders>
          </w:tcPr>
          <w:p>
            <w:pPr>
              <w:jc w:val="center"/>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140"/>
              <w:spacing w:after="0" w:line="181" w:lineRule="exact"/>
              <w:rPr>
                <w:sz w:val="20"/>
                <w:szCs w:val="20"/>
                <w:color w:val="auto"/>
              </w:rPr>
            </w:pPr>
            <w:r>
              <w:rPr>
                <w:rFonts w:ascii="Calibri" w:cs="Calibri" w:eastAsia="Calibri" w:hAnsi="Calibri"/>
                <w:sz w:val="16"/>
                <w:szCs w:val="16"/>
                <w:color w:val="auto"/>
              </w:rPr>
              <w:t>#N/A</w:t>
            </w:r>
          </w:p>
        </w:tc>
        <w:tc>
          <w:tcPr>
            <w:tcW w:w="90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58%</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87%</w:t>
            </w:r>
          </w:p>
        </w:tc>
      </w:tr>
      <w:tr>
        <w:trPr>
          <w:trHeight w:val="109"/>
        </w:trPr>
        <w:tc>
          <w:tcPr>
            <w:tcW w:w="432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76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20" w:type="dxa"/>
            <w:vAlign w:val="bottom"/>
            <w:tcBorders>
              <w:bottom w:val="single" w:sz="8" w:color="auto"/>
              <w:right w:val="single" w:sz="8" w:color="auto"/>
            </w:tcBorders>
          </w:tcPr>
          <w:p>
            <w:pPr>
              <w:spacing w:after="0"/>
              <w:rPr>
                <w:sz w:val="9"/>
                <w:szCs w:val="9"/>
                <w:color w:val="auto"/>
              </w:rPr>
            </w:pPr>
          </w:p>
        </w:tc>
        <w:tc>
          <w:tcPr>
            <w:tcW w:w="6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ind w:left="13780"/>
        <w:spacing w:after="0"/>
        <w:rPr>
          <w:sz w:val="20"/>
          <w:szCs w:val="20"/>
          <w:color w:val="auto"/>
        </w:rPr>
      </w:pPr>
      <w:r>
        <w:rPr>
          <w:rFonts w:ascii="Times New Roman" w:cs="Times New Roman" w:eastAsia="Times New Roman" w:hAnsi="Times New Roman"/>
          <w:sz w:val="18"/>
          <w:szCs w:val="18"/>
          <w:color w:val="auto"/>
        </w:rPr>
        <w:t>58</w:t>
      </w:r>
    </w:p>
    <w:p>
      <w:pPr>
        <w:sectPr>
          <w:pgSz w:w="16840" w:h="11906" w:orient="landscape"/>
          <w:cols w:equalWidth="0" w:num="1">
            <w:col w:w="13960"/>
          </w:cols>
          <w:pgMar w:left="1440" w:top="1420" w:right="1438" w:bottom="149" w:gutter="0" w:footer="0" w:header="0"/>
        </w:sectPr>
      </w:pPr>
    </w:p>
    <w:bookmarkStart w:id="58" w:name="page59"/>
    <w:bookmarkEnd w:id="58"/>
    <w:p>
      <w:pPr>
        <w:spacing w:after="0" w:line="3" w:lineRule="exact"/>
        <w:rPr>
          <w:sz w:val="20"/>
          <w:szCs w:val="20"/>
          <w:color w:val="auto"/>
        </w:rPr>
      </w:pPr>
    </w:p>
    <w:p>
      <w:pPr>
        <w:ind w:right="440"/>
        <w:spacing w:after="0" w:line="229" w:lineRule="auto"/>
        <w:rPr>
          <w:sz w:val="20"/>
          <w:szCs w:val="20"/>
          <w:color w:val="auto"/>
        </w:rPr>
      </w:pPr>
      <w:r>
        <w:rPr>
          <w:rFonts w:ascii="Times New Roman" w:cs="Times New Roman" w:eastAsia="Times New Roman" w:hAnsi="Times New Roman"/>
          <w:sz w:val="22"/>
          <w:szCs w:val="22"/>
          <w:b w:val="1"/>
          <w:bCs w:val="1"/>
          <w:color w:val="auto"/>
        </w:rPr>
        <w:t>Table 1b Representative conservation (percentage reservation status) of non-Forest EVCs</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in the CAR Reserve System in the Central Highlands RFA Region as at 2019.</w:t>
      </w:r>
    </w:p>
    <w:p>
      <w:pPr>
        <w:spacing w:after="0" w:line="222" w:lineRule="exact"/>
        <w:rPr>
          <w:sz w:val="20"/>
          <w:szCs w:val="20"/>
          <w:color w:val="auto"/>
        </w:rPr>
      </w:pPr>
    </w:p>
    <w:tbl>
      <w:tblPr>
        <w:tblLayout w:type="fixed"/>
        <w:tblInd w:w="10" w:type="dxa"/>
        <w:tblCellMar>
          <w:top w:w="0" w:type="dxa"/>
          <w:left w:w="0" w:type="dxa"/>
          <w:bottom w:w="0" w:type="dxa"/>
          <w:right w:w="0" w:type="dxa"/>
        </w:tblCellMar>
      </w:tblPr>
      <w:tr>
        <w:trPr>
          <w:trHeight w:val="235"/>
        </w:trPr>
        <w:tc>
          <w:tcPr>
            <w:tcW w:w="396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b w:val="1"/>
                <w:bCs w:val="1"/>
                <w:color w:val="auto"/>
              </w:rPr>
              <w:t>Ecosystem type</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EVC</w:t>
            </w:r>
          </w:p>
        </w:tc>
        <w:tc>
          <w:tcPr>
            <w:tcW w:w="66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Pre-</w:t>
            </w:r>
          </w:p>
        </w:tc>
        <w:tc>
          <w:tcPr>
            <w:tcW w:w="74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Current</w:t>
            </w:r>
          </w:p>
        </w:tc>
        <w:tc>
          <w:tcPr>
            <w:tcW w:w="88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Percent</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 of</w:t>
            </w:r>
          </w:p>
        </w:tc>
        <w:tc>
          <w:tcPr>
            <w:tcW w:w="700" w:type="dxa"/>
            <w:vAlign w:val="bottom"/>
            <w:tcBorders>
              <w:top w:val="single" w:sz="8" w:color="auto"/>
              <w:right w:val="single" w:sz="8" w:color="auto"/>
            </w:tcBorders>
          </w:tcPr>
          <w:p>
            <w:pPr>
              <w:ind w:left="100"/>
              <w:spacing w:after="0" w:line="234" w:lineRule="exact"/>
              <w:rPr>
                <w:sz w:val="20"/>
                <w:szCs w:val="20"/>
                <w:color w:val="auto"/>
              </w:rPr>
            </w:pPr>
            <w:r>
              <w:rPr>
                <w:rFonts w:ascii="Calibri" w:cs="Calibri" w:eastAsia="Calibri" w:hAnsi="Calibri"/>
                <w:sz w:val="16"/>
                <w:szCs w:val="16"/>
                <w:b w:val="1"/>
                <w:bCs w:val="1"/>
                <w:color w:val="auto"/>
              </w:rPr>
              <w:t>Status</w:t>
            </w:r>
            <w:r>
              <w:rPr>
                <w:rFonts w:ascii="Calibri" w:cs="Calibri" w:eastAsia="Calibri" w:hAnsi="Calibri"/>
                <w:sz w:val="20"/>
                <w:szCs w:val="20"/>
                <w:b w:val="1"/>
                <w:bCs w:val="1"/>
                <w:color w:val="auto"/>
                <w:vertAlign w:val="superscript"/>
              </w:rPr>
              <w:t>b</w:t>
            </w:r>
          </w:p>
        </w:tc>
        <w:tc>
          <w:tcPr>
            <w:tcW w:w="740" w:type="dxa"/>
            <w:vAlign w:val="bottom"/>
            <w:tcBorders>
              <w:top w:val="single" w:sz="8" w:color="auto"/>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 of</w:t>
            </w:r>
          </w:p>
        </w:tc>
        <w:tc>
          <w:tcPr>
            <w:tcW w:w="900" w:type="dxa"/>
            <w:vAlign w:val="bottom"/>
            <w:tcBorders>
              <w:top w:val="single" w:sz="8" w:color="auto"/>
            </w:tcBorders>
          </w:tcPr>
          <w:p>
            <w:pPr>
              <w:spacing w:after="0"/>
              <w:rPr>
                <w:sz w:val="20"/>
                <w:szCs w:val="20"/>
                <w:color w:val="auto"/>
              </w:rPr>
            </w:pPr>
          </w:p>
        </w:tc>
        <w:tc>
          <w:tcPr>
            <w:tcW w:w="820" w:type="dxa"/>
            <w:vAlign w:val="bottom"/>
            <w:tcBorders>
              <w:top w:val="single" w:sz="8" w:color="auto"/>
            </w:tcBorders>
          </w:tcPr>
          <w:p>
            <w:pPr>
              <w:spacing w:after="0"/>
              <w:rPr>
                <w:sz w:val="20"/>
                <w:szCs w:val="20"/>
                <w:color w:val="auto"/>
              </w:rPr>
            </w:pPr>
          </w:p>
        </w:tc>
        <w:tc>
          <w:tcPr>
            <w:tcW w:w="1080" w:type="dxa"/>
            <w:vAlign w:val="bottom"/>
            <w:tcBorders>
              <w:top w:val="single" w:sz="8" w:color="auto"/>
            </w:tcBorders>
          </w:tcPr>
          <w:p>
            <w:pPr>
              <w:spacing w:after="0"/>
              <w:rPr>
                <w:sz w:val="20"/>
                <w:szCs w:val="20"/>
                <w:color w:val="auto"/>
              </w:rPr>
            </w:pPr>
          </w:p>
        </w:tc>
        <w:tc>
          <w:tcPr>
            <w:tcW w:w="940" w:type="dxa"/>
            <w:vAlign w:val="bottom"/>
            <w:tcBorders>
              <w:top w:val="single" w:sz="8" w:color="auto"/>
            </w:tcBorders>
          </w:tcPr>
          <w:p>
            <w:pPr>
              <w:spacing w:after="0"/>
              <w:rPr>
                <w:sz w:val="20"/>
                <w:szCs w:val="20"/>
                <w:color w:val="auto"/>
              </w:rPr>
            </w:pPr>
          </w:p>
        </w:tc>
        <w:tc>
          <w:tcPr>
            <w:tcW w:w="580" w:type="dxa"/>
            <w:vAlign w:val="bottom"/>
            <w:tcBorders>
              <w:top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61"/>
        </w:trPr>
        <w:tc>
          <w:tcPr>
            <w:tcW w:w="3960" w:type="dxa"/>
            <w:vAlign w:val="bottom"/>
            <w:tcBorders>
              <w:left w:val="single" w:sz="8" w:color="auto"/>
              <w:right w:val="single" w:sz="8" w:color="auto"/>
            </w:tcBorders>
          </w:tcPr>
          <w:p>
            <w:pPr>
              <w:spacing w:after="0"/>
              <w:rPr>
                <w:sz w:val="13"/>
                <w:szCs w:val="13"/>
                <w:color w:val="auto"/>
              </w:rPr>
            </w:pPr>
          </w:p>
        </w:tc>
        <w:tc>
          <w:tcPr>
            <w:tcW w:w="74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number</w:t>
            </w:r>
          </w:p>
        </w:tc>
        <w:tc>
          <w:tcPr>
            <w:tcW w:w="66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1750</w:t>
            </w:r>
          </w:p>
        </w:tc>
        <w:tc>
          <w:tcPr>
            <w:tcW w:w="74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extent</w:t>
            </w:r>
          </w:p>
        </w:tc>
        <w:tc>
          <w:tcPr>
            <w:tcW w:w="880" w:type="dxa"/>
            <w:vAlign w:val="bottom"/>
            <w:tcBorders>
              <w:right w:val="single" w:sz="8" w:color="auto"/>
            </w:tcBorders>
          </w:tcPr>
          <w:p>
            <w:pPr>
              <w:ind w:left="80"/>
              <w:spacing w:after="0" w:line="161" w:lineRule="exact"/>
              <w:rPr>
                <w:sz w:val="20"/>
                <w:szCs w:val="20"/>
                <w:color w:val="auto"/>
              </w:rPr>
            </w:pPr>
            <w:r>
              <w:rPr>
                <w:rFonts w:ascii="Calibri" w:cs="Calibri" w:eastAsia="Calibri" w:hAnsi="Calibri"/>
                <w:sz w:val="16"/>
                <w:szCs w:val="16"/>
                <w:b w:val="1"/>
                <w:bCs w:val="1"/>
                <w:color w:val="auto"/>
              </w:rPr>
              <w:t>remaining</w:t>
            </w:r>
          </w:p>
        </w:tc>
        <w:tc>
          <w:tcPr>
            <w:tcW w:w="700" w:type="dxa"/>
            <w:vAlign w:val="bottom"/>
            <w:tcBorders>
              <w:right w:val="single" w:sz="8" w:color="auto"/>
            </w:tcBorders>
          </w:tcPr>
          <w:p>
            <w:pPr>
              <w:ind w:left="100"/>
              <w:spacing w:after="0" w:line="161" w:lineRule="exact"/>
              <w:rPr>
                <w:sz w:val="20"/>
                <w:szCs w:val="20"/>
                <w:color w:val="auto"/>
              </w:rPr>
            </w:pPr>
            <w:r>
              <w:rPr>
                <w:rFonts w:ascii="Calibri" w:cs="Calibri" w:eastAsia="Calibri" w:hAnsi="Calibri"/>
                <w:sz w:val="16"/>
                <w:szCs w:val="16"/>
                <w:b w:val="1"/>
                <w:bCs w:val="1"/>
                <w:color w:val="auto"/>
              </w:rPr>
              <w:t>current</w:t>
            </w:r>
          </w:p>
        </w:tc>
        <w:tc>
          <w:tcPr>
            <w:tcW w:w="70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ind w:left="80"/>
              <w:spacing w:after="0" w:line="161" w:lineRule="exact"/>
              <w:rPr>
                <w:sz w:val="20"/>
                <w:szCs w:val="20"/>
                <w:color w:val="auto"/>
              </w:rPr>
            </w:pPr>
            <w:r>
              <w:rPr>
                <w:rFonts w:ascii="Calibri" w:cs="Calibri" w:eastAsia="Calibri" w:hAnsi="Calibri"/>
                <w:sz w:val="16"/>
                <w:szCs w:val="16"/>
                <w:b w:val="1"/>
                <w:bCs w:val="1"/>
                <w:color w:val="auto"/>
              </w:rPr>
              <w:t>pre-</w:t>
            </w:r>
          </w:p>
        </w:tc>
        <w:tc>
          <w:tcPr>
            <w:tcW w:w="900" w:type="dxa"/>
            <w:vAlign w:val="bottom"/>
          </w:tcPr>
          <w:p>
            <w:pPr>
              <w:spacing w:after="0"/>
              <w:rPr>
                <w:sz w:val="13"/>
                <w:szCs w:val="13"/>
                <w:color w:val="auto"/>
              </w:rPr>
            </w:pPr>
          </w:p>
        </w:tc>
        <w:tc>
          <w:tcPr>
            <w:tcW w:w="82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940" w:type="dxa"/>
            <w:vAlign w:val="bottom"/>
          </w:tcPr>
          <w:p>
            <w:pPr>
              <w:spacing w:after="0"/>
              <w:rPr>
                <w:sz w:val="13"/>
                <w:szCs w:val="13"/>
                <w:color w:val="auto"/>
              </w:rPr>
            </w:pPr>
          </w:p>
        </w:tc>
        <w:tc>
          <w:tcPr>
            <w:tcW w:w="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97"/>
        </w:trPr>
        <w:tc>
          <w:tcPr>
            <w:tcW w:w="3960" w:type="dxa"/>
            <w:vAlign w:val="bottom"/>
            <w:tcBorders>
              <w:left w:val="single" w:sz="8" w:color="auto"/>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66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extent</w:t>
            </w:r>
          </w:p>
        </w:tc>
        <w:tc>
          <w:tcPr>
            <w:tcW w:w="74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(ha)</w:t>
            </w:r>
          </w:p>
        </w:tc>
        <w:tc>
          <w:tcPr>
            <w:tcW w:w="880" w:type="dxa"/>
            <w:vAlign w:val="bottom"/>
            <w:tcBorders>
              <w:right w:val="single" w:sz="8" w:color="auto"/>
            </w:tcBorders>
          </w:tcPr>
          <w:p>
            <w:pPr>
              <w:spacing w:after="0"/>
              <w:rPr>
                <w:sz w:val="17"/>
                <w:szCs w:val="17"/>
                <w:color w:val="auto"/>
              </w:rPr>
            </w:pPr>
          </w:p>
        </w:tc>
        <w:tc>
          <w:tcPr>
            <w:tcW w:w="70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extent</w:t>
            </w:r>
          </w:p>
        </w:tc>
        <w:tc>
          <w:tcPr>
            <w:tcW w:w="70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1750</w:t>
            </w:r>
          </w:p>
        </w:tc>
        <w:tc>
          <w:tcPr>
            <w:tcW w:w="90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108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3960" w:type="dxa"/>
            <w:vAlign w:val="bottom"/>
            <w:tcBorders>
              <w:left w:val="single" w:sz="8" w:color="auto"/>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(ha)</w:t>
            </w:r>
          </w:p>
        </w:tc>
        <w:tc>
          <w:tcPr>
            <w:tcW w:w="7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on</w:t>
            </w:r>
          </w:p>
        </w:tc>
        <w:tc>
          <w:tcPr>
            <w:tcW w:w="70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extent</w:t>
            </w:r>
          </w:p>
        </w:tc>
        <w:tc>
          <w:tcPr>
            <w:tcW w:w="3740" w:type="dxa"/>
            <w:vAlign w:val="bottom"/>
            <w:gridSpan w:val="4"/>
            <w:vMerge w:val="restart"/>
          </w:tcPr>
          <w:p>
            <w:pPr>
              <w:jc w:val="right"/>
              <w:spacing w:after="0"/>
              <w:rPr>
                <w:sz w:val="20"/>
                <w:szCs w:val="20"/>
                <w:color w:val="auto"/>
              </w:rPr>
            </w:pPr>
            <w:r>
              <w:rPr>
                <w:rFonts w:ascii="Calibri" w:cs="Calibri" w:eastAsia="Calibri" w:hAnsi="Calibri"/>
                <w:sz w:val="16"/>
                <w:szCs w:val="16"/>
                <w:b w:val="1"/>
                <w:bCs w:val="1"/>
                <w:color w:val="auto"/>
              </w:rPr>
              <w:t>% of current extent in the CAR Reserve System</w:t>
            </w:r>
          </w:p>
        </w:tc>
        <w:tc>
          <w:tcPr>
            <w:tcW w:w="5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98"/>
        </w:trPr>
        <w:tc>
          <w:tcPr>
            <w:tcW w:w="3960" w:type="dxa"/>
            <w:vAlign w:val="bottom"/>
            <w:tcBorders>
              <w:left w:val="single" w:sz="8" w:color="auto"/>
              <w:right w:val="single" w:sz="8" w:color="auto"/>
            </w:tcBorders>
          </w:tcPr>
          <w:p>
            <w:pPr>
              <w:spacing w:after="0"/>
              <w:rPr>
                <w:sz w:val="8"/>
                <w:szCs w:val="8"/>
                <w:color w:val="auto"/>
              </w:rPr>
            </w:pPr>
          </w:p>
        </w:tc>
        <w:tc>
          <w:tcPr>
            <w:tcW w:w="740" w:type="dxa"/>
            <w:vAlign w:val="bottom"/>
            <w:tcBorders>
              <w:right w:val="single" w:sz="8" w:color="auto"/>
            </w:tcBorders>
          </w:tcPr>
          <w:p>
            <w:pPr>
              <w:spacing w:after="0"/>
              <w:rPr>
                <w:sz w:val="8"/>
                <w:szCs w:val="8"/>
                <w:color w:val="auto"/>
              </w:rPr>
            </w:pPr>
          </w:p>
        </w:tc>
        <w:tc>
          <w:tcPr>
            <w:tcW w:w="660" w:type="dxa"/>
            <w:vAlign w:val="bottom"/>
            <w:tcBorders>
              <w:right w:val="single" w:sz="8" w:color="auto"/>
            </w:tcBorders>
          </w:tcPr>
          <w:p>
            <w:pPr>
              <w:spacing w:after="0"/>
              <w:rPr>
                <w:sz w:val="8"/>
                <w:szCs w:val="8"/>
                <w:color w:val="auto"/>
              </w:rPr>
            </w:pPr>
          </w:p>
        </w:tc>
        <w:tc>
          <w:tcPr>
            <w:tcW w:w="740" w:type="dxa"/>
            <w:vAlign w:val="bottom"/>
            <w:tcBorders>
              <w:right w:val="single" w:sz="8" w:color="auto"/>
            </w:tcBorders>
          </w:tcPr>
          <w:p>
            <w:pPr>
              <w:spacing w:after="0"/>
              <w:rPr>
                <w:sz w:val="8"/>
                <w:szCs w:val="8"/>
                <w:color w:val="auto"/>
              </w:rPr>
            </w:pPr>
          </w:p>
        </w:tc>
        <w:tc>
          <w:tcPr>
            <w:tcW w:w="8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private</w:t>
            </w:r>
          </w:p>
        </w:tc>
        <w:tc>
          <w:tcPr>
            <w:tcW w:w="700" w:type="dxa"/>
            <w:vAlign w:val="bottom"/>
            <w:tcBorders>
              <w:right w:val="single" w:sz="8" w:color="auto"/>
            </w:tcBorders>
          </w:tcPr>
          <w:p>
            <w:pPr>
              <w:spacing w:after="0"/>
              <w:rPr>
                <w:sz w:val="8"/>
                <w:szCs w:val="8"/>
                <w:color w:val="auto"/>
              </w:rPr>
            </w:pPr>
          </w:p>
        </w:tc>
        <w:tc>
          <w:tcPr>
            <w:tcW w:w="740" w:type="dxa"/>
            <w:vAlign w:val="bottom"/>
            <w:tcBorders>
              <w:right w:val="single" w:sz="8" w:color="auto"/>
            </w:tcBorders>
            <w:vMerge w:val="restart"/>
          </w:tcPr>
          <w:p>
            <w:pPr>
              <w:ind w:left="80"/>
              <w:spacing w:after="0"/>
              <w:rPr>
                <w:sz w:val="20"/>
                <w:szCs w:val="20"/>
                <w:color w:val="auto"/>
              </w:rPr>
            </w:pPr>
            <w:r>
              <w:rPr>
                <w:rFonts w:ascii="Calibri" w:cs="Calibri" w:eastAsia="Calibri" w:hAnsi="Calibri"/>
                <w:sz w:val="16"/>
                <w:szCs w:val="16"/>
                <w:b w:val="1"/>
                <w:bCs w:val="1"/>
                <w:color w:val="auto"/>
              </w:rPr>
              <w:t>in the</w:t>
            </w:r>
          </w:p>
        </w:tc>
        <w:tc>
          <w:tcPr>
            <w:tcW w:w="3740" w:type="dxa"/>
            <w:vAlign w:val="bottom"/>
            <w:gridSpan w:val="4"/>
            <w:vMerge w:val="continue"/>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6"/>
        </w:trPr>
        <w:tc>
          <w:tcPr>
            <w:tcW w:w="3960" w:type="dxa"/>
            <w:vAlign w:val="bottom"/>
            <w:tcBorders>
              <w:left w:val="single" w:sz="8" w:color="auto"/>
              <w:right w:val="single" w:sz="8" w:color="auto"/>
            </w:tcBorders>
          </w:tcPr>
          <w:p>
            <w:pPr>
              <w:spacing w:after="0"/>
              <w:rPr>
                <w:sz w:val="8"/>
                <w:szCs w:val="8"/>
                <w:color w:val="auto"/>
              </w:rPr>
            </w:pPr>
          </w:p>
        </w:tc>
        <w:tc>
          <w:tcPr>
            <w:tcW w:w="740" w:type="dxa"/>
            <w:vAlign w:val="bottom"/>
            <w:tcBorders>
              <w:right w:val="single" w:sz="8" w:color="auto"/>
            </w:tcBorders>
          </w:tcPr>
          <w:p>
            <w:pPr>
              <w:spacing w:after="0"/>
              <w:rPr>
                <w:sz w:val="8"/>
                <w:szCs w:val="8"/>
                <w:color w:val="auto"/>
              </w:rPr>
            </w:pPr>
          </w:p>
        </w:tc>
        <w:tc>
          <w:tcPr>
            <w:tcW w:w="660" w:type="dxa"/>
            <w:vAlign w:val="bottom"/>
            <w:tcBorders>
              <w:right w:val="single" w:sz="8" w:color="auto"/>
            </w:tcBorders>
          </w:tcPr>
          <w:p>
            <w:pPr>
              <w:spacing w:after="0"/>
              <w:rPr>
                <w:sz w:val="8"/>
                <w:szCs w:val="8"/>
                <w:color w:val="auto"/>
              </w:rPr>
            </w:pPr>
          </w:p>
        </w:tc>
        <w:tc>
          <w:tcPr>
            <w:tcW w:w="740" w:type="dxa"/>
            <w:vAlign w:val="bottom"/>
            <w:tcBorders>
              <w:right w:val="single" w:sz="8" w:color="auto"/>
            </w:tcBorders>
          </w:tcPr>
          <w:p>
            <w:pPr>
              <w:spacing w:after="0"/>
              <w:rPr>
                <w:sz w:val="8"/>
                <w:szCs w:val="8"/>
                <w:color w:val="auto"/>
              </w:rPr>
            </w:pPr>
          </w:p>
        </w:tc>
        <w:tc>
          <w:tcPr>
            <w:tcW w:w="880" w:type="dxa"/>
            <w:vAlign w:val="bottom"/>
            <w:tcBorders>
              <w:right w:val="single" w:sz="8" w:color="auto"/>
            </w:tcBorders>
          </w:tcPr>
          <w:p>
            <w:pPr>
              <w:spacing w:after="0"/>
              <w:rPr>
                <w:sz w:val="8"/>
                <w:szCs w:val="8"/>
                <w:color w:val="auto"/>
              </w:rPr>
            </w:pPr>
          </w:p>
        </w:tc>
        <w:tc>
          <w:tcPr>
            <w:tcW w:w="700" w:type="dxa"/>
            <w:vAlign w:val="bottom"/>
            <w:tcBorders>
              <w:right w:val="single" w:sz="8" w:color="auto"/>
            </w:tcBorders>
            <w:vMerge w:val="continue"/>
          </w:tcPr>
          <w:p>
            <w:pPr>
              <w:spacing w:after="0"/>
              <w:rPr>
                <w:sz w:val="8"/>
                <w:szCs w:val="8"/>
                <w:color w:val="auto"/>
              </w:rPr>
            </w:pPr>
          </w:p>
        </w:tc>
        <w:tc>
          <w:tcPr>
            <w:tcW w:w="700" w:type="dxa"/>
            <w:vAlign w:val="bottom"/>
            <w:tcBorders>
              <w:right w:val="single" w:sz="8" w:color="auto"/>
            </w:tcBorders>
          </w:tcPr>
          <w:p>
            <w:pPr>
              <w:spacing w:after="0"/>
              <w:rPr>
                <w:sz w:val="8"/>
                <w:szCs w:val="8"/>
                <w:color w:val="auto"/>
              </w:rPr>
            </w:pPr>
          </w:p>
        </w:tc>
        <w:tc>
          <w:tcPr>
            <w:tcW w:w="740" w:type="dxa"/>
            <w:vAlign w:val="bottom"/>
            <w:tcBorders>
              <w:right w:val="single" w:sz="8" w:color="auto"/>
            </w:tcBorders>
            <w:vMerge w:val="continue"/>
          </w:tcPr>
          <w:p>
            <w:pPr>
              <w:spacing w:after="0"/>
              <w:rPr>
                <w:sz w:val="8"/>
                <w:szCs w:val="8"/>
                <w:color w:val="auto"/>
              </w:rPr>
            </w:pPr>
          </w:p>
        </w:tc>
        <w:tc>
          <w:tcPr>
            <w:tcW w:w="900" w:type="dxa"/>
            <w:vAlign w:val="bottom"/>
          </w:tcPr>
          <w:p>
            <w:pPr>
              <w:spacing w:after="0"/>
              <w:rPr>
                <w:sz w:val="8"/>
                <w:szCs w:val="8"/>
                <w:color w:val="auto"/>
              </w:rPr>
            </w:pPr>
          </w:p>
        </w:tc>
        <w:tc>
          <w:tcPr>
            <w:tcW w:w="820" w:type="dxa"/>
            <w:vAlign w:val="bottom"/>
          </w:tcPr>
          <w:p>
            <w:pPr>
              <w:spacing w:after="0"/>
              <w:rPr>
                <w:sz w:val="8"/>
                <w:szCs w:val="8"/>
                <w:color w:val="auto"/>
              </w:rPr>
            </w:pPr>
          </w:p>
        </w:tc>
        <w:tc>
          <w:tcPr>
            <w:tcW w:w="1080" w:type="dxa"/>
            <w:vAlign w:val="bottom"/>
          </w:tcPr>
          <w:p>
            <w:pPr>
              <w:spacing w:after="0"/>
              <w:rPr>
                <w:sz w:val="8"/>
                <w:szCs w:val="8"/>
                <w:color w:val="auto"/>
              </w:rPr>
            </w:pPr>
          </w:p>
        </w:tc>
        <w:tc>
          <w:tcPr>
            <w:tcW w:w="940" w:type="dxa"/>
            <w:vAlign w:val="bottom"/>
          </w:tcPr>
          <w:p>
            <w:pPr>
              <w:spacing w:after="0"/>
              <w:rPr>
                <w:sz w:val="8"/>
                <w:szCs w:val="8"/>
                <w:color w:val="auto"/>
              </w:rPr>
            </w:pPr>
          </w:p>
        </w:tc>
        <w:tc>
          <w:tcPr>
            <w:tcW w:w="58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197"/>
        </w:trPr>
        <w:tc>
          <w:tcPr>
            <w:tcW w:w="3960" w:type="dxa"/>
            <w:vAlign w:val="bottom"/>
            <w:tcBorders>
              <w:left w:val="single" w:sz="8" w:color="auto"/>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66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700" w:type="dxa"/>
            <w:vAlign w:val="bottom"/>
            <w:tcBorders>
              <w:right w:val="single" w:sz="8" w:color="auto"/>
            </w:tcBorders>
          </w:tcPr>
          <w:p>
            <w:pPr>
              <w:ind w:left="100"/>
              <w:spacing w:after="0"/>
              <w:rPr>
                <w:sz w:val="20"/>
                <w:szCs w:val="20"/>
                <w:color w:val="auto"/>
              </w:rPr>
            </w:pPr>
            <w:r>
              <w:rPr>
                <w:rFonts w:ascii="Calibri" w:cs="Calibri" w:eastAsia="Calibri" w:hAnsi="Calibri"/>
                <w:sz w:val="16"/>
                <w:szCs w:val="16"/>
                <w:b w:val="1"/>
                <w:bCs w:val="1"/>
                <w:color w:val="auto"/>
              </w:rPr>
              <w:t>land</w:t>
            </w:r>
          </w:p>
        </w:tc>
        <w:tc>
          <w:tcPr>
            <w:tcW w:w="70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CAR</w:t>
            </w:r>
          </w:p>
        </w:tc>
        <w:tc>
          <w:tcPr>
            <w:tcW w:w="900" w:type="dxa"/>
            <w:vAlign w:val="bottom"/>
          </w:tcPr>
          <w:p>
            <w:pPr>
              <w:spacing w:after="0"/>
              <w:rPr>
                <w:sz w:val="17"/>
                <w:szCs w:val="17"/>
                <w:color w:val="auto"/>
              </w:rPr>
            </w:pPr>
          </w:p>
        </w:tc>
        <w:tc>
          <w:tcPr>
            <w:tcW w:w="820" w:type="dxa"/>
            <w:vAlign w:val="bottom"/>
          </w:tcPr>
          <w:p>
            <w:pPr>
              <w:spacing w:after="0"/>
              <w:rPr>
                <w:sz w:val="17"/>
                <w:szCs w:val="17"/>
                <w:color w:val="auto"/>
              </w:rPr>
            </w:pPr>
          </w:p>
        </w:tc>
        <w:tc>
          <w:tcPr>
            <w:tcW w:w="1080" w:type="dxa"/>
            <w:vAlign w:val="bottom"/>
          </w:tcPr>
          <w:p>
            <w:pPr>
              <w:spacing w:after="0"/>
              <w:rPr>
                <w:sz w:val="17"/>
                <w:szCs w:val="17"/>
                <w:color w:val="auto"/>
              </w:rPr>
            </w:pPr>
          </w:p>
        </w:tc>
        <w:tc>
          <w:tcPr>
            <w:tcW w:w="940" w:type="dxa"/>
            <w:vAlign w:val="bottom"/>
          </w:tcPr>
          <w:p>
            <w:pPr>
              <w:spacing w:after="0"/>
              <w:rPr>
                <w:sz w:val="17"/>
                <w:szCs w:val="17"/>
                <w:color w:val="auto"/>
              </w:rPr>
            </w:pPr>
          </w:p>
        </w:tc>
        <w:tc>
          <w:tcPr>
            <w:tcW w:w="58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94"/>
        </w:trPr>
        <w:tc>
          <w:tcPr>
            <w:tcW w:w="3960" w:type="dxa"/>
            <w:vAlign w:val="bottom"/>
            <w:tcBorders>
              <w:left w:val="single" w:sz="8" w:color="auto"/>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66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spacing w:after="0"/>
              <w:rPr>
                <w:sz w:val="16"/>
                <w:szCs w:val="16"/>
                <w:color w:val="auto"/>
              </w:rPr>
            </w:pPr>
          </w:p>
        </w:tc>
        <w:tc>
          <w:tcPr>
            <w:tcW w:w="88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00" w:type="dxa"/>
            <w:vAlign w:val="bottom"/>
            <w:tcBorders>
              <w:right w:val="single" w:sz="8" w:color="auto"/>
            </w:tcBorders>
          </w:tcPr>
          <w:p>
            <w:pPr>
              <w:spacing w:after="0"/>
              <w:rPr>
                <w:sz w:val="16"/>
                <w:szCs w:val="16"/>
                <w:color w:val="auto"/>
              </w:rPr>
            </w:pPr>
          </w:p>
        </w:tc>
        <w:tc>
          <w:tcPr>
            <w:tcW w:w="740" w:type="dxa"/>
            <w:vAlign w:val="bottom"/>
            <w:tcBorders>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Reserve</w:t>
            </w:r>
          </w:p>
        </w:tc>
        <w:tc>
          <w:tcPr>
            <w:tcW w:w="900" w:type="dxa"/>
            <w:vAlign w:val="bottom"/>
          </w:tcPr>
          <w:p>
            <w:pPr>
              <w:spacing w:after="0"/>
              <w:rPr>
                <w:sz w:val="16"/>
                <w:szCs w:val="16"/>
                <w:color w:val="auto"/>
              </w:rPr>
            </w:pPr>
          </w:p>
        </w:tc>
        <w:tc>
          <w:tcPr>
            <w:tcW w:w="820" w:type="dxa"/>
            <w:vAlign w:val="bottom"/>
          </w:tcPr>
          <w:p>
            <w:pPr>
              <w:spacing w:after="0"/>
              <w:rPr>
                <w:sz w:val="16"/>
                <w:szCs w:val="16"/>
                <w:color w:val="auto"/>
              </w:rPr>
            </w:pPr>
          </w:p>
        </w:tc>
        <w:tc>
          <w:tcPr>
            <w:tcW w:w="1080" w:type="dxa"/>
            <w:vAlign w:val="bottom"/>
          </w:tcPr>
          <w:p>
            <w:pPr>
              <w:spacing w:after="0"/>
              <w:rPr>
                <w:sz w:val="16"/>
                <w:szCs w:val="16"/>
                <w:color w:val="auto"/>
              </w:rPr>
            </w:pPr>
          </w:p>
        </w:tc>
        <w:tc>
          <w:tcPr>
            <w:tcW w:w="940" w:type="dxa"/>
            <w:vAlign w:val="bottom"/>
          </w:tcPr>
          <w:p>
            <w:pPr>
              <w:spacing w:after="0"/>
              <w:rPr>
                <w:sz w:val="16"/>
                <w:szCs w:val="16"/>
                <w:color w:val="auto"/>
              </w:rPr>
            </w:pPr>
          </w:p>
        </w:tc>
        <w:tc>
          <w:tcPr>
            <w:tcW w:w="5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98"/>
        </w:trPr>
        <w:tc>
          <w:tcPr>
            <w:tcW w:w="3960" w:type="dxa"/>
            <w:vAlign w:val="bottom"/>
            <w:tcBorders>
              <w:left w:val="single" w:sz="8" w:color="auto"/>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660" w:type="dxa"/>
            <w:vAlign w:val="bottom"/>
            <w:tcBorders>
              <w:right w:val="single" w:sz="8" w:color="auto"/>
            </w:tcBorders>
          </w:tcPr>
          <w:p>
            <w:pPr>
              <w:spacing w:after="0"/>
              <w:rPr>
                <w:sz w:val="17"/>
                <w:szCs w:val="17"/>
                <w:color w:val="auto"/>
              </w:rPr>
            </w:pPr>
          </w:p>
        </w:tc>
        <w:tc>
          <w:tcPr>
            <w:tcW w:w="740" w:type="dxa"/>
            <w:vAlign w:val="bottom"/>
            <w:tcBorders>
              <w:right w:val="single" w:sz="8" w:color="auto"/>
            </w:tcBorders>
          </w:tcPr>
          <w:p>
            <w:pPr>
              <w:spacing w:after="0"/>
              <w:rPr>
                <w:sz w:val="17"/>
                <w:szCs w:val="17"/>
                <w:color w:val="auto"/>
              </w:rPr>
            </w:pPr>
          </w:p>
        </w:tc>
        <w:tc>
          <w:tcPr>
            <w:tcW w:w="880" w:type="dxa"/>
            <w:vAlign w:val="bottom"/>
            <w:tcBorders>
              <w:right w:val="single" w:sz="8" w:color="auto"/>
            </w:tcBorders>
          </w:tcPr>
          <w:p>
            <w:pPr>
              <w:spacing w:after="0"/>
              <w:rPr>
                <w:sz w:val="17"/>
                <w:szCs w:val="17"/>
                <w:color w:val="auto"/>
              </w:rPr>
            </w:pPr>
          </w:p>
        </w:tc>
        <w:tc>
          <w:tcPr>
            <w:tcW w:w="700" w:type="dxa"/>
            <w:vAlign w:val="bottom"/>
            <w:tcBorders>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ind w:left="80"/>
              <w:spacing w:after="0"/>
              <w:rPr>
                <w:sz w:val="20"/>
                <w:szCs w:val="20"/>
                <w:color w:val="auto"/>
              </w:rPr>
            </w:pPr>
            <w:r>
              <w:rPr>
                <w:rFonts w:ascii="Calibri" w:cs="Calibri" w:eastAsia="Calibri" w:hAnsi="Calibri"/>
                <w:sz w:val="16"/>
                <w:szCs w:val="16"/>
                <w:b w:val="1"/>
                <w:bCs w:val="1"/>
                <w:color w:val="auto"/>
              </w:rPr>
              <w:t>System</w:t>
            </w:r>
          </w:p>
        </w:tc>
        <w:tc>
          <w:tcPr>
            <w:tcW w:w="900" w:type="dxa"/>
            <w:vAlign w:val="bottom"/>
            <w:tcBorders>
              <w:bottom w:val="single" w:sz="8" w:color="auto"/>
            </w:tcBorders>
          </w:tcPr>
          <w:p>
            <w:pPr>
              <w:spacing w:after="0"/>
              <w:rPr>
                <w:sz w:val="17"/>
                <w:szCs w:val="17"/>
                <w:color w:val="auto"/>
              </w:rPr>
            </w:pPr>
          </w:p>
        </w:tc>
        <w:tc>
          <w:tcPr>
            <w:tcW w:w="820" w:type="dxa"/>
            <w:vAlign w:val="bottom"/>
            <w:tcBorders>
              <w:bottom w:val="single" w:sz="8" w:color="auto"/>
            </w:tcBorders>
          </w:tcPr>
          <w:p>
            <w:pPr>
              <w:spacing w:after="0"/>
              <w:rPr>
                <w:sz w:val="17"/>
                <w:szCs w:val="17"/>
                <w:color w:val="auto"/>
              </w:rPr>
            </w:pPr>
          </w:p>
        </w:tc>
        <w:tc>
          <w:tcPr>
            <w:tcW w:w="1080" w:type="dxa"/>
            <w:vAlign w:val="bottom"/>
            <w:tcBorders>
              <w:bottom w:val="single" w:sz="8" w:color="auto"/>
            </w:tcBorders>
          </w:tcPr>
          <w:p>
            <w:pPr>
              <w:spacing w:after="0"/>
              <w:rPr>
                <w:sz w:val="17"/>
                <w:szCs w:val="17"/>
                <w:color w:val="auto"/>
              </w:rPr>
            </w:pPr>
          </w:p>
        </w:tc>
        <w:tc>
          <w:tcPr>
            <w:tcW w:w="940" w:type="dxa"/>
            <w:vAlign w:val="bottom"/>
            <w:tcBorders>
              <w:bottom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19"/>
        </w:trPr>
        <w:tc>
          <w:tcPr>
            <w:tcW w:w="3960" w:type="dxa"/>
            <w:vAlign w:val="bottom"/>
            <w:tcBorders>
              <w:left w:val="single" w:sz="8" w:color="auto"/>
              <w:right w:val="single" w:sz="8" w:color="auto"/>
            </w:tcBorders>
          </w:tcPr>
          <w:p>
            <w:pPr>
              <w:spacing w:after="0"/>
              <w:rPr>
                <w:sz w:val="19"/>
                <w:szCs w:val="19"/>
                <w:color w:val="auto"/>
              </w:rPr>
            </w:pPr>
          </w:p>
        </w:tc>
        <w:tc>
          <w:tcPr>
            <w:tcW w:w="740" w:type="dxa"/>
            <w:vAlign w:val="bottom"/>
            <w:tcBorders>
              <w:right w:val="single" w:sz="8" w:color="auto"/>
            </w:tcBorders>
          </w:tcPr>
          <w:p>
            <w:pPr>
              <w:spacing w:after="0"/>
              <w:rPr>
                <w:sz w:val="19"/>
                <w:szCs w:val="19"/>
                <w:color w:val="auto"/>
              </w:rPr>
            </w:pPr>
          </w:p>
        </w:tc>
        <w:tc>
          <w:tcPr>
            <w:tcW w:w="660" w:type="dxa"/>
            <w:vAlign w:val="bottom"/>
            <w:tcBorders>
              <w:right w:val="single" w:sz="8" w:color="auto"/>
            </w:tcBorders>
          </w:tcPr>
          <w:p>
            <w:pPr>
              <w:spacing w:after="0"/>
              <w:rPr>
                <w:sz w:val="19"/>
                <w:szCs w:val="19"/>
                <w:color w:val="auto"/>
              </w:rPr>
            </w:pPr>
          </w:p>
        </w:tc>
        <w:tc>
          <w:tcPr>
            <w:tcW w:w="740" w:type="dxa"/>
            <w:vAlign w:val="bottom"/>
            <w:tcBorders>
              <w:right w:val="single" w:sz="8" w:color="auto"/>
            </w:tcBorders>
          </w:tcPr>
          <w:p>
            <w:pPr>
              <w:spacing w:after="0"/>
              <w:rPr>
                <w:sz w:val="19"/>
                <w:szCs w:val="19"/>
                <w:color w:val="auto"/>
              </w:rPr>
            </w:pPr>
          </w:p>
        </w:tc>
        <w:tc>
          <w:tcPr>
            <w:tcW w:w="88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700" w:type="dxa"/>
            <w:vAlign w:val="bottom"/>
            <w:tcBorders>
              <w:right w:val="single" w:sz="8" w:color="auto"/>
            </w:tcBorders>
          </w:tcPr>
          <w:p>
            <w:pPr>
              <w:spacing w:after="0"/>
              <w:rPr>
                <w:sz w:val="19"/>
                <w:szCs w:val="19"/>
                <w:color w:val="auto"/>
              </w:rPr>
            </w:pPr>
          </w:p>
        </w:tc>
        <w:tc>
          <w:tcPr>
            <w:tcW w:w="740" w:type="dxa"/>
            <w:vAlign w:val="bottom"/>
            <w:tcBorders>
              <w:right w:val="single" w:sz="8" w:color="auto"/>
            </w:tcBorders>
          </w:tcPr>
          <w:p>
            <w:pPr>
              <w:spacing w:after="0"/>
              <w:rPr>
                <w:sz w:val="19"/>
                <w:szCs w:val="19"/>
                <w:color w:val="auto"/>
              </w:rPr>
            </w:pPr>
          </w:p>
        </w:tc>
        <w:tc>
          <w:tcPr>
            <w:tcW w:w="900" w:type="dxa"/>
            <w:vAlign w:val="bottom"/>
            <w:tcBorders>
              <w:right w:val="single" w:sz="8" w:color="auto"/>
            </w:tcBorders>
          </w:tcPr>
          <w:p>
            <w:pPr>
              <w:jc w:val="right"/>
              <w:ind w:right="60"/>
              <w:spacing w:after="0" w:line="183" w:lineRule="exact"/>
              <w:rPr>
                <w:sz w:val="20"/>
                <w:szCs w:val="20"/>
                <w:color w:val="auto"/>
              </w:rPr>
            </w:pPr>
            <w:r>
              <w:rPr>
                <w:rFonts w:ascii="Calibri" w:cs="Calibri" w:eastAsia="Calibri" w:hAnsi="Calibri"/>
                <w:sz w:val="16"/>
                <w:szCs w:val="16"/>
                <w:b w:val="1"/>
                <w:bCs w:val="1"/>
                <w:color w:val="auto"/>
              </w:rPr>
              <w:t>Dedicated</w:t>
            </w:r>
          </w:p>
        </w:tc>
        <w:tc>
          <w:tcPr>
            <w:tcW w:w="820" w:type="dxa"/>
            <w:vAlign w:val="bottom"/>
            <w:tcBorders>
              <w:right w:val="single" w:sz="8" w:color="auto"/>
            </w:tcBorders>
          </w:tcPr>
          <w:p>
            <w:pPr>
              <w:jc w:val="right"/>
              <w:ind w:right="40"/>
              <w:spacing w:after="0" w:line="218" w:lineRule="exact"/>
              <w:rPr>
                <w:sz w:val="20"/>
                <w:szCs w:val="20"/>
                <w:color w:val="auto"/>
              </w:rPr>
            </w:pPr>
            <w:r>
              <w:rPr>
                <w:rFonts w:ascii="Calibri" w:cs="Calibri" w:eastAsia="Calibri" w:hAnsi="Calibri"/>
                <w:sz w:val="16"/>
                <w:szCs w:val="16"/>
                <w:b w:val="1"/>
                <w:bCs w:val="1"/>
                <w:color w:val="auto"/>
              </w:rPr>
              <w:t>Informal</w:t>
            </w:r>
            <w:r>
              <w:rPr>
                <w:rFonts w:ascii="Calibri" w:cs="Calibri" w:eastAsia="Calibri" w:hAnsi="Calibri"/>
                <w:sz w:val="20"/>
                <w:szCs w:val="20"/>
                <w:b w:val="1"/>
                <w:bCs w:val="1"/>
                <w:color w:val="auto"/>
                <w:vertAlign w:val="superscript"/>
              </w:rPr>
              <w:t>c</w:t>
            </w:r>
          </w:p>
        </w:tc>
        <w:tc>
          <w:tcPr>
            <w:tcW w:w="1080" w:type="dxa"/>
            <w:vAlign w:val="bottom"/>
            <w:tcBorders>
              <w:right w:val="single" w:sz="8" w:color="auto"/>
            </w:tcBorders>
          </w:tcPr>
          <w:p>
            <w:pPr>
              <w:jc w:val="right"/>
              <w:ind w:right="40"/>
              <w:spacing w:after="0" w:line="218" w:lineRule="exact"/>
              <w:rPr>
                <w:sz w:val="20"/>
                <w:szCs w:val="20"/>
                <w:color w:val="auto"/>
              </w:rPr>
            </w:pPr>
            <w:r>
              <w:rPr>
                <w:rFonts w:ascii="Calibri" w:cs="Calibri" w:eastAsia="Calibri" w:hAnsi="Calibri"/>
                <w:sz w:val="16"/>
                <w:szCs w:val="16"/>
                <w:b w:val="1"/>
                <w:bCs w:val="1"/>
                <w:color w:val="auto"/>
              </w:rPr>
              <w:t>Prescription</w:t>
            </w:r>
            <w:r>
              <w:rPr>
                <w:rFonts w:ascii="Calibri" w:cs="Calibri" w:eastAsia="Calibri" w:hAnsi="Calibri"/>
                <w:sz w:val="20"/>
                <w:szCs w:val="20"/>
                <w:b w:val="1"/>
                <w:bCs w:val="1"/>
                <w:color w:val="auto"/>
                <w:vertAlign w:val="superscript"/>
              </w:rPr>
              <w:t>d</w:t>
            </w:r>
          </w:p>
        </w:tc>
        <w:tc>
          <w:tcPr>
            <w:tcW w:w="9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b w:val="1"/>
                <w:bCs w:val="1"/>
                <w:color w:val="auto"/>
              </w:rPr>
              <w:t>Private</w:t>
            </w:r>
          </w:p>
        </w:tc>
        <w:tc>
          <w:tcPr>
            <w:tcW w:w="580" w:type="dxa"/>
            <w:vAlign w:val="bottom"/>
            <w:tcBorders>
              <w:right w:val="single" w:sz="8" w:color="auto"/>
            </w:tcBorders>
          </w:tcPr>
          <w:p>
            <w:pPr>
              <w:jc w:val="right"/>
              <w:ind w:right="60"/>
              <w:spacing w:after="0" w:line="183" w:lineRule="exact"/>
              <w:rPr>
                <w:sz w:val="20"/>
                <w:szCs w:val="20"/>
                <w:color w:val="auto"/>
              </w:rPr>
            </w:pPr>
            <w:r>
              <w:rPr>
                <w:rFonts w:ascii="Calibri" w:cs="Calibri" w:eastAsia="Calibri" w:hAnsi="Calibri"/>
                <w:sz w:val="16"/>
                <w:szCs w:val="16"/>
                <w:b w:val="1"/>
                <w:bCs w:val="1"/>
                <w:color w:val="auto"/>
              </w:rPr>
              <w:t>Total</w:t>
            </w:r>
          </w:p>
        </w:tc>
        <w:tc>
          <w:tcPr>
            <w:tcW w:w="0" w:type="dxa"/>
            <w:vAlign w:val="bottom"/>
          </w:tcPr>
          <w:p>
            <w:pPr>
              <w:spacing w:after="0"/>
              <w:rPr>
                <w:sz w:val="1"/>
                <w:szCs w:val="1"/>
                <w:color w:val="auto"/>
              </w:rPr>
            </w:pPr>
          </w:p>
        </w:tc>
      </w:tr>
      <w:tr>
        <w:trPr>
          <w:trHeight w:val="161"/>
        </w:trPr>
        <w:tc>
          <w:tcPr>
            <w:tcW w:w="3960" w:type="dxa"/>
            <w:vAlign w:val="bottom"/>
            <w:tcBorders>
              <w:left w:val="single" w:sz="8" w:color="auto"/>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66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88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00" w:type="dxa"/>
            <w:vAlign w:val="bottom"/>
            <w:tcBorders>
              <w:right w:val="single" w:sz="8" w:color="auto"/>
            </w:tcBorders>
          </w:tcPr>
          <w:p>
            <w:pPr>
              <w:spacing w:after="0"/>
              <w:rPr>
                <w:sz w:val="13"/>
                <w:szCs w:val="13"/>
                <w:color w:val="auto"/>
              </w:rPr>
            </w:pPr>
          </w:p>
        </w:tc>
        <w:tc>
          <w:tcPr>
            <w:tcW w:w="740" w:type="dxa"/>
            <w:vAlign w:val="bottom"/>
            <w:tcBorders>
              <w:right w:val="single" w:sz="8" w:color="auto"/>
            </w:tcBorders>
          </w:tcPr>
          <w:p>
            <w:pPr>
              <w:spacing w:after="0"/>
              <w:rPr>
                <w:sz w:val="13"/>
                <w:szCs w:val="13"/>
                <w:color w:val="auto"/>
              </w:rPr>
            </w:pPr>
          </w:p>
        </w:tc>
        <w:tc>
          <w:tcPr>
            <w:tcW w:w="900" w:type="dxa"/>
            <w:vAlign w:val="bottom"/>
            <w:tcBorders>
              <w:right w:val="single" w:sz="8" w:color="auto"/>
            </w:tcBorders>
          </w:tcPr>
          <w:p>
            <w:pPr>
              <w:spacing w:after="0"/>
              <w:rPr>
                <w:sz w:val="13"/>
                <w:szCs w:val="13"/>
                <w:color w:val="auto"/>
              </w:rPr>
            </w:pPr>
          </w:p>
        </w:tc>
        <w:tc>
          <w:tcPr>
            <w:tcW w:w="820" w:type="dxa"/>
            <w:vAlign w:val="bottom"/>
            <w:tcBorders>
              <w:right w:val="single" w:sz="8" w:color="auto"/>
            </w:tcBorders>
          </w:tcPr>
          <w:p>
            <w:pPr>
              <w:spacing w:after="0"/>
              <w:rPr>
                <w:sz w:val="13"/>
                <w:szCs w:val="13"/>
                <w:color w:val="auto"/>
              </w:rPr>
            </w:pPr>
          </w:p>
        </w:tc>
        <w:tc>
          <w:tcPr>
            <w:tcW w:w="1080" w:type="dxa"/>
            <w:vAlign w:val="bottom"/>
            <w:tcBorders>
              <w:right w:val="single" w:sz="8" w:color="auto"/>
            </w:tcBorders>
          </w:tcPr>
          <w:p>
            <w:pPr>
              <w:spacing w:after="0"/>
              <w:rPr>
                <w:sz w:val="13"/>
                <w:szCs w:val="13"/>
                <w:color w:val="auto"/>
              </w:rPr>
            </w:pPr>
          </w:p>
        </w:tc>
        <w:tc>
          <w:tcPr>
            <w:tcW w:w="940" w:type="dxa"/>
            <w:vAlign w:val="bottom"/>
            <w:tcBorders>
              <w:right w:val="single" w:sz="8" w:color="auto"/>
            </w:tcBorders>
          </w:tcPr>
          <w:p>
            <w:pPr>
              <w:ind w:left="80"/>
              <w:spacing w:after="0" w:line="161" w:lineRule="exact"/>
              <w:rPr>
                <w:sz w:val="20"/>
                <w:szCs w:val="20"/>
                <w:color w:val="auto"/>
              </w:rPr>
            </w:pPr>
            <w:r>
              <w:rPr>
                <w:rFonts w:ascii="Calibri" w:cs="Calibri" w:eastAsia="Calibri" w:hAnsi="Calibri"/>
                <w:sz w:val="16"/>
                <w:szCs w:val="16"/>
                <w:b w:val="1"/>
                <w:bCs w:val="1"/>
                <w:color w:val="auto"/>
              </w:rPr>
              <w:t>land</w:t>
            </w:r>
          </w:p>
        </w:tc>
        <w:tc>
          <w:tcPr>
            <w:tcW w:w="5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41"/>
        </w:trPr>
        <w:tc>
          <w:tcPr>
            <w:tcW w:w="3960" w:type="dxa"/>
            <w:vAlign w:val="bottom"/>
            <w:tcBorders>
              <w:left w:val="single" w:sz="8" w:color="auto"/>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66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88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700" w:type="dxa"/>
            <w:vAlign w:val="bottom"/>
            <w:tcBorders>
              <w:right w:val="single" w:sz="8" w:color="auto"/>
            </w:tcBorders>
          </w:tcPr>
          <w:p>
            <w:pPr>
              <w:spacing w:after="0"/>
              <w:rPr>
                <w:sz w:val="20"/>
                <w:szCs w:val="20"/>
                <w:color w:val="auto"/>
              </w:rPr>
            </w:pPr>
          </w:p>
        </w:tc>
        <w:tc>
          <w:tcPr>
            <w:tcW w:w="740" w:type="dxa"/>
            <w:vAlign w:val="bottom"/>
            <w:tcBorders>
              <w:right w:val="single" w:sz="8" w:color="auto"/>
            </w:tcBorders>
          </w:tcPr>
          <w:p>
            <w:pPr>
              <w:spacing w:after="0"/>
              <w:rPr>
                <w:sz w:val="20"/>
                <w:szCs w:val="20"/>
                <w:color w:val="auto"/>
              </w:rPr>
            </w:pPr>
          </w:p>
        </w:tc>
        <w:tc>
          <w:tcPr>
            <w:tcW w:w="900" w:type="dxa"/>
            <w:vAlign w:val="bottom"/>
            <w:tcBorders>
              <w:right w:val="single" w:sz="8" w:color="auto"/>
            </w:tcBorders>
          </w:tcPr>
          <w:p>
            <w:pPr>
              <w:spacing w:after="0"/>
              <w:rPr>
                <w:sz w:val="20"/>
                <w:szCs w:val="20"/>
                <w:color w:val="auto"/>
              </w:rPr>
            </w:pPr>
          </w:p>
        </w:tc>
        <w:tc>
          <w:tcPr>
            <w:tcW w:w="820" w:type="dxa"/>
            <w:vAlign w:val="bottom"/>
            <w:tcBorders>
              <w:right w:val="single" w:sz="8" w:color="auto"/>
            </w:tcBorders>
          </w:tcPr>
          <w:p>
            <w:pPr>
              <w:spacing w:after="0"/>
              <w:rPr>
                <w:sz w:val="20"/>
                <w:szCs w:val="20"/>
                <w:color w:val="auto"/>
              </w:rPr>
            </w:pPr>
          </w:p>
        </w:tc>
        <w:tc>
          <w:tcPr>
            <w:tcW w:w="1080" w:type="dxa"/>
            <w:vAlign w:val="bottom"/>
            <w:tcBorders>
              <w:right w:val="single" w:sz="8" w:color="auto"/>
            </w:tcBorders>
          </w:tcPr>
          <w:p>
            <w:pPr>
              <w:spacing w:after="0"/>
              <w:rPr>
                <w:sz w:val="20"/>
                <w:szCs w:val="20"/>
                <w:color w:val="auto"/>
              </w:rPr>
            </w:pPr>
          </w:p>
        </w:tc>
        <w:tc>
          <w:tcPr>
            <w:tcW w:w="940" w:type="dxa"/>
            <w:vAlign w:val="bottom"/>
            <w:tcBorders>
              <w:right w:val="single" w:sz="8" w:color="auto"/>
            </w:tcBorders>
          </w:tcPr>
          <w:p>
            <w:pPr>
              <w:jc w:val="right"/>
              <w:ind w:right="40"/>
              <w:spacing w:after="0" w:line="242" w:lineRule="exact"/>
              <w:rPr>
                <w:sz w:val="20"/>
                <w:szCs w:val="20"/>
                <w:color w:val="auto"/>
              </w:rPr>
            </w:pPr>
            <w:r>
              <w:rPr>
                <w:rFonts w:ascii="Calibri" w:cs="Calibri" w:eastAsia="Calibri" w:hAnsi="Calibri"/>
                <w:sz w:val="16"/>
                <w:szCs w:val="16"/>
                <w:b w:val="1"/>
                <w:bCs w:val="1"/>
                <w:color w:val="auto"/>
              </w:rPr>
              <w:t>covenants</w:t>
            </w:r>
            <w:r>
              <w:rPr>
                <w:rFonts w:ascii="Calibri" w:cs="Calibri" w:eastAsia="Calibri" w:hAnsi="Calibri"/>
                <w:sz w:val="20"/>
                <w:szCs w:val="20"/>
                <w:b w:val="1"/>
                <w:bCs w:val="1"/>
                <w:color w:val="auto"/>
                <w:vertAlign w:val="superscript"/>
              </w:rPr>
              <w:t>e</w:t>
            </w:r>
          </w:p>
        </w:tc>
        <w:tc>
          <w:tcPr>
            <w:tcW w:w="580" w:type="dxa"/>
            <w:vAlign w:val="bottom"/>
            <w:tcBorders>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03"/>
        </w:trPr>
        <w:tc>
          <w:tcPr>
            <w:tcW w:w="3960" w:type="dxa"/>
            <w:vAlign w:val="bottom"/>
            <w:tcBorders>
              <w:left w:val="single" w:sz="8" w:color="auto"/>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66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88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700" w:type="dxa"/>
            <w:vAlign w:val="bottom"/>
            <w:tcBorders>
              <w:bottom w:val="single" w:sz="8" w:color="auto"/>
              <w:right w:val="single" w:sz="8" w:color="auto"/>
            </w:tcBorders>
          </w:tcPr>
          <w:p>
            <w:pPr>
              <w:spacing w:after="0"/>
              <w:rPr>
                <w:sz w:val="17"/>
                <w:szCs w:val="17"/>
                <w:color w:val="auto"/>
              </w:rPr>
            </w:pPr>
          </w:p>
        </w:tc>
        <w:tc>
          <w:tcPr>
            <w:tcW w:w="740" w:type="dxa"/>
            <w:vAlign w:val="bottom"/>
            <w:tcBorders>
              <w:bottom w:val="single" w:sz="8" w:color="auto"/>
              <w:right w:val="single" w:sz="8" w:color="auto"/>
            </w:tcBorders>
          </w:tcPr>
          <w:p>
            <w:pPr>
              <w:spacing w:after="0"/>
              <w:rPr>
                <w:sz w:val="17"/>
                <w:szCs w:val="17"/>
                <w:color w:val="auto"/>
              </w:rPr>
            </w:pPr>
          </w:p>
        </w:tc>
        <w:tc>
          <w:tcPr>
            <w:tcW w:w="900" w:type="dxa"/>
            <w:vAlign w:val="bottom"/>
            <w:tcBorders>
              <w:bottom w:val="single" w:sz="8" w:color="auto"/>
              <w:right w:val="single" w:sz="8" w:color="auto"/>
            </w:tcBorders>
          </w:tcPr>
          <w:p>
            <w:pPr>
              <w:spacing w:after="0"/>
              <w:rPr>
                <w:sz w:val="17"/>
                <w:szCs w:val="17"/>
                <w:color w:val="auto"/>
              </w:rPr>
            </w:pPr>
          </w:p>
        </w:tc>
        <w:tc>
          <w:tcPr>
            <w:tcW w:w="82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940" w:type="dxa"/>
            <w:vAlign w:val="bottom"/>
            <w:tcBorders>
              <w:bottom w:val="single" w:sz="8" w:color="auto"/>
              <w:right w:val="single" w:sz="8" w:color="auto"/>
            </w:tcBorders>
          </w:tcPr>
          <w:p>
            <w:pPr>
              <w:spacing w:after="0"/>
              <w:rPr>
                <w:sz w:val="17"/>
                <w:szCs w:val="17"/>
                <w:color w:val="auto"/>
              </w:rPr>
            </w:pPr>
          </w:p>
        </w:tc>
        <w:tc>
          <w:tcPr>
            <w:tcW w:w="58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Crag Complex</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1,000</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15</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93%</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Fen</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171</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100%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Alpine Grassy Heathland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266</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266</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98%</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97%</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98%</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Bare Rock/Ground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993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23</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25%</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39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Blackthorn Scrub*</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27</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330</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317</w:t>
            </w:r>
          </w:p>
        </w:tc>
        <w:tc>
          <w:tcPr>
            <w:tcW w:w="8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96%</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38%</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E</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59%</w:t>
            </w:r>
          </w:p>
        </w:tc>
        <w:tc>
          <w:tcPr>
            <w:tcW w:w="90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62%</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62%</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Clay Heathland*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39</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48%</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38%</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14%</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52%</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Escarpment Shrubland*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895</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625</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443</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Grey Clay Drainage-line Aggregate</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501</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212</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74%</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11%</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26%</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26%</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Montane Riparian Thicket*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41</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2,561</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2,520</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98%</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72%</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36%</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25%</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73%</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Plains Grassland*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8,260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1,866</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13%</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39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Plains Grassy Wetland*</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125</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186</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56</w:t>
            </w:r>
          </w:p>
        </w:tc>
        <w:tc>
          <w:tcPr>
            <w:tcW w:w="8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w:t>
            </w:r>
          </w:p>
        </w:tc>
        <w:tc>
          <w:tcPr>
            <w:tcW w:w="90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2%</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Scrub*</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191</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190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63</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Riparian Thicket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59</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1,626</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1,249</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77%</w:t>
            </w:r>
          </w:p>
        </w:tc>
        <w:tc>
          <w:tcPr>
            <w:tcW w:w="700" w:type="dxa"/>
            <w:vAlign w:val="bottom"/>
            <w:tcBorders>
              <w:right w:val="single" w:sz="8" w:color="auto"/>
            </w:tcBorders>
          </w:tcPr>
          <w:p>
            <w:pPr>
              <w:ind w:left="200"/>
              <w:spacing w:after="0" w:line="181" w:lineRule="exact"/>
              <w:rPr>
                <w:sz w:val="20"/>
                <w:szCs w:val="20"/>
                <w:color w:val="auto"/>
              </w:rPr>
            </w:pPr>
            <w:r>
              <w:rPr>
                <w:rFonts w:ascii="Calibri" w:cs="Calibri" w:eastAsia="Calibri" w:hAnsi="Calibri"/>
                <w:sz w:val="16"/>
                <w:szCs w:val="16"/>
                <w:color w:val="auto"/>
              </w:rPr>
              <w:t>53%</w:t>
            </w:r>
          </w:p>
        </w:tc>
        <w:tc>
          <w:tcPr>
            <w:tcW w:w="700" w:type="dxa"/>
            <w:vAlign w:val="bottom"/>
            <w:tcBorders>
              <w:right w:val="single" w:sz="8" w:color="auto"/>
            </w:tcBorders>
          </w:tcPr>
          <w:p>
            <w:pPr>
              <w:ind w:left="320"/>
              <w:spacing w:after="0" w:line="181" w:lineRule="exact"/>
              <w:rPr>
                <w:sz w:val="20"/>
                <w:szCs w:val="20"/>
                <w:color w:val="auto"/>
              </w:rPr>
            </w:pPr>
            <w:r>
              <w:rPr>
                <w:rFonts w:ascii="Calibri" w:cs="Calibri" w:eastAsia="Calibri" w:hAnsi="Calibri"/>
                <w:sz w:val="16"/>
                <w:szCs w:val="16"/>
                <w:b w:val="1"/>
                <w:bCs w:val="1"/>
                <w:color w:val="auto"/>
              </w:rPr>
              <w:t>-</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31%</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32%</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40%</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Riverine Escarpment Scrub*</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82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32</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27%</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56%</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73%</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73%</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Riparian Shrubland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208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7</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100%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Shrubland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174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174</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97%</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3%</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39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Sub-alpine Treeless Vegetation</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44</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247</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247</w:t>
            </w:r>
          </w:p>
        </w:tc>
        <w:tc>
          <w:tcPr>
            <w:tcW w:w="8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1%</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67%</w:t>
            </w:r>
          </w:p>
        </w:tc>
        <w:tc>
          <w:tcPr>
            <w:tcW w:w="90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3%</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51%</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12%</w:t>
            </w:r>
          </w:p>
        </w:tc>
        <w:tc>
          <w:tcPr>
            <w:tcW w:w="9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67%</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Sub-alpine Wet Heathland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210</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214</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214</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96%</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94%</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96%</w:t>
            </w:r>
          </w:p>
        </w:tc>
        <w:tc>
          <w:tcPr>
            <w:tcW w:w="0" w:type="dxa"/>
            <w:vAlign w:val="bottom"/>
          </w:tcPr>
          <w:p>
            <w:pPr>
              <w:spacing w:after="0"/>
              <w:rPr>
                <w:sz w:val="1"/>
                <w:szCs w:val="1"/>
                <w:color w:val="auto"/>
              </w:rPr>
            </w:pP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59</w:t>
      </w:r>
    </w:p>
    <w:p>
      <w:pPr>
        <w:sectPr>
          <w:pgSz w:w="16840" w:h="11906" w:orient="landscape"/>
          <w:cols w:equalWidth="0" w:num="1">
            <w:col w:w="13960"/>
          </w:cols>
          <w:pgMar w:left="1440" w:top="1440" w:right="1438" w:bottom="149" w:gutter="0" w:footer="0" w:header="0"/>
        </w:sectPr>
      </w:pPr>
    </w:p>
    <w:bookmarkStart w:id="59" w:name="page60"/>
    <w:bookmarkEnd w:id="59"/>
    <w:tbl>
      <w:tblPr>
        <w:tblLayout w:type="fixed"/>
        <w:tblInd w:w="10" w:type="dxa"/>
        <w:tblCellMar>
          <w:top w:w="0" w:type="dxa"/>
          <w:left w:w="0" w:type="dxa"/>
          <w:bottom w:w="0" w:type="dxa"/>
          <w:right w:w="0" w:type="dxa"/>
        </w:tblCellMar>
      </w:tblPr>
      <w:tr>
        <w:trPr>
          <w:trHeight w:val="201"/>
        </w:trPr>
        <w:tc>
          <w:tcPr>
            <w:tcW w:w="3960" w:type="dxa"/>
            <w:vAlign w:val="bottom"/>
            <w:tcBorders>
              <w:top w:val="single" w:sz="8" w:color="auto"/>
              <w:left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Sub-alpine Wet Heathland/Alpine Valley Peatland Mosaic</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211</w:t>
            </w:r>
          </w:p>
        </w:tc>
        <w:tc>
          <w:tcPr>
            <w:tcW w:w="66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363</w:t>
            </w:r>
          </w:p>
        </w:tc>
        <w:tc>
          <w:tcPr>
            <w:tcW w:w="74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363</w:t>
            </w:r>
          </w:p>
        </w:tc>
        <w:tc>
          <w:tcPr>
            <w:tcW w:w="8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100%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0%</w:t>
            </w:r>
          </w:p>
        </w:tc>
        <w:tc>
          <w:tcPr>
            <w:tcW w:w="700" w:type="dxa"/>
            <w:vAlign w:val="bottom"/>
            <w:tcBorders>
              <w:top w:val="single" w:sz="8" w:color="auto"/>
              <w:right w:val="single" w:sz="8" w:color="auto"/>
            </w:tcBorders>
          </w:tcPr>
          <w:p>
            <w:pPr>
              <w:ind w:left="100"/>
              <w:spacing w:after="0"/>
              <w:rPr>
                <w:sz w:val="20"/>
                <w:szCs w:val="20"/>
                <w:color w:val="auto"/>
              </w:rPr>
            </w:pPr>
            <w:r>
              <w:rPr>
                <w:rFonts w:ascii="Calibri" w:cs="Calibri" w:eastAsia="Calibri" w:hAnsi="Calibri"/>
                <w:sz w:val="16"/>
                <w:szCs w:val="16"/>
                <w:color w:val="auto"/>
              </w:rPr>
              <w:t>N/A</w:t>
            </w:r>
          </w:p>
        </w:tc>
        <w:tc>
          <w:tcPr>
            <w:tcW w:w="7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97%</w:t>
            </w:r>
          </w:p>
        </w:tc>
        <w:tc>
          <w:tcPr>
            <w:tcW w:w="900" w:type="dxa"/>
            <w:vAlign w:val="bottom"/>
            <w:tcBorders>
              <w:top w:val="single" w:sz="8" w:color="auto"/>
              <w:right w:val="single" w:sz="8" w:color="auto"/>
            </w:tcBorders>
          </w:tcPr>
          <w:p>
            <w:pPr>
              <w:jc w:val="right"/>
              <w:ind w:right="60"/>
              <w:spacing w:after="0"/>
              <w:rPr>
                <w:sz w:val="20"/>
                <w:szCs w:val="20"/>
                <w:color w:val="auto"/>
              </w:rPr>
            </w:pPr>
            <w:r>
              <w:rPr>
                <w:rFonts w:ascii="Calibri" w:cs="Calibri" w:eastAsia="Calibri" w:hAnsi="Calibri"/>
                <w:sz w:val="16"/>
                <w:szCs w:val="16"/>
                <w:color w:val="auto"/>
              </w:rPr>
              <w:t>94%</w:t>
            </w:r>
          </w:p>
        </w:tc>
        <w:tc>
          <w:tcPr>
            <w:tcW w:w="82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3%</w:t>
            </w:r>
          </w:p>
        </w:tc>
        <w:tc>
          <w:tcPr>
            <w:tcW w:w="10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0%</w:t>
            </w:r>
          </w:p>
        </w:tc>
        <w:tc>
          <w:tcPr>
            <w:tcW w:w="94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0%</w:t>
            </w:r>
          </w:p>
        </w:tc>
        <w:tc>
          <w:tcPr>
            <w:tcW w:w="580" w:type="dxa"/>
            <w:vAlign w:val="bottom"/>
            <w:tcBorders>
              <w:top w:val="single" w:sz="8" w:color="auto"/>
              <w:right w:val="single" w:sz="8" w:color="auto"/>
            </w:tcBorders>
          </w:tcPr>
          <w:p>
            <w:pPr>
              <w:jc w:val="right"/>
              <w:ind w:right="40"/>
              <w:spacing w:after="0"/>
              <w:rPr>
                <w:sz w:val="20"/>
                <w:szCs w:val="20"/>
                <w:color w:val="auto"/>
              </w:rPr>
            </w:pPr>
            <w:r>
              <w:rPr>
                <w:rFonts w:ascii="Calibri" w:cs="Calibri" w:eastAsia="Calibri" w:hAnsi="Calibri"/>
                <w:sz w:val="16"/>
                <w:szCs w:val="16"/>
                <w:color w:val="auto"/>
              </w:rPr>
              <w:t>97%</w:t>
            </w: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Swamp Scrub*</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53</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5,527</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855</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91%</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V</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2%</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2%</w:t>
            </w: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r>
      <w:tr>
        <w:trPr>
          <w:trHeight w:val="183"/>
        </w:trPr>
        <w:tc>
          <w:tcPr>
            <w:tcW w:w="396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Swampy Riparian Complex</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126</w:t>
            </w:r>
          </w:p>
        </w:tc>
        <w:tc>
          <w:tcPr>
            <w:tcW w:w="66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39,779</w:t>
            </w:r>
          </w:p>
        </w:tc>
        <w:tc>
          <w:tcPr>
            <w:tcW w:w="74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11,664</w:t>
            </w:r>
          </w:p>
        </w:tc>
        <w:tc>
          <w:tcPr>
            <w:tcW w:w="8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29%</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94%</w:t>
            </w:r>
          </w:p>
        </w:tc>
        <w:tc>
          <w:tcPr>
            <w:tcW w:w="70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1%</w:t>
            </w:r>
          </w:p>
        </w:tc>
        <w:tc>
          <w:tcPr>
            <w:tcW w:w="900" w:type="dxa"/>
            <w:vAlign w:val="bottom"/>
            <w:tcBorders>
              <w:right w:val="single" w:sz="8" w:color="auto"/>
            </w:tcBorders>
          </w:tcPr>
          <w:p>
            <w:pPr>
              <w:jc w:val="right"/>
              <w:ind w:right="60"/>
              <w:spacing w:after="0" w:line="184" w:lineRule="exact"/>
              <w:rPr>
                <w:sz w:val="20"/>
                <w:szCs w:val="20"/>
                <w:color w:val="auto"/>
              </w:rPr>
            </w:pPr>
            <w:r>
              <w:rPr>
                <w:rFonts w:ascii="Calibri" w:cs="Calibri" w:eastAsia="Calibri" w:hAnsi="Calibri"/>
                <w:sz w:val="16"/>
                <w:szCs w:val="16"/>
                <w:color w:val="auto"/>
              </w:rPr>
              <w:t>3%</w:t>
            </w:r>
          </w:p>
        </w:tc>
        <w:tc>
          <w:tcPr>
            <w:tcW w:w="82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4" w:lineRule="exact"/>
              <w:rPr>
                <w:sz w:val="20"/>
                <w:szCs w:val="20"/>
                <w:color w:val="auto"/>
              </w:rPr>
            </w:pPr>
            <w:r>
              <w:rPr>
                <w:rFonts w:ascii="Calibri" w:cs="Calibri" w:eastAsia="Calibri" w:hAnsi="Calibri"/>
                <w:sz w:val="16"/>
                <w:szCs w:val="16"/>
                <w:color w:val="auto"/>
              </w:rPr>
              <w:t>3%</w:t>
            </w: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heathland/Riparian scrub mosaic</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768</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5,750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4,024</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29%</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N/A</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47%</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67%</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67%</w:t>
            </w: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 Verge Sedgeland*</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932</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130</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17</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13%</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95%</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E</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r>
      <w:tr>
        <w:trPr>
          <w:trHeight w:val="181"/>
        </w:trPr>
        <w:tc>
          <w:tcPr>
            <w:tcW w:w="396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Wetland Formation*</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74</w:t>
            </w:r>
          </w:p>
        </w:tc>
        <w:tc>
          <w:tcPr>
            <w:tcW w:w="66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12</w:t>
            </w:r>
          </w:p>
        </w:tc>
        <w:tc>
          <w:tcPr>
            <w:tcW w:w="74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6</w:t>
            </w:r>
          </w:p>
        </w:tc>
        <w:tc>
          <w:tcPr>
            <w:tcW w:w="8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50%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70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R</w:t>
            </w:r>
          </w:p>
        </w:tc>
        <w:tc>
          <w:tcPr>
            <w:tcW w:w="7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00" w:type="dxa"/>
            <w:vAlign w:val="bottom"/>
            <w:tcBorders>
              <w:right w:val="single" w:sz="8" w:color="auto"/>
            </w:tcBorders>
          </w:tcPr>
          <w:p>
            <w:pPr>
              <w:jc w:val="right"/>
              <w:ind w:right="60"/>
              <w:spacing w:after="0" w:line="181" w:lineRule="exact"/>
              <w:rPr>
                <w:sz w:val="20"/>
                <w:szCs w:val="20"/>
                <w:color w:val="auto"/>
              </w:rPr>
            </w:pPr>
            <w:r>
              <w:rPr>
                <w:rFonts w:ascii="Calibri" w:cs="Calibri" w:eastAsia="Calibri" w:hAnsi="Calibri"/>
                <w:sz w:val="16"/>
                <w:szCs w:val="16"/>
                <w:color w:val="auto"/>
              </w:rPr>
              <w:t>0%</w:t>
            </w:r>
          </w:p>
        </w:tc>
        <w:tc>
          <w:tcPr>
            <w:tcW w:w="82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94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c>
          <w:tcPr>
            <w:tcW w:w="580" w:type="dxa"/>
            <w:vAlign w:val="bottom"/>
            <w:tcBorders>
              <w:right w:val="single" w:sz="8" w:color="auto"/>
            </w:tcBorders>
          </w:tcPr>
          <w:p>
            <w:pPr>
              <w:jc w:val="right"/>
              <w:ind w:right="40"/>
              <w:spacing w:after="0" w:line="181" w:lineRule="exact"/>
              <w:rPr>
                <w:sz w:val="20"/>
                <w:szCs w:val="20"/>
                <w:color w:val="auto"/>
              </w:rPr>
            </w:pPr>
            <w:r>
              <w:rPr>
                <w:rFonts w:ascii="Calibri" w:cs="Calibri" w:eastAsia="Calibri" w:hAnsi="Calibri"/>
                <w:sz w:val="16"/>
                <w:szCs w:val="16"/>
                <w:color w:val="auto"/>
              </w:rPr>
              <w:t>0%</w:t>
            </w:r>
          </w:p>
        </w:tc>
      </w:tr>
      <w:tr>
        <w:trPr>
          <w:trHeight w:val="109"/>
        </w:trPr>
        <w:tc>
          <w:tcPr>
            <w:tcW w:w="3960" w:type="dxa"/>
            <w:vAlign w:val="bottom"/>
            <w:tcBorders>
              <w:left w:val="single" w:sz="8" w:color="auto"/>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66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88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00" w:type="dxa"/>
            <w:vAlign w:val="bottom"/>
            <w:tcBorders>
              <w:bottom w:val="single" w:sz="8" w:color="auto"/>
              <w:right w:val="single" w:sz="8" w:color="auto"/>
            </w:tcBorders>
          </w:tcPr>
          <w:p>
            <w:pPr>
              <w:spacing w:after="0"/>
              <w:rPr>
                <w:sz w:val="9"/>
                <w:szCs w:val="9"/>
                <w:color w:val="auto"/>
              </w:rPr>
            </w:pPr>
          </w:p>
        </w:tc>
        <w:tc>
          <w:tcPr>
            <w:tcW w:w="740" w:type="dxa"/>
            <w:vAlign w:val="bottom"/>
            <w:tcBorders>
              <w:bottom w:val="single" w:sz="8" w:color="auto"/>
              <w:right w:val="single" w:sz="8" w:color="auto"/>
            </w:tcBorders>
          </w:tcPr>
          <w:p>
            <w:pPr>
              <w:spacing w:after="0"/>
              <w:rPr>
                <w:sz w:val="9"/>
                <w:szCs w:val="9"/>
                <w:color w:val="auto"/>
              </w:rPr>
            </w:pPr>
          </w:p>
        </w:tc>
        <w:tc>
          <w:tcPr>
            <w:tcW w:w="900" w:type="dxa"/>
            <w:vAlign w:val="bottom"/>
            <w:tcBorders>
              <w:bottom w:val="single" w:sz="8" w:color="auto"/>
              <w:right w:val="single" w:sz="8" w:color="auto"/>
            </w:tcBorders>
          </w:tcPr>
          <w:p>
            <w:pPr>
              <w:spacing w:after="0"/>
              <w:rPr>
                <w:sz w:val="9"/>
                <w:szCs w:val="9"/>
                <w:color w:val="auto"/>
              </w:rPr>
            </w:pPr>
          </w:p>
        </w:tc>
        <w:tc>
          <w:tcPr>
            <w:tcW w:w="82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940" w:type="dxa"/>
            <w:vAlign w:val="bottom"/>
            <w:tcBorders>
              <w:bottom w:val="single" w:sz="8" w:color="auto"/>
              <w:right w:val="single" w:sz="8" w:color="auto"/>
            </w:tcBorders>
          </w:tcPr>
          <w:p>
            <w:pPr>
              <w:spacing w:after="0"/>
              <w:rPr>
                <w:sz w:val="9"/>
                <w:szCs w:val="9"/>
                <w:color w:val="auto"/>
              </w:rPr>
            </w:pPr>
          </w:p>
        </w:tc>
        <w:tc>
          <w:tcPr>
            <w:tcW w:w="580" w:type="dxa"/>
            <w:vAlign w:val="bottom"/>
            <w:tcBorders>
              <w:bottom w:val="single" w:sz="8" w:color="auto"/>
              <w:right w:val="single" w:sz="8" w:color="auto"/>
            </w:tcBorders>
          </w:tcPr>
          <w:p>
            <w:pPr>
              <w:spacing w:after="0"/>
              <w:rPr>
                <w:sz w:val="9"/>
                <w:szCs w:val="9"/>
                <w:color w:val="auto"/>
              </w:rPr>
            </w:pPr>
          </w:p>
        </w:tc>
      </w:tr>
    </w:tbl>
    <w:p>
      <w:pPr>
        <w:spacing w:after="0" w:line="200" w:lineRule="exact"/>
        <w:rPr>
          <w:sz w:val="20"/>
          <w:szCs w:val="20"/>
          <w:color w:val="auto"/>
        </w:rPr>
      </w:pPr>
    </w:p>
    <w:p>
      <w:pPr>
        <w:spacing w:after="0" w:line="212"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b w:val="1"/>
          <w:bCs w:val="1"/>
          <w:color w:val="auto"/>
        </w:rPr>
        <w:t>NOTES ACCOMPANYING TABLES 1a and 1b</w:t>
      </w:r>
    </w:p>
    <w:p>
      <w:pPr>
        <w:spacing w:after="0" w:line="231" w:lineRule="exact"/>
        <w:rPr>
          <w:sz w:val="20"/>
          <w:szCs w:val="20"/>
          <w:color w:val="auto"/>
        </w:rPr>
      </w:pPr>
    </w:p>
    <w:p>
      <w:pPr>
        <w:ind w:right="360"/>
        <w:spacing w:after="0" w:line="270" w:lineRule="auto"/>
        <w:tabs>
          <w:tab w:leader="none" w:pos="194" w:val="left"/>
        </w:tabs>
        <w:numPr>
          <w:ilvl w:val="0"/>
          <w:numId w:val="14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pre-1750 analysis of vegetation types in the Central Highlands and are therefore only approximate. EVC mapping used in 1998 has been revised to ensure the state-wide EVC data set is based on the best available information and integrates new methods of mapping and modelling vegetation across Victoria. See Table 1, Note b for information about mapping processes.</w:t>
      </w:r>
    </w:p>
    <w:p>
      <w:pPr>
        <w:spacing w:after="0" w:line="214" w:lineRule="exact"/>
        <w:rPr>
          <w:rFonts w:ascii="Times New Roman" w:cs="Times New Roman" w:eastAsia="Times New Roman" w:hAnsi="Times New Roman"/>
          <w:sz w:val="16"/>
          <w:szCs w:val="16"/>
          <w:color w:val="auto"/>
        </w:rPr>
      </w:pPr>
    </w:p>
    <w:p>
      <w:pPr>
        <w:spacing w:after="0" w:line="265" w:lineRule="auto"/>
        <w:tabs>
          <w:tab w:leader="none" w:pos="160" w:val="left"/>
        </w:tabs>
        <w:numPr>
          <w:ilvl w:val="0"/>
          <w:numId w:val="14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E=endangered, V=vulnerable, R=rare in accordance with the JANIS Reserve Criteria. Complexes, Mosaics, Aggregates and Niches are mapping units and not assigned a conservation status. EVCs are determined on site and the relevant conservation status for the field verified EVC would apply.</w:t>
      </w:r>
    </w:p>
    <w:p>
      <w:pPr>
        <w:spacing w:after="0" w:line="210" w:lineRule="exact"/>
        <w:rPr>
          <w:rFonts w:ascii="Times New Roman" w:cs="Times New Roman" w:eastAsia="Times New Roman" w:hAnsi="Times New Roman"/>
          <w:sz w:val="16"/>
          <w:szCs w:val="16"/>
          <w:color w:val="auto"/>
        </w:rPr>
      </w:pPr>
    </w:p>
    <w:p>
      <w:pPr>
        <w:ind w:left="200" w:hanging="200"/>
        <w:spacing w:after="0"/>
        <w:tabs>
          <w:tab w:leader="none" w:pos="200" w:val="left"/>
        </w:tabs>
        <w:numPr>
          <w:ilvl w:val="0"/>
          <w:numId w:val="14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and other informal reserves.</w:t>
      </w:r>
    </w:p>
    <w:p>
      <w:pPr>
        <w:spacing w:after="0" w:line="233" w:lineRule="exact"/>
        <w:rPr>
          <w:rFonts w:ascii="Times New Roman" w:cs="Times New Roman" w:eastAsia="Times New Roman" w:hAnsi="Times New Roman"/>
          <w:sz w:val="16"/>
          <w:szCs w:val="16"/>
          <w:color w:val="auto"/>
        </w:rPr>
      </w:pPr>
    </w:p>
    <w:p>
      <w:pPr>
        <w:ind w:right="420"/>
        <w:spacing w:after="0" w:line="265" w:lineRule="auto"/>
        <w:tabs>
          <w:tab w:leader="none" w:pos="202" w:val="left"/>
        </w:tabs>
        <w:numPr>
          <w:ilvl w:val="0"/>
          <w:numId w:val="14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areas of GMZ and SMZ protected by prescription, including stream buffers and rainforest as outlined in the Code of Practice, where these values and prescriptions are identified spatially. Areas protected by prescription are modelled only and subject to field verification.</w:t>
      </w:r>
    </w:p>
    <w:p>
      <w:pPr>
        <w:spacing w:after="0" w:line="217" w:lineRule="exact"/>
        <w:rPr>
          <w:rFonts w:ascii="Times New Roman" w:cs="Times New Roman" w:eastAsia="Times New Roman" w:hAnsi="Times New Roman"/>
          <w:sz w:val="16"/>
          <w:szCs w:val="16"/>
          <w:color w:val="auto"/>
        </w:rPr>
      </w:pPr>
    </w:p>
    <w:p>
      <w:pPr>
        <w:ind w:right="80"/>
        <w:spacing w:after="0" w:line="265" w:lineRule="auto"/>
        <w:tabs>
          <w:tab w:leader="none" w:pos="152" w:val="left"/>
        </w:tabs>
        <w:numPr>
          <w:ilvl w:val="0"/>
          <w:numId w:val="14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 1972</w:t>
      </w:r>
      <w:r>
        <w:rPr>
          <w:rFonts w:ascii="Times New Roman" w:cs="Times New Roman" w:eastAsia="Times New Roman" w:hAnsi="Times New Roman"/>
          <w:sz w:val="16"/>
          <w:szCs w:val="16"/>
          <w:color w:val="auto"/>
        </w:rPr>
        <w:t xml:space="preserve"> and Land Management Cooperative Agreements under the </w:t>
      </w:r>
      <w:r>
        <w:rPr>
          <w:rFonts w:ascii="Times New Roman" w:cs="Times New Roman" w:eastAsia="Times New Roman" w:hAnsi="Times New Roman"/>
          <w:sz w:val="16"/>
          <w:szCs w:val="16"/>
          <w:i w:val="1"/>
          <w:iCs w:val="1"/>
          <w:color w:val="auto"/>
        </w:rPr>
        <w:t>Conservation Forests and</w:t>
      </w:r>
      <w:r>
        <w:rPr>
          <w:rFonts w:ascii="Times New Roman" w:cs="Times New Roman" w:eastAsia="Times New Roman" w:hAnsi="Times New Roman"/>
          <w:sz w:val="16"/>
          <w:szCs w:val="16"/>
          <w:color w:val="auto"/>
        </w:rPr>
        <w:t xml:space="preserve"> </w:t>
      </w:r>
      <w:r>
        <w:rPr>
          <w:rFonts w:ascii="Times New Roman" w:cs="Times New Roman" w:eastAsia="Times New Roman" w:hAnsi="Times New Roman"/>
          <w:sz w:val="16"/>
          <w:szCs w:val="16"/>
          <w:i w:val="1"/>
          <w:iCs w:val="1"/>
          <w:color w:val="auto"/>
        </w:rPr>
        <w:t>Lands Act 1987</w:t>
      </w:r>
      <w:r>
        <w:rPr>
          <w:rFonts w:ascii="Times New Roman" w:cs="Times New Roman" w:eastAsia="Times New Roman" w:hAnsi="Times New Roman"/>
          <w:sz w:val="16"/>
          <w:szCs w:val="16"/>
          <w:color w:val="auto"/>
        </w:rPr>
        <w:t>.</w:t>
      </w: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auto"/>
        </w:rPr>
        <w:t>Rainforest Niche: Mapping unit – indicates area of potential or unverified modelled rainforest as distinct from confirmed rainforest.</w:t>
      </w:r>
    </w:p>
    <w:p>
      <w:pPr>
        <w:spacing w:after="0" w:line="237" w:lineRule="exact"/>
        <w:rPr>
          <w:sz w:val="20"/>
          <w:szCs w:val="20"/>
          <w:color w:val="auto"/>
        </w:rPr>
      </w:pPr>
    </w:p>
    <w:p>
      <w:pPr>
        <w:ind w:right="80"/>
        <w:spacing w:after="0" w:line="265" w:lineRule="auto"/>
        <w:tabs>
          <w:tab w:leader="none" w:pos="122" w:val="left"/>
        </w:tabs>
        <w:numPr>
          <w:ilvl w:val="0"/>
          <w:numId w:val="14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Indicates priority EVCs for increased protection in the CAR Reserve System. Priorities for inclusion in the CAR Reserve System have been identified according to the remaining extent occurring on private or public land and the ability of publicly managed land to meet the conservation objectives for EVCs.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3"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60</w:t>
      </w:r>
    </w:p>
    <w:p>
      <w:pPr>
        <w:sectPr>
          <w:pgSz w:w="16840" w:h="11906" w:orient="landscape"/>
          <w:cols w:equalWidth="0" w:num="1">
            <w:col w:w="13960"/>
          </w:cols>
          <w:pgMar w:left="1440" w:top="1420" w:right="1438" w:bottom="149" w:gutter="0" w:footer="0" w:header="0"/>
        </w:sectPr>
      </w:pPr>
    </w:p>
    <w:bookmarkStart w:id="60" w:name="page61"/>
    <w:bookmarkEnd w:id="60"/>
    <w:p>
      <w:pPr>
        <w:spacing w:after="0" w:line="9" w:lineRule="exact"/>
        <w:rPr>
          <w:sz w:val="20"/>
          <w:szCs w:val="20"/>
          <w:color w:val="auto"/>
        </w:rPr>
      </w:pPr>
    </w:p>
    <w:p>
      <w:pPr>
        <w:ind w:right="300"/>
        <w:spacing w:after="0" w:line="279" w:lineRule="auto"/>
        <w:rPr>
          <w:sz w:val="20"/>
          <w:szCs w:val="20"/>
          <w:color w:val="auto"/>
        </w:rPr>
      </w:pPr>
      <w:r>
        <w:rPr>
          <w:rFonts w:ascii="Times New Roman" w:cs="Times New Roman" w:eastAsia="Times New Roman" w:hAnsi="Times New Roman"/>
          <w:sz w:val="22"/>
          <w:szCs w:val="22"/>
          <w:b w:val="1"/>
          <w:bCs w:val="1"/>
          <w:color w:val="auto"/>
        </w:rPr>
        <w:t>Table 2 Representative conservation of Old Growth Forest in the CAR Reserve System in the Central Highlands RFA Region</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as at 1998.</w:t>
      </w:r>
    </w:p>
    <w:p>
      <w:pPr>
        <w:spacing w:after="0" w:line="99" w:lineRule="exact"/>
        <w:rPr>
          <w:sz w:val="20"/>
          <w:szCs w:val="20"/>
          <w:color w:val="auto"/>
        </w:rPr>
      </w:pPr>
    </w:p>
    <w:tbl>
      <w:tblPr>
        <w:tblLayout w:type="fixed"/>
        <w:tblInd w:w="10" w:type="dxa"/>
        <w:tblCellMar>
          <w:top w:w="0" w:type="dxa"/>
          <w:left w:w="0" w:type="dxa"/>
          <w:bottom w:w="0" w:type="dxa"/>
          <w:right w:w="0" w:type="dxa"/>
        </w:tblCellMar>
      </w:tblPr>
      <w:tr>
        <w:trPr>
          <w:trHeight w:val="208"/>
        </w:trPr>
        <w:tc>
          <w:tcPr>
            <w:tcW w:w="1240" w:type="dxa"/>
            <w:vAlign w:val="bottom"/>
            <w:tcBorders>
              <w:top w:val="single" w:sz="8" w:color="auto"/>
              <w:left w:val="single" w:sz="8" w:color="auto"/>
              <w:right w:val="single" w:sz="8" w:color="auto"/>
            </w:tcBorders>
          </w:tcPr>
          <w:p>
            <w:pPr>
              <w:spacing w:after="0"/>
              <w:rPr>
                <w:sz w:val="18"/>
                <w:szCs w:val="18"/>
                <w:color w:val="auto"/>
              </w:rPr>
            </w:pPr>
          </w:p>
        </w:tc>
        <w:tc>
          <w:tcPr>
            <w:tcW w:w="900" w:type="dxa"/>
            <w:vAlign w:val="bottom"/>
            <w:tcBorders>
              <w:top w:val="single" w:sz="8" w:color="auto"/>
              <w:right w:val="single" w:sz="8" w:color="auto"/>
            </w:tcBorders>
          </w:tcPr>
          <w:p>
            <w:pPr>
              <w:jc w:val="center"/>
              <w:ind w:right="2"/>
              <w:spacing w:after="0"/>
              <w:rPr>
                <w:sz w:val="20"/>
                <w:szCs w:val="20"/>
                <w:color w:val="auto"/>
              </w:rPr>
            </w:pPr>
            <w:r>
              <w:rPr>
                <w:rFonts w:ascii="Calibri" w:cs="Calibri" w:eastAsia="Calibri" w:hAnsi="Calibri"/>
                <w:sz w:val="16"/>
                <w:szCs w:val="16"/>
                <w:b w:val="1"/>
                <w:bCs w:val="1"/>
                <w:color w:val="auto"/>
              </w:rPr>
              <w:t>EVC</w:t>
            </w:r>
          </w:p>
        </w:tc>
        <w:tc>
          <w:tcPr>
            <w:tcW w:w="920" w:type="dxa"/>
            <w:vAlign w:val="bottom"/>
            <w:tcBorders>
              <w:top w:val="single" w:sz="8" w:color="auto"/>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rPr>
              <w:t>Area EVC (as</w:t>
            </w:r>
          </w:p>
        </w:tc>
        <w:tc>
          <w:tcPr>
            <w:tcW w:w="102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w w:val="98"/>
              </w:rPr>
              <w:t>Percent of EVC</w:t>
            </w:r>
          </w:p>
        </w:tc>
        <w:tc>
          <w:tcPr>
            <w:tcW w:w="92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w w:val="99"/>
              </w:rPr>
              <w:t>Area Old</w:t>
            </w:r>
          </w:p>
        </w:tc>
        <w:tc>
          <w:tcPr>
            <w:tcW w:w="4060" w:type="dxa"/>
            <w:vAlign w:val="bottom"/>
            <w:tcBorders>
              <w:top w:val="single" w:sz="8" w:color="auto"/>
              <w:right w:val="single" w:sz="8" w:color="auto"/>
            </w:tcBorders>
            <w:gridSpan w:val="5"/>
          </w:tcPr>
          <w:p>
            <w:pPr>
              <w:jc w:val="center"/>
              <w:spacing w:after="0"/>
              <w:rPr>
                <w:sz w:val="20"/>
                <w:szCs w:val="20"/>
                <w:color w:val="auto"/>
              </w:rPr>
            </w:pPr>
            <w:r>
              <w:rPr>
                <w:rFonts w:ascii="Calibri" w:cs="Calibri" w:eastAsia="Calibri" w:hAnsi="Calibri"/>
                <w:sz w:val="16"/>
                <w:szCs w:val="16"/>
                <w:color w:val="auto"/>
                <w:w w:val="99"/>
              </w:rPr>
              <w:t>Percent of Old Growth Forest in the CAR Reserve System (as</w:t>
            </w: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vMerge w:val="restart"/>
          </w:tcPr>
          <w:p>
            <w:pPr>
              <w:ind w:left="280"/>
              <w:spacing w:after="0"/>
              <w:rPr>
                <w:sz w:val="20"/>
                <w:szCs w:val="20"/>
                <w:color w:val="auto"/>
              </w:rPr>
            </w:pPr>
            <w:r>
              <w:rPr>
                <w:rFonts w:ascii="Calibri" w:cs="Calibri" w:eastAsia="Calibri" w:hAnsi="Calibri"/>
                <w:sz w:val="16"/>
                <w:szCs w:val="16"/>
                <w:b w:val="1"/>
                <w:bCs w:val="1"/>
                <w:color w:val="auto"/>
              </w:rPr>
              <w:t>Ecological</w:t>
            </w:r>
          </w:p>
        </w:tc>
        <w:tc>
          <w:tcPr>
            <w:tcW w:w="900" w:type="dxa"/>
            <w:vAlign w:val="bottom"/>
            <w:tcBorders>
              <w:right w:val="single" w:sz="8" w:color="auto"/>
            </w:tcBorders>
          </w:tcPr>
          <w:p>
            <w:pPr>
              <w:jc w:val="center"/>
              <w:ind w:right="2"/>
              <w:spacing w:after="0" w:line="186" w:lineRule="exact"/>
              <w:rPr>
                <w:sz w:val="20"/>
                <w:szCs w:val="20"/>
                <w:color w:val="auto"/>
              </w:rPr>
            </w:pPr>
            <w:r>
              <w:rPr>
                <w:rFonts w:ascii="Calibri" w:cs="Calibri" w:eastAsia="Calibri" w:hAnsi="Calibri"/>
                <w:sz w:val="16"/>
                <w:szCs w:val="16"/>
                <w:b w:val="1"/>
                <w:bCs w:val="1"/>
                <w:color w:val="auto"/>
                <w:w w:val="99"/>
              </w:rPr>
              <w:t>typology</w:t>
            </w:r>
          </w:p>
        </w:tc>
        <w:tc>
          <w:tcPr>
            <w:tcW w:w="920" w:type="dxa"/>
            <w:vAlign w:val="bottom"/>
            <w:tcBorders>
              <w:right w:val="single" w:sz="8" w:color="auto"/>
            </w:tcBorders>
            <w:vMerge w:val="continue"/>
          </w:tcPr>
          <w:p>
            <w:pPr>
              <w:spacing w:after="0"/>
              <w:rPr>
                <w:sz w:val="16"/>
                <w:szCs w:val="16"/>
                <w:color w:val="auto"/>
              </w:rPr>
            </w:pPr>
          </w:p>
        </w:tc>
        <w:tc>
          <w:tcPr>
            <w:tcW w:w="1020" w:type="dxa"/>
            <w:vAlign w:val="bottom"/>
            <w:tcBorders>
              <w:right w:val="single" w:sz="8" w:color="auto"/>
            </w:tcBorders>
          </w:tcPr>
          <w:p>
            <w:pPr>
              <w:jc w:val="center"/>
              <w:spacing w:after="0" w:line="186" w:lineRule="exact"/>
              <w:rPr>
                <w:sz w:val="20"/>
                <w:szCs w:val="20"/>
                <w:color w:val="auto"/>
              </w:rPr>
            </w:pPr>
            <w:r>
              <w:rPr>
                <w:rFonts w:ascii="Calibri" w:cs="Calibri" w:eastAsia="Calibri" w:hAnsi="Calibri"/>
                <w:sz w:val="16"/>
                <w:szCs w:val="16"/>
                <w:b w:val="1"/>
                <w:bCs w:val="1"/>
                <w:color w:val="auto"/>
                <w:w w:val="98"/>
              </w:rPr>
              <w:t>as Old Growth</w:t>
            </w:r>
          </w:p>
        </w:tc>
        <w:tc>
          <w:tcPr>
            <w:tcW w:w="920" w:type="dxa"/>
            <w:vAlign w:val="bottom"/>
            <w:tcBorders>
              <w:right w:val="single" w:sz="8" w:color="auto"/>
            </w:tcBorders>
          </w:tcPr>
          <w:p>
            <w:pPr>
              <w:jc w:val="center"/>
              <w:spacing w:after="0" w:line="186" w:lineRule="exact"/>
              <w:rPr>
                <w:sz w:val="20"/>
                <w:szCs w:val="20"/>
                <w:color w:val="auto"/>
              </w:rPr>
            </w:pPr>
            <w:r>
              <w:rPr>
                <w:rFonts w:ascii="Calibri" w:cs="Calibri" w:eastAsia="Calibri" w:hAnsi="Calibri"/>
                <w:sz w:val="16"/>
                <w:szCs w:val="16"/>
                <w:b w:val="1"/>
                <w:bCs w:val="1"/>
                <w:color w:val="auto"/>
              </w:rPr>
              <w:t>Growth (as</w:t>
            </w:r>
          </w:p>
        </w:tc>
        <w:tc>
          <w:tcPr>
            <w:tcW w:w="1340" w:type="dxa"/>
            <w:vAlign w:val="bottom"/>
          </w:tcPr>
          <w:p>
            <w:pPr>
              <w:spacing w:after="0"/>
              <w:rPr>
                <w:sz w:val="16"/>
                <w:szCs w:val="16"/>
                <w:color w:val="auto"/>
              </w:rPr>
            </w:pPr>
          </w:p>
        </w:tc>
        <w:tc>
          <w:tcPr>
            <w:tcW w:w="960" w:type="dxa"/>
            <w:vAlign w:val="bottom"/>
            <w:gridSpan w:val="2"/>
          </w:tcPr>
          <w:p>
            <w:pPr>
              <w:jc w:val="center"/>
              <w:ind w:left="261"/>
              <w:spacing w:after="0" w:line="186" w:lineRule="exact"/>
              <w:rPr>
                <w:sz w:val="20"/>
                <w:szCs w:val="20"/>
                <w:color w:val="auto"/>
              </w:rPr>
            </w:pPr>
            <w:r>
              <w:rPr>
                <w:rFonts w:ascii="Calibri" w:cs="Calibri" w:eastAsia="Calibri" w:hAnsi="Calibri"/>
                <w:sz w:val="16"/>
                <w:szCs w:val="16"/>
                <w:color w:val="auto"/>
              </w:rPr>
              <w:t>at 1998)</w:t>
            </w:r>
          </w:p>
        </w:tc>
        <w:tc>
          <w:tcPr>
            <w:tcW w:w="1080" w:type="dxa"/>
            <w:vAlign w:val="bottom"/>
          </w:tcPr>
          <w:p>
            <w:pPr>
              <w:spacing w:after="0"/>
              <w:rPr>
                <w:sz w:val="16"/>
                <w:szCs w:val="16"/>
                <w:color w:val="auto"/>
              </w:rPr>
            </w:pPr>
          </w:p>
        </w:tc>
        <w:tc>
          <w:tcPr>
            <w:tcW w:w="680" w:type="dxa"/>
            <w:vAlign w:val="bottom"/>
            <w:tcBorders>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61"/>
        </w:trPr>
        <w:tc>
          <w:tcPr>
            <w:tcW w:w="1240" w:type="dxa"/>
            <w:vAlign w:val="bottom"/>
            <w:tcBorders>
              <w:left w:val="single" w:sz="8" w:color="auto"/>
              <w:right w:val="single" w:sz="8" w:color="auto"/>
            </w:tcBorders>
            <w:vMerge w:val="continue"/>
          </w:tcPr>
          <w:p>
            <w:pPr>
              <w:spacing w:after="0"/>
              <w:rPr>
                <w:sz w:val="13"/>
                <w:szCs w:val="13"/>
                <w:color w:val="auto"/>
              </w:rPr>
            </w:pPr>
          </w:p>
        </w:tc>
        <w:tc>
          <w:tcPr>
            <w:tcW w:w="90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rPr>
              <w:t>changes as</w:t>
            </w:r>
          </w:p>
        </w:tc>
        <w:tc>
          <w:tcPr>
            <w:tcW w:w="920" w:type="dxa"/>
            <w:vAlign w:val="bottom"/>
            <w:tcBorders>
              <w:right w:val="single" w:sz="8" w:color="auto"/>
            </w:tcBorders>
          </w:tcPr>
          <w:p>
            <w:pPr>
              <w:jc w:val="center"/>
              <w:ind w:right="20"/>
              <w:spacing w:after="0" w:line="161" w:lineRule="exact"/>
              <w:rPr>
                <w:sz w:val="20"/>
                <w:szCs w:val="20"/>
                <w:color w:val="auto"/>
              </w:rPr>
            </w:pPr>
            <w:r>
              <w:rPr>
                <w:rFonts w:ascii="Calibri" w:cs="Calibri" w:eastAsia="Calibri" w:hAnsi="Calibri"/>
                <w:sz w:val="16"/>
                <w:szCs w:val="16"/>
                <w:b w:val="1"/>
                <w:bCs w:val="1"/>
                <w:color w:val="auto"/>
                <w:w w:val="98"/>
              </w:rPr>
              <w:t>at 1998)</w:t>
            </w:r>
          </w:p>
        </w:tc>
        <w:tc>
          <w:tcPr>
            <w:tcW w:w="102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rPr>
              <w:t>(as at 1998)</w:t>
            </w:r>
          </w:p>
        </w:tc>
        <w:tc>
          <w:tcPr>
            <w:tcW w:w="92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w w:val="98"/>
              </w:rPr>
              <w:t>at 1998)</w:t>
            </w:r>
          </w:p>
        </w:tc>
        <w:tc>
          <w:tcPr>
            <w:tcW w:w="1340" w:type="dxa"/>
            <w:vAlign w:val="bottom"/>
          </w:tcPr>
          <w:p>
            <w:pPr>
              <w:spacing w:after="0"/>
              <w:rPr>
                <w:sz w:val="13"/>
                <w:szCs w:val="13"/>
                <w:color w:val="auto"/>
              </w:rPr>
            </w:pPr>
          </w:p>
        </w:tc>
        <w:tc>
          <w:tcPr>
            <w:tcW w:w="920" w:type="dxa"/>
            <w:vAlign w:val="bottom"/>
          </w:tcPr>
          <w:p>
            <w:pPr>
              <w:spacing w:after="0"/>
              <w:rPr>
                <w:sz w:val="13"/>
                <w:szCs w:val="13"/>
                <w:color w:val="auto"/>
              </w:rPr>
            </w:pPr>
          </w:p>
        </w:tc>
        <w:tc>
          <w:tcPr>
            <w:tcW w:w="4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68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183"/>
        </w:trPr>
        <w:tc>
          <w:tcPr>
            <w:tcW w:w="1240" w:type="dxa"/>
            <w:vAlign w:val="bottom"/>
            <w:tcBorders>
              <w:left w:val="single" w:sz="8" w:color="auto"/>
              <w:right w:val="single" w:sz="8" w:color="auto"/>
            </w:tcBorders>
          </w:tcPr>
          <w:p>
            <w:pPr>
              <w:ind w:left="60"/>
              <w:spacing w:after="0" w:line="184" w:lineRule="exact"/>
              <w:rPr>
                <w:sz w:val="20"/>
                <w:szCs w:val="20"/>
                <w:color w:val="auto"/>
              </w:rPr>
            </w:pPr>
            <w:r>
              <w:rPr>
                <w:rFonts w:ascii="Calibri" w:cs="Calibri" w:eastAsia="Calibri" w:hAnsi="Calibri"/>
                <w:sz w:val="16"/>
                <w:szCs w:val="16"/>
                <w:b w:val="1"/>
                <w:bCs w:val="1"/>
                <w:color w:val="auto"/>
              </w:rPr>
              <w:t>Vegetation Class</w:t>
            </w:r>
          </w:p>
        </w:tc>
        <w:tc>
          <w:tcPr>
            <w:tcW w:w="900" w:type="dxa"/>
            <w:vAlign w:val="bottom"/>
            <w:tcBorders>
              <w:right w:val="single" w:sz="8" w:color="auto"/>
            </w:tcBorders>
            <w:vMerge w:val="continue"/>
          </w:tcPr>
          <w:p>
            <w:pPr>
              <w:spacing w:after="0"/>
              <w:rPr>
                <w:sz w:val="15"/>
                <w:szCs w:val="15"/>
                <w:color w:val="auto"/>
              </w:rPr>
            </w:pPr>
          </w:p>
        </w:tc>
        <w:tc>
          <w:tcPr>
            <w:tcW w:w="920" w:type="dxa"/>
            <w:vAlign w:val="bottom"/>
            <w:tcBorders>
              <w:right w:val="single" w:sz="8" w:color="auto"/>
            </w:tcBorders>
          </w:tcPr>
          <w:p>
            <w:pPr>
              <w:spacing w:after="0"/>
              <w:rPr>
                <w:sz w:val="15"/>
                <w:szCs w:val="15"/>
                <w:color w:val="auto"/>
              </w:rPr>
            </w:pPr>
          </w:p>
        </w:tc>
        <w:tc>
          <w:tcPr>
            <w:tcW w:w="1020" w:type="dxa"/>
            <w:vAlign w:val="bottom"/>
            <w:tcBorders>
              <w:right w:val="single" w:sz="8" w:color="auto"/>
            </w:tcBorders>
            <w:vMerge w:val="continue"/>
          </w:tcPr>
          <w:p>
            <w:pPr>
              <w:spacing w:after="0"/>
              <w:rPr>
                <w:sz w:val="15"/>
                <w:szCs w:val="15"/>
                <w:color w:val="auto"/>
              </w:rPr>
            </w:pPr>
          </w:p>
        </w:tc>
        <w:tc>
          <w:tcPr>
            <w:tcW w:w="920" w:type="dxa"/>
            <w:vAlign w:val="bottom"/>
            <w:tcBorders>
              <w:right w:val="single" w:sz="8" w:color="auto"/>
            </w:tcBorders>
            <w:vMerge w:val="continue"/>
          </w:tcPr>
          <w:p>
            <w:pPr>
              <w:spacing w:after="0"/>
              <w:rPr>
                <w:sz w:val="15"/>
                <w:szCs w:val="15"/>
                <w:color w:val="auto"/>
              </w:rPr>
            </w:pPr>
          </w:p>
        </w:tc>
        <w:tc>
          <w:tcPr>
            <w:tcW w:w="1340" w:type="dxa"/>
            <w:vAlign w:val="bottom"/>
            <w:tcBorders>
              <w:bottom w:val="single" w:sz="8" w:color="auto"/>
            </w:tcBorders>
          </w:tcPr>
          <w:p>
            <w:pPr>
              <w:spacing w:after="0"/>
              <w:rPr>
                <w:sz w:val="15"/>
                <w:szCs w:val="15"/>
                <w:color w:val="auto"/>
              </w:rPr>
            </w:pPr>
          </w:p>
        </w:tc>
        <w:tc>
          <w:tcPr>
            <w:tcW w:w="920" w:type="dxa"/>
            <w:vAlign w:val="bottom"/>
            <w:tcBorders>
              <w:bottom w:val="single" w:sz="8" w:color="auto"/>
            </w:tcBorders>
          </w:tcPr>
          <w:p>
            <w:pPr>
              <w:spacing w:after="0"/>
              <w:rPr>
                <w:sz w:val="15"/>
                <w:szCs w:val="15"/>
                <w:color w:val="auto"/>
              </w:rPr>
            </w:pPr>
          </w:p>
        </w:tc>
        <w:tc>
          <w:tcPr>
            <w:tcW w:w="40" w:type="dxa"/>
            <w:vAlign w:val="bottom"/>
            <w:tcBorders>
              <w:bottom w:val="single" w:sz="8" w:color="auto"/>
            </w:tcBorders>
          </w:tcPr>
          <w:p>
            <w:pPr>
              <w:spacing w:after="0"/>
              <w:rPr>
                <w:sz w:val="15"/>
                <w:szCs w:val="15"/>
                <w:color w:val="auto"/>
              </w:rPr>
            </w:pPr>
          </w:p>
        </w:tc>
        <w:tc>
          <w:tcPr>
            <w:tcW w:w="1080" w:type="dxa"/>
            <w:vAlign w:val="bottom"/>
            <w:tcBorders>
              <w:bottom w:val="single" w:sz="8" w:color="auto"/>
            </w:tcBorders>
          </w:tcPr>
          <w:p>
            <w:pPr>
              <w:spacing w:after="0"/>
              <w:rPr>
                <w:sz w:val="15"/>
                <w:szCs w:val="15"/>
                <w:color w:val="auto"/>
              </w:rPr>
            </w:pPr>
          </w:p>
        </w:tc>
        <w:tc>
          <w:tcPr>
            <w:tcW w:w="68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163"/>
        </w:trPr>
        <w:tc>
          <w:tcPr>
            <w:tcW w:w="1240" w:type="dxa"/>
            <w:vAlign w:val="bottom"/>
            <w:tcBorders>
              <w:left w:val="single" w:sz="8" w:color="auto"/>
              <w:right w:val="single" w:sz="8" w:color="auto"/>
            </w:tcBorders>
          </w:tcPr>
          <w:p>
            <w:pPr>
              <w:spacing w:after="0"/>
              <w:rPr>
                <w:sz w:val="14"/>
                <w:szCs w:val="14"/>
                <w:color w:val="auto"/>
              </w:rPr>
            </w:pPr>
          </w:p>
        </w:tc>
        <w:tc>
          <w:tcPr>
            <w:tcW w:w="900" w:type="dxa"/>
            <w:vAlign w:val="bottom"/>
            <w:tcBorders>
              <w:right w:val="single" w:sz="8" w:color="auto"/>
            </w:tcBorders>
          </w:tcPr>
          <w:p>
            <w:pPr>
              <w:jc w:val="center"/>
              <w:spacing w:after="0" w:line="163" w:lineRule="exact"/>
              <w:rPr>
                <w:sz w:val="20"/>
                <w:szCs w:val="20"/>
                <w:color w:val="auto"/>
              </w:rPr>
            </w:pPr>
            <w:r>
              <w:rPr>
                <w:rFonts w:ascii="Calibri" w:cs="Calibri" w:eastAsia="Calibri" w:hAnsi="Calibri"/>
                <w:sz w:val="14"/>
                <w:szCs w:val="14"/>
                <w:b w:val="1"/>
                <w:bCs w:val="1"/>
                <w:color w:val="auto"/>
              </w:rPr>
              <w:t>at 2019</w:t>
            </w:r>
            <w:r>
              <w:rPr>
                <w:rFonts w:ascii="Calibri" w:cs="Calibri" w:eastAsia="Calibri" w:hAnsi="Calibri"/>
                <w:sz w:val="17"/>
                <w:szCs w:val="17"/>
                <w:b w:val="1"/>
                <w:bCs w:val="1"/>
                <w:color w:val="auto"/>
                <w:vertAlign w:val="superscript"/>
              </w:rPr>
              <w:t>b</w:t>
            </w:r>
          </w:p>
        </w:tc>
        <w:tc>
          <w:tcPr>
            <w:tcW w:w="920" w:type="dxa"/>
            <w:vAlign w:val="bottom"/>
            <w:tcBorders>
              <w:right w:val="single" w:sz="8" w:color="auto"/>
            </w:tcBorders>
            <w:vMerge w:val="restart"/>
          </w:tcPr>
          <w:p>
            <w:pPr>
              <w:jc w:val="center"/>
              <w:ind w:right="20"/>
              <w:spacing w:after="0"/>
              <w:rPr>
                <w:sz w:val="20"/>
                <w:szCs w:val="20"/>
                <w:color w:val="auto"/>
              </w:rPr>
            </w:pPr>
            <w:r>
              <w:rPr>
                <w:rFonts w:ascii="Calibri" w:cs="Calibri" w:eastAsia="Calibri" w:hAnsi="Calibri"/>
                <w:sz w:val="16"/>
                <w:szCs w:val="16"/>
                <w:b w:val="1"/>
                <w:bCs w:val="1"/>
                <w:color w:val="auto"/>
                <w:w w:val="97"/>
              </w:rPr>
              <w:t>(ha)</w:t>
            </w:r>
          </w:p>
        </w:tc>
        <w:tc>
          <w:tcPr>
            <w:tcW w:w="1020" w:type="dxa"/>
            <w:vAlign w:val="bottom"/>
            <w:tcBorders>
              <w:right w:val="single" w:sz="8" w:color="auto"/>
            </w:tcBorders>
          </w:tcPr>
          <w:p>
            <w:pPr>
              <w:spacing w:after="0"/>
              <w:rPr>
                <w:sz w:val="14"/>
                <w:szCs w:val="14"/>
                <w:color w:val="auto"/>
              </w:rPr>
            </w:pPr>
          </w:p>
        </w:tc>
        <w:tc>
          <w:tcPr>
            <w:tcW w:w="920" w:type="dxa"/>
            <w:vAlign w:val="bottom"/>
            <w:tcBorders>
              <w:right w:val="single" w:sz="8" w:color="auto"/>
            </w:tcBorders>
          </w:tcPr>
          <w:p>
            <w:pPr>
              <w:spacing w:after="0"/>
              <w:rPr>
                <w:sz w:val="14"/>
                <w:szCs w:val="14"/>
                <w:color w:val="auto"/>
              </w:rPr>
            </w:pPr>
          </w:p>
        </w:tc>
        <w:tc>
          <w:tcPr>
            <w:tcW w:w="1340" w:type="dxa"/>
            <w:vAlign w:val="bottom"/>
            <w:tcBorders>
              <w:right w:val="single" w:sz="8" w:color="auto"/>
            </w:tcBorders>
            <w:vMerge w:val="restart"/>
          </w:tcPr>
          <w:p>
            <w:pPr>
              <w:jc w:val="right"/>
              <w:spacing w:after="0"/>
              <w:rPr>
                <w:sz w:val="20"/>
                <w:szCs w:val="20"/>
                <w:color w:val="auto"/>
              </w:rPr>
            </w:pPr>
            <w:r>
              <w:rPr>
                <w:rFonts w:ascii="Calibri" w:cs="Calibri" w:eastAsia="Calibri" w:hAnsi="Calibri"/>
                <w:sz w:val="16"/>
                <w:szCs w:val="16"/>
                <w:b w:val="1"/>
                <w:bCs w:val="1"/>
                <w:color w:val="auto"/>
              </w:rPr>
              <w:t>Dedicated Reserve</w:t>
            </w:r>
          </w:p>
        </w:tc>
        <w:tc>
          <w:tcPr>
            <w:tcW w:w="920" w:type="dxa"/>
            <w:vAlign w:val="bottom"/>
            <w:tcBorders>
              <w:right w:val="single" w:sz="8" w:color="auto"/>
            </w:tcBorders>
          </w:tcPr>
          <w:p>
            <w:pPr>
              <w:jc w:val="right"/>
              <w:ind w:right="121"/>
              <w:spacing w:after="0" w:line="108" w:lineRule="exact"/>
              <w:rPr>
                <w:sz w:val="20"/>
                <w:szCs w:val="20"/>
                <w:color w:val="auto"/>
              </w:rPr>
            </w:pPr>
            <w:r>
              <w:rPr>
                <w:rFonts w:ascii="Calibri" w:cs="Calibri" w:eastAsia="Calibri" w:hAnsi="Calibri"/>
                <w:sz w:val="11"/>
                <w:szCs w:val="11"/>
                <w:b w:val="1"/>
                <w:bCs w:val="1"/>
                <w:color w:val="auto"/>
              </w:rPr>
              <w:t>Informal</w:t>
            </w:r>
          </w:p>
        </w:tc>
        <w:tc>
          <w:tcPr>
            <w:tcW w:w="40" w:type="dxa"/>
            <w:vAlign w:val="bottom"/>
          </w:tcPr>
          <w:p>
            <w:pPr>
              <w:spacing w:after="0"/>
              <w:rPr>
                <w:sz w:val="14"/>
                <w:szCs w:val="14"/>
                <w:color w:val="auto"/>
              </w:rPr>
            </w:pPr>
          </w:p>
        </w:tc>
        <w:tc>
          <w:tcPr>
            <w:tcW w:w="1080" w:type="dxa"/>
            <w:vAlign w:val="bottom"/>
            <w:tcBorders>
              <w:right w:val="single" w:sz="8" w:color="auto"/>
            </w:tcBorders>
            <w:vMerge w:val="restart"/>
          </w:tcPr>
          <w:p>
            <w:pPr>
              <w:jc w:val="right"/>
              <w:ind w:right="80"/>
              <w:spacing w:after="0"/>
              <w:rPr>
                <w:sz w:val="20"/>
                <w:szCs w:val="20"/>
                <w:color w:val="auto"/>
              </w:rPr>
            </w:pPr>
            <w:r>
              <w:rPr>
                <w:rFonts w:ascii="Calibri" w:cs="Calibri" w:eastAsia="Calibri" w:hAnsi="Calibri"/>
                <w:sz w:val="16"/>
                <w:szCs w:val="16"/>
                <w:b w:val="1"/>
                <w:bCs w:val="1"/>
                <w:color w:val="auto"/>
              </w:rPr>
              <w:t>Prescription</w:t>
            </w:r>
            <w:r>
              <w:rPr>
                <w:rFonts w:ascii="Calibri" w:cs="Calibri" w:eastAsia="Calibri" w:hAnsi="Calibri"/>
                <w:sz w:val="20"/>
                <w:szCs w:val="20"/>
                <w:b w:val="1"/>
                <w:bCs w:val="1"/>
                <w:color w:val="auto"/>
                <w:vertAlign w:val="superscript"/>
              </w:rPr>
              <w:t>d</w:t>
            </w:r>
          </w:p>
        </w:tc>
        <w:tc>
          <w:tcPr>
            <w:tcW w:w="680" w:type="dxa"/>
            <w:vAlign w:val="bottom"/>
            <w:tcBorders>
              <w:right w:val="single" w:sz="8" w:color="auto"/>
            </w:tcBorders>
            <w:vMerge w:val="restart"/>
          </w:tcPr>
          <w:p>
            <w:pPr>
              <w:jc w:val="right"/>
              <w:ind w:right="120"/>
              <w:spacing w:after="0"/>
              <w:rPr>
                <w:sz w:val="20"/>
                <w:szCs w:val="20"/>
                <w:color w:val="auto"/>
              </w:rPr>
            </w:pPr>
            <w:r>
              <w:rPr>
                <w:rFonts w:ascii="Calibri" w:cs="Calibri" w:eastAsia="Calibri" w:hAnsi="Calibri"/>
                <w:sz w:val="16"/>
                <w:szCs w:val="16"/>
                <w:b w:val="1"/>
                <w:bCs w:val="1"/>
                <w:color w:val="auto"/>
              </w:rPr>
              <w:t>Total</w:t>
            </w:r>
          </w:p>
        </w:tc>
        <w:tc>
          <w:tcPr>
            <w:tcW w:w="0" w:type="dxa"/>
            <w:vAlign w:val="bottom"/>
          </w:tcPr>
          <w:p>
            <w:pPr>
              <w:spacing w:after="0"/>
              <w:rPr>
                <w:sz w:val="1"/>
                <w:szCs w:val="1"/>
                <w:color w:val="auto"/>
              </w:rPr>
            </w:pPr>
          </w:p>
        </w:tc>
      </w:tr>
      <w:tr>
        <w:trPr>
          <w:trHeight w:val="102"/>
        </w:trPr>
        <w:tc>
          <w:tcPr>
            <w:tcW w:w="1240" w:type="dxa"/>
            <w:vAlign w:val="bottom"/>
            <w:tcBorders>
              <w:left w:val="single" w:sz="8" w:color="auto"/>
              <w:right w:val="single" w:sz="8" w:color="auto"/>
            </w:tcBorders>
          </w:tcPr>
          <w:p>
            <w:pPr>
              <w:spacing w:after="0"/>
              <w:rPr>
                <w:sz w:val="8"/>
                <w:szCs w:val="8"/>
                <w:color w:val="auto"/>
              </w:rPr>
            </w:pPr>
          </w:p>
        </w:tc>
        <w:tc>
          <w:tcPr>
            <w:tcW w:w="900" w:type="dxa"/>
            <w:vAlign w:val="bottom"/>
            <w:tcBorders>
              <w:right w:val="single" w:sz="8" w:color="auto"/>
            </w:tcBorders>
          </w:tcPr>
          <w:p>
            <w:pPr>
              <w:spacing w:after="0"/>
              <w:rPr>
                <w:sz w:val="8"/>
                <w:szCs w:val="8"/>
                <w:color w:val="auto"/>
              </w:rPr>
            </w:pPr>
          </w:p>
        </w:tc>
        <w:tc>
          <w:tcPr>
            <w:tcW w:w="920" w:type="dxa"/>
            <w:vAlign w:val="bottom"/>
            <w:tcBorders>
              <w:right w:val="single" w:sz="8" w:color="auto"/>
            </w:tcBorders>
            <w:vMerge w:val="continue"/>
          </w:tcPr>
          <w:p>
            <w:pPr>
              <w:spacing w:after="0"/>
              <w:rPr>
                <w:sz w:val="8"/>
                <w:szCs w:val="8"/>
                <w:color w:val="auto"/>
              </w:rPr>
            </w:pPr>
          </w:p>
        </w:tc>
        <w:tc>
          <w:tcPr>
            <w:tcW w:w="1020" w:type="dxa"/>
            <w:vAlign w:val="bottom"/>
            <w:tcBorders>
              <w:right w:val="single" w:sz="8" w:color="auto"/>
            </w:tcBorders>
            <w:vMerge w:val="restart"/>
          </w:tcPr>
          <w:p>
            <w:pPr>
              <w:jc w:val="center"/>
              <w:spacing w:after="0" w:line="161" w:lineRule="exact"/>
              <w:rPr>
                <w:sz w:val="20"/>
                <w:szCs w:val="20"/>
                <w:color w:val="auto"/>
              </w:rPr>
            </w:pPr>
            <w:r>
              <w:rPr>
                <w:rFonts w:ascii="Calibri" w:cs="Calibri" w:eastAsia="Calibri" w:hAnsi="Calibri"/>
                <w:sz w:val="16"/>
                <w:szCs w:val="16"/>
                <w:b w:val="1"/>
                <w:bCs w:val="1"/>
                <w:color w:val="auto"/>
              </w:rPr>
              <w:t>(%)</w:t>
            </w:r>
          </w:p>
        </w:tc>
        <w:tc>
          <w:tcPr>
            <w:tcW w:w="920" w:type="dxa"/>
            <w:vAlign w:val="bottom"/>
            <w:tcBorders>
              <w:right w:val="single" w:sz="8" w:color="auto"/>
            </w:tcBorders>
            <w:vMerge w:val="restart"/>
          </w:tcPr>
          <w:p>
            <w:pPr>
              <w:jc w:val="center"/>
              <w:spacing w:after="0" w:line="161" w:lineRule="exact"/>
              <w:rPr>
                <w:sz w:val="20"/>
                <w:szCs w:val="20"/>
                <w:color w:val="auto"/>
              </w:rPr>
            </w:pPr>
            <w:r>
              <w:rPr>
                <w:rFonts w:ascii="Calibri" w:cs="Calibri" w:eastAsia="Calibri" w:hAnsi="Calibri"/>
                <w:sz w:val="16"/>
                <w:szCs w:val="16"/>
                <w:b w:val="1"/>
                <w:bCs w:val="1"/>
                <w:color w:val="auto"/>
                <w:w w:val="97"/>
              </w:rPr>
              <w:t>(ha)</w:t>
            </w:r>
          </w:p>
        </w:tc>
        <w:tc>
          <w:tcPr>
            <w:tcW w:w="1340" w:type="dxa"/>
            <w:vAlign w:val="bottom"/>
            <w:tcBorders>
              <w:right w:val="single" w:sz="8" w:color="auto"/>
            </w:tcBorders>
            <w:vMerge w:val="continue"/>
          </w:tcPr>
          <w:p>
            <w:pPr>
              <w:spacing w:after="0"/>
              <w:rPr>
                <w:sz w:val="8"/>
                <w:szCs w:val="8"/>
                <w:color w:val="auto"/>
              </w:rPr>
            </w:pPr>
          </w:p>
        </w:tc>
        <w:tc>
          <w:tcPr>
            <w:tcW w:w="920" w:type="dxa"/>
            <w:vAlign w:val="bottom"/>
            <w:tcBorders>
              <w:right w:val="single" w:sz="8" w:color="auto"/>
            </w:tcBorders>
            <w:vMerge w:val="restart"/>
          </w:tcPr>
          <w:p>
            <w:pPr>
              <w:jc w:val="right"/>
              <w:ind w:right="121"/>
              <w:spacing w:after="0" w:line="215" w:lineRule="exact"/>
              <w:rPr>
                <w:sz w:val="20"/>
                <w:szCs w:val="20"/>
                <w:color w:val="auto"/>
              </w:rPr>
            </w:pPr>
            <w:r>
              <w:rPr>
                <w:rFonts w:ascii="Calibri" w:cs="Calibri" w:eastAsia="Calibri" w:hAnsi="Calibri"/>
                <w:sz w:val="16"/>
                <w:szCs w:val="16"/>
                <w:b w:val="1"/>
                <w:bCs w:val="1"/>
                <w:color w:val="auto"/>
              </w:rPr>
              <w:t>Reserve</w:t>
            </w:r>
            <w:r>
              <w:rPr>
                <w:rFonts w:ascii="Calibri" w:cs="Calibri" w:eastAsia="Calibri" w:hAnsi="Calibri"/>
                <w:sz w:val="20"/>
                <w:szCs w:val="20"/>
                <w:b w:val="1"/>
                <w:bCs w:val="1"/>
                <w:color w:val="auto"/>
                <w:vertAlign w:val="superscript"/>
              </w:rPr>
              <w:t>c</w:t>
            </w:r>
          </w:p>
        </w:tc>
        <w:tc>
          <w:tcPr>
            <w:tcW w:w="40" w:type="dxa"/>
            <w:vAlign w:val="bottom"/>
          </w:tcPr>
          <w:p>
            <w:pPr>
              <w:spacing w:after="0"/>
              <w:rPr>
                <w:sz w:val="8"/>
                <w:szCs w:val="8"/>
                <w:color w:val="auto"/>
              </w:rPr>
            </w:pPr>
          </w:p>
        </w:tc>
        <w:tc>
          <w:tcPr>
            <w:tcW w:w="1080" w:type="dxa"/>
            <w:vAlign w:val="bottom"/>
            <w:tcBorders>
              <w:right w:val="single" w:sz="8" w:color="auto"/>
            </w:tcBorders>
            <w:vMerge w:val="continue"/>
          </w:tcPr>
          <w:p>
            <w:pPr>
              <w:spacing w:after="0"/>
              <w:rPr>
                <w:sz w:val="8"/>
                <w:szCs w:val="8"/>
                <w:color w:val="auto"/>
              </w:rPr>
            </w:pPr>
          </w:p>
        </w:tc>
        <w:tc>
          <w:tcPr>
            <w:tcW w:w="680" w:type="dxa"/>
            <w:vAlign w:val="bottom"/>
            <w:tcBorders>
              <w:right w:val="single" w:sz="8" w:color="auto"/>
            </w:tcBorders>
            <w:vMerge w:val="continue"/>
          </w:tcPr>
          <w:p>
            <w:pPr>
              <w:spacing w:after="0"/>
              <w:rPr>
                <w:sz w:val="8"/>
                <w:szCs w:val="8"/>
                <w:color w:val="auto"/>
              </w:rPr>
            </w:pPr>
          </w:p>
        </w:tc>
        <w:tc>
          <w:tcPr>
            <w:tcW w:w="0" w:type="dxa"/>
            <w:vAlign w:val="bottom"/>
          </w:tcPr>
          <w:p>
            <w:pPr>
              <w:spacing w:after="0"/>
              <w:rPr>
                <w:sz w:val="1"/>
                <w:szCs w:val="1"/>
                <w:color w:val="auto"/>
              </w:rPr>
            </w:pPr>
          </w:p>
        </w:tc>
      </w:tr>
      <w:tr>
        <w:trPr>
          <w:trHeight w:val="113"/>
        </w:trPr>
        <w:tc>
          <w:tcPr>
            <w:tcW w:w="1240" w:type="dxa"/>
            <w:vAlign w:val="bottom"/>
            <w:tcBorders>
              <w:left w:val="single" w:sz="8" w:color="auto"/>
              <w:right w:val="single" w:sz="8" w:color="auto"/>
            </w:tcBorders>
          </w:tcPr>
          <w:p>
            <w:pPr>
              <w:spacing w:after="0"/>
              <w:rPr>
                <w:sz w:val="9"/>
                <w:szCs w:val="9"/>
                <w:color w:val="auto"/>
              </w:rPr>
            </w:pPr>
          </w:p>
        </w:tc>
        <w:tc>
          <w:tcPr>
            <w:tcW w:w="900" w:type="dxa"/>
            <w:vAlign w:val="bottom"/>
            <w:tcBorders>
              <w:right w:val="single" w:sz="8" w:color="auto"/>
            </w:tcBorders>
          </w:tcPr>
          <w:p>
            <w:pPr>
              <w:spacing w:after="0"/>
              <w:rPr>
                <w:sz w:val="9"/>
                <w:szCs w:val="9"/>
                <w:color w:val="auto"/>
              </w:rPr>
            </w:pPr>
          </w:p>
        </w:tc>
        <w:tc>
          <w:tcPr>
            <w:tcW w:w="920" w:type="dxa"/>
            <w:vAlign w:val="bottom"/>
            <w:tcBorders>
              <w:right w:val="single" w:sz="8" w:color="auto"/>
            </w:tcBorders>
          </w:tcPr>
          <w:p>
            <w:pPr>
              <w:spacing w:after="0"/>
              <w:rPr>
                <w:sz w:val="9"/>
                <w:szCs w:val="9"/>
                <w:color w:val="auto"/>
              </w:rPr>
            </w:pPr>
          </w:p>
        </w:tc>
        <w:tc>
          <w:tcPr>
            <w:tcW w:w="1020" w:type="dxa"/>
            <w:vAlign w:val="bottom"/>
            <w:tcBorders>
              <w:right w:val="single" w:sz="8" w:color="auto"/>
            </w:tcBorders>
            <w:vMerge w:val="continue"/>
          </w:tcPr>
          <w:p>
            <w:pPr>
              <w:spacing w:after="0"/>
              <w:rPr>
                <w:sz w:val="9"/>
                <w:szCs w:val="9"/>
                <w:color w:val="auto"/>
              </w:rPr>
            </w:pPr>
          </w:p>
        </w:tc>
        <w:tc>
          <w:tcPr>
            <w:tcW w:w="920" w:type="dxa"/>
            <w:vAlign w:val="bottom"/>
            <w:tcBorders>
              <w:right w:val="single" w:sz="8" w:color="auto"/>
            </w:tcBorders>
            <w:vMerge w:val="continue"/>
          </w:tcPr>
          <w:p>
            <w:pPr>
              <w:spacing w:after="0"/>
              <w:rPr>
                <w:sz w:val="9"/>
                <w:szCs w:val="9"/>
                <w:color w:val="auto"/>
              </w:rPr>
            </w:pPr>
          </w:p>
        </w:tc>
        <w:tc>
          <w:tcPr>
            <w:tcW w:w="1340" w:type="dxa"/>
            <w:vAlign w:val="bottom"/>
            <w:tcBorders>
              <w:right w:val="single" w:sz="8" w:color="auto"/>
            </w:tcBorders>
          </w:tcPr>
          <w:p>
            <w:pPr>
              <w:spacing w:after="0"/>
              <w:rPr>
                <w:sz w:val="9"/>
                <w:szCs w:val="9"/>
                <w:color w:val="auto"/>
              </w:rPr>
            </w:pPr>
          </w:p>
        </w:tc>
        <w:tc>
          <w:tcPr>
            <w:tcW w:w="920" w:type="dxa"/>
            <w:vAlign w:val="bottom"/>
            <w:tcBorders>
              <w:right w:val="single" w:sz="8" w:color="auto"/>
            </w:tcBorders>
            <w:vMerge w:val="continue"/>
          </w:tcPr>
          <w:p>
            <w:pPr>
              <w:spacing w:after="0"/>
              <w:rPr>
                <w:sz w:val="9"/>
                <w:szCs w:val="9"/>
                <w:color w:val="auto"/>
              </w:rPr>
            </w:pPr>
          </w:p>
        </w:tc>
        <w:tc>
          <w:tcPr>
            <w:tcW w:w="40" w:type="dxa"/>
            <w:vAlign w:val="bottom"/>
          </w:tcPr>
          <w:p>
            <w:pPr>
              <w:spacing w:after="0"/>
              <w:rPr>
                <w:sz w:val="9"/>
                <w:szCs w:val="9"/>
                <w:color w:val="auto"/>
              </w:rPr>
            </w:pPr>
          </w:p>
        </w:tc>
        <w:tc>
          <w:tcPr>
            <w:tcW w:w="1080" w:type="dxa"/>
            <w:vAlign w:val="bottom"/>
            <w:tcBorders>
              <w:right w:val="single" w:sz="8" w:color="auto"/>
            </w:tcBorders>
          </w:tcPr>
          <w:p>
            <w:pPr>
              <w:spacing w:after="0"/>
              <w:rPr>
                <w:sz w:val="9"/>
                <w:szCs w:val="9"/>
                <w:color w:val="auto"/>
              </w:rPr>
            </w:pPr>
          </w:p>
        </w:tc>
        <w:tc>
          <w:tcPr>
            <w:tcW w:w="68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7"/>
        </w:trPr>
        <w:tc>
          <w:tcPr>
            <w:tcW w:w="1240" w:type="dxa"/>
            <w:vAlign w:val="bottom"/>
            <w:tcBorders>
              <w:left w:val="single" w:sz="8" w:color="auto"/>
              <w:bottom w:val="single" w:sz="8" w:color="auto"/>
              <w:right w:val="single" w:sz="8" w:color="auto"/>
            </w:tcBorders>
          </w:tcPr>
          <w:p>
            <w:pPr>
              <w:spacing w:after="0"/>
              <w:rPr>
                <w:sz w:val="16"/>
                <w:szCs w:val="16"/>
                <w:color w:val="auto"/>
              </w:rPr>
            </w:pPr>
          </w:p>
        </w:tc>
        <w:tc>
          <w:tcPr>
            <w:tcW w:w="90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102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1340" w:type="dxa"/>
            <w:vAlign w:val="bottom"/>
            <w:tcBorders>
              <w:bottom w:val="single" w:sz="8" w:color="auto"/>
              <w:right w:val="single" w:sz="8" w:color="auto"/>
            </w:tcBorders>
          </w:tcPr>
          <w:p>
            <w:pPr>
              <w:spacing w:after="0"/>
              <w:rPr>
                <w:sz w:val="16"/>
                <w:szCs w:val="16"/>
                <w:color w:val="auto"/>
              </w:rPr>
            </w:pPr>
          </w:p>
        </w:tc>
        <w:tc>
          <w:tcPr>
            <w:tcW w:w="920" w:type="dxa"/>
            <w:vAlign w:val="bottom"/>
            <w:tcBorders>
              <w:bottom w:val="single" w:sz="8" w:color="auto"/>
              <w:right w:val="single" w:sz="8" w:color="auto"/>
            </w:tcBorders>
          </w:tcPr>
          <w:p>
            <w:pPr>
              <w:spacing w:after="0"/>
              <w:rPr>
                <w:sz w:val="16"/>
                <w:szCs w:val="16"/>
                <w:color w:val="auto"/>
              </w:rPr>
            </w:pPr>
          </w:p>
        </w:tc>
        <w:tc>
          <w:tcPr>
            <w:tcW w:w="40" w:type="dxa"/>
            <w:vAlign w:val="bottom"/>
            <w:tcBorders>
              <w:bottom w:val="single" w:sz="8" w:color="auto"/>
            </w:tcBorders>
          </w:tcPr>
          <w:p>
            <w:pPr>
              <w:spacing w:after="0"/>
              <w:rPr>
                <w:sz w:val="16"/>
                <w:szCs w:val="16"/>
                <w:color w:val="auto"/>
              </w:rPr>
            </w:pPr>
          </w:p>
        </w:tc>
        <w:tc>
          <w:tcPr>
            <w:tcW w:w="1080" w:type="dxa"/>
            <w:vAlign w:val="bottom"/>
            <w:tcBorders>
              <w:bottom w:val="single" w:sz="8" w:color="auto"/>
              <w:right w:val="single" w:sz="8" w:color="auto"/>
            </w:tcBorders>
          </w:tcPr>
          <w:p>
            <w:pPr>
              <w:spacing w:after="0"/>
              <w:rPr>
                <w:sz w:val="16"/>
                <w:szCs w:val="16"/>
                <w:color w:val="auto"/>
              </w:rPr>
            </w:pPr>
          </w:p>
        </w:tc>
        <w:tc>
          <w:tcPr>
            <w:tcW w:w="680" w:type="dxa"/>
            <w:vAlign w:val="bottom"/>
            <w:tcBorders>
              <w:bottom w:val="single" w:sz="8" w:color="auto"/>
              <w:right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Lowland Heathy</w:t>
            </w:r>
          </w:p>
        </w:tc>
        <w:tc>
          <w:tcPr>
            <w:tcW w:w="900" w:type="dxa"/>
            <w:vAlign w:val="bottom"/>
            <w:tcBorders>
              <w:right w:val="single" w:sz="8" w:color="auto"/>
            </w:tcBorders>
          </w:tcPr>
          <w:p>
            <w:pPr>
              <w:jc w:val="center"/>
              <w:spacing w:after="0" w:line="186" w:lineRule="exact"/>
              <w:rPr>
                <w:sz w:val="20"/>
                <w:szCs w:val="20"/>
                <w:color w:val="auto"/>
              </w:rPr>
            </w:pPr>
            <w:r>
              <w:rPr>
                <w:rFonts w:ascii="Calibri" w:cs="Calibri" w:eastAsia="Calibri" w:hAnsi="Calibri"/>
                <w:sz w:val="16"/>
                <w:szCs w:val="16"/>
                <w:color w:val="auto"/>
                <w:w w:val="95"/>
              </w:rPr>
              <w:t>X</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42,805</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&lt;1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22</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61.5</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38.5</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Foothill Forest</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Riparian Forest</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31,801</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&lt;1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130</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17.7</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82.3</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Heathy Dry</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14,435</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64</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9,210</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32.8</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47.4</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0.7</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80.2</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Forest</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Grassy Dry Forest</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41,579</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&lt;1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7</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99.9</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99.9</w:t>
            </w: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Herb-rich Foothill</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123,049</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&lt;1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77</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1.0</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83.8</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84.8</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Forest</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Damp Forest</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162,307</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&lt;1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547</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47.0</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51.9</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0.1</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Wet Forest</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120,068</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4</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5,048</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95.7</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4.0</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99.7</w:t>
            </w: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Cool Temperate</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12,970</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13</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1,689</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96.8</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3.2</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Rainforest</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Montane Dry</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7,050</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57</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4,040</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1.7</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59.2</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1.7</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60.9</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Woodland</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Montane Damp</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20,150</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&lt;1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75</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40.5</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59.5</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Forest</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1"/>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8"/>
        </w:trPr>
        <w:tc>
          <w:tcPr>
            <w:tcW w:w="1240" w:type="dxa"/>
            <w:vAlign w:val="bottom"/>
            <w:tcBorders>
              <w:left w:val="single" w:sz="8" w:color="auto"/>
              <w:right w:val="single" w:sz="8" w:color="auto"/>
            </w:tcBorders>
          </w:tcPr>
          <w:p>
            <w:pPr>
              <w:ind w:left="40"/>
              <w:spacing w:after="0" w:line="188" w:lineRule="exact"/>
              <w:rPr>
                <w:sz w:val="20"/>
                <w:szCs w:val="20"/>
                <w:color w:val="auto"/>
              </w:rPr>
            </w:pPr>
            <w:r>
              <w:rPr>
                <w:rFonts w:ascii="Calibri" w:cs="Calibri" w:eastAsia="Calibri" w:hAnsi="Calibri"/>
                <w:sz w:val="16"/>
                <w:szCs w:val="16"/>
                <w:color w:val="auto"/>
              </w:rPr>
              <w:t>Montane Wet</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49,678</w:t>
            </w:r>
          </w:p>
        </w:tc>
        <w:tc>
          <w:tcPr>
            <w:tcW w:w="102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2</w:t>
            </w:r>
          </w:p>
        </w:tc>
        <w:tc>
          <w:tcPr>
            <w:tcW w:w="92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940</w:t>
            </w:r>
          </w:p>
        </w:tc>
        <w:tc>
          <w:tcPr>
            <w:tcW w:w="134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96.4</w:t>
            </w:r>
          </w:p>
        </w:tc>
        <w:tc>
          <w:tcPr>
            <w:tcW w:w="920" w:type="dxa"/>
            <w:vAlign w:val="bottom"/>
            <w:tcBorders>
              <w:right w:val="single" w:sz="8" w:color="auto"/>
            </w:tcBorders>
          </w:tcPr>
          <w:p>
            <w:pPr>
              <w:jc w:val="right"/>
              <w:ind w:right="1"/>
              <w:spacing w:after="0" w:line="188" w:lineRule="exact"/>
              <w:rPr>
                <w:sz w:val="20"/>
                <w:szCs w:val="20"/>
                <w:color w:val="auto"/>
              </w:rPr>
            </w:pPr>
            <w:r>
              <w:rPr>
                <w:rFonts w:ascii="Calibri" w:cs="Calibri" w:eastAsia="Calibri" w:hAnsi="Calibri"/>
                <w:sz w:val="16"/>
                <w:szCs w:val="16"/>
                <w:color w:val="auto"/>
              </w:rPr>
              <w:t>3.6</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23"/>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Forest</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Montane</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3,056</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&lt;1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10</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82.3</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11.9</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94.2</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Riparian Thicket</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Sub-alpine</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7,259</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&lt;1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3</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100.0</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0.0</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Woodland</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Shrubby Foothill</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35,482</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&lt;1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32</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89.6</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10.4</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Forest</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1"/>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8"/>
        </w:trPr>
        <w:tc>
          <w:tcPr>
            <w:tcW w:w="1240" w:type="dxa"/>
            <w:vAlign w:val="bottom"/>
            <w:tcBorders>
              <w:left w:val="single" w:sz="8" w:color="auto"/>
              <w:right w:val="single" w:sz="8" w:color="auto"/>
            </w:tcBorders>
          </w:tcPr>
          <w:p>
            <w:pPr>
              <w:ind w:left="40"/>
              <w:spacing w:after="0" w:line="188" w:lineRule="exact"/>
              <w:rPr>
                <w:sz w:val="20"/>
                <w:szCs w:val="20"/>
                <w:color w:val="auto"/>
              </w:rPr>
            </w:pPr>
            <w:r>
              <w:rPr>
                <w:rFonts w:ascii="Calibri" w:cs="Calibri" w:eastAsia="Calibri" w:hAnsi="Calibri"/>
                <w:sz w:val="16"/>
                <w:szCs w:val="16"/>
                <w:color w:val="auto"/>
              </w:rPr>
              <w:t>Valley Grassy</w:t>
            </w:r>
          </w:p>
        </w:tc>
        <w:tc>
          <w:tcPr>
            <w:tcW w:w="900" w:type="dxa"/>
            <w:vAlign w:val="bottom"/>
            <w:tcBorders>
              <w:right w:val="single" w:sz="8" w:color="auto"/>
            </w:tcBorders>
          </w:tcPr>
          <w:p>
            <w:pPr>
              <w:jc w:val="center"/>
              <w:spacing w:after="0" w:line="188" w:lineRule="exact"/>
              <w:rPr>
                <w:sz w:val="20"/>
                <w:szCs w:val="20"/>
                <w:color w:val="auto"/>
              </w:rPr>
            </w:pPr>
            <w:r>
              <w:rPr>
                <w:rFonts w:ascii="Calibri" w:cs="Calibri" w:eastAsia="Calibri" w:hAnsi="Calibri"/>
                <w:sz w:val="16"/>
                <w:szCs w:val="16"/>
                <w:color w:val="auto"/>
                <w:w w:val="95"/>
              </w:rPr>
              <w:t>X</w:t>
            </w:r>
          </w:p>
        </w:tc>
        <w:tc>
          <w:tcPr>
            <w:tcW w:w="92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7,201</w:t>
            </w:r>
          </w:p>
        </w:tc>
        <w:tc>
          <w:tcPr>
            <w:tcW w:w="102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10</w:t>
            </w:r>
          </w:p>
        </w:tc>
        <w:tc>
          <w:tcPr>
            <w:tcW w:w="92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695</w:t>
            </w:r>
          </w:p>
        </w:tc>
        <w:tc>
          <w:tcPr>
            <w:tcW w:w="134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70.9</w:t>
            </w:r>
          </w:p>
        </w:tc>
        <w:tc>
          <w:tcPr>
            <w:tcW w:w="920" w:type="dxa"/>
            <w:vAlign w:val="bottom"/>
            <w:tcBorders>
              <w:right w:val="single" w:sz="8" w:color="auto"/>
            </w:tcBorders>
          </w:tcPr>
          <w:p>
            <w:pPr>
              <w:jc w:val="right"/>
              <w:ind w:right="1"/>
              <w:spacing w:after="0" w:line="188" w:lineRule="exact"/>
              <w:rPr>
                <w:sz w:val="20"/>
                <w:szCs w:val="20"/>
                <w:color w:val="auto"/>
              </w:rPr>
            </w:pPr>
            <w:r>
              <w:rPr>
                <w:rFonts w:ascii="Calibri" w:cs="Calibri" w:eastAsia="Calibri" w:hAnsi="Calibri"/>
                <w:sz w:val="16"/>
                <w:szCs w:val="16"/>
                <w:color w:val="auto"/>
              </w:rPr>
              <w:t>0.0</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0.0</w:t>
            </w:r>
          </w:p>
        </w:tc>
        <w:tc>
          <w:tcPr>
            <w:tcW w:w="680" w:type="dxa"/>
            <w:vAlign w:val="bottom"/>
            <w:tcBorders>
              <w:right w:val="single" w:sz="8" w:color="auto"/>
            </w:tcBorders>
          </w:tcPr>
          <w:p>
            <w:pPr>
              <w:jc w:val="right"/>
              <w:spacing w:after="0" w:line="188" w:lineRule="exact"/>
              <w:rPr>
                <w:sz w:val="20"/>
                <w:szCs w:val="20"/>
                <w:color w:val="auto"/>
              </w:rPr>
            </w:pPr>
            <w:r>
              <w:rPr>
                <w:rFonts w:ascii="Calibri" w:cs="Calibri" w:eastAsia="Calibri" w:hAnsi="Calibri"/>
                <w:sz w:val="16"/>
                <w:szCs w:val="16"/>
                <w:color w:val="auto"/>
              </w:rPr>
              <w:t>70.9</w:t>
            </w:r>
          </w:p>
        </w:tc>
        <w:tc>
          <w:tcPr>
            <w:tcW w:w="0" w:type="dxa"/>
            <w:vAlign w:val="bottom"/>
          </w:tcPr>
          <w:p>
            <w:pPr>
              <w:spacing w:after="0"/>
              <w:rPr>
                <w:sz w:val="1"/>
                <w:szCs w:val="1"/>
                <w:color w:val="auto"/>
              </w:rPr>
            </w:pPr>
          </w:p>
        </w:tc>
      </w:tr>
      <w:tr>
        <w:trPr>
          <w:trHeight w:val="223"/>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Forest</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86"/>
        </w:trPr>
        <w:tc>
          <w:tcPr>
            <w:tcW w:w="1240" w:type="dxa"/>
            <w:vAlign w:val="bottom"/>
            <w:tcBorders>
              <w:left w:val="single" w:sz="8" w:color="auto"/>
              <w:right w:val="single" w:sz="8" w:color="auto"/>
            </w:tcBorders>
          </w:tcPr>
          <w:p>
            <w:pPr>
              <w:ind w:left="40"/>
              <w:spacing w:after="0" w:line="186" w:lineRule="exact"/>
              <w:rPr>
                <w:sz w:val="20"/>
                <w:szCs w:val="20"/>
                <w:color w:val="auto"/>
              </w:rPr>
            </w:pPr>
            <w:r>
              <w:rPr>
                <w:rFonts w:ascii="Calibri" w:cs="Calibri" w:eastAsia="Calibri" w:hAnsi="Calibri"/>
                <w:sz w:val="16"/>
                <w:szCs w:val="16"/>
                <w:color w:val="auto"/>
              </w:rPr>
              <w:t>Heathy</w:t>
            </w:r>
          </w:p>
        </w:tc>
        <w:tc>
          <w:tcPr>
            <w:tcW w:w="900" w:type="dxa"/>
            <w:vAlign w:val="bottom"/>
            <w:tcBorders>
              <w:right w:val="single" w:sz="8" w:color="auto"/>
            </w:tcBorders>
          </w:tcPr>
          <w:p>
            <w:pPr>
              <w:spacing w:after="0"/>
              <w:rPr>
                <w:sz w:val="16"/>
                <w:szCs w:val="16"/>
                <w:color w:val="auto"/>
              </w:rPr>
            </w:pP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6,684</w:t>
            </w:r>
          </w:p>
        </w:tc>
        <w:tc>
          <w:tcPr>
            <w:tcW w:w="10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51</w:t>
            </w:r>
          </w:p>
        </w:tc>
        <w:tc>
          <w:tcPr>
            <w:tcW w:w="92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3,426</w:t>
            </w:r>
          </w:p>
        </w:tc>
        <w:tc>
          <w:tcPr>
            <w:tcW w:w="134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80.5</w:t>
            </w:r>
          </w:p>
        </w:tc>
        <w:tc>
          <w:tcPr>
            <w:tcW w:w="920" w:type="dxa"/>
            <w:vAlign w:val="bottom"/>
            <w:tcBorders>
              <w:right w:val="single" w:sz="8" w:color="auto"/>
            </w:tcBorders>
          </w:tcPr>
          <w:p>
            <w:pPr>
              <w:jc w:val="right"/>
              <w:ind w:right="1"/>
              <w:spacing w:after="0" w:line="186" w:lineRule="exact"/>
              <w:rPr>
                <w:sz w:val="20"/>
                <w:szCs w:val="20"/>
                <w:color w:val="auto"/>
              </w:rPr>
            </w:pPr>
            <w:r>
              <w:rPr>
                <w:rFonts w:ascii="Calibri" w:cs="Calibri" w:eastAsia="Calibri" w:hAnsi="Calibri"/>
                <w:sz w:val="16"/>
                <w:szCs w:val="16"/>
                <w:color w:val="auto"/>
              </w:rPr>
              <w:t>5.9</w:t>
            </w:r>
          </w:p>
        </w:tc>
        <w:tc>
          <w:tcPr>
            <w:tcW w:w="40" w:type="dxa"/>
            <w:vAlign w:val="bottom"/>
          </w:tcPr>
          <w:p>
            <w:pPr>
              <w:spacing w:after="0"/>
              <w:rPr>
                <w:sz w:val="16"/>
                <w:szCs w:val="16"/>
                <w:color w:val="auto"/>
              </w:rPr>
            </w:pPr>
          </w:p>
        </w:tc>
        <w:tc>
          <w:tcPr>
            <w:tcW w:w="10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0.6</w:t>
            </w:r>
          </w:p>
        </w:tc>
        <w:tc>
          <w:tcPr>
            <w:tcW w:w="680" w:type="dxa"/>
            <w:vAlign w:val="bottom"/>
            <w:tcBorders>
              <w:right w:val="single" w:sz="8" w:color="auto"/>
            </w:tcBorders>
          </w:tcPr>
          <w:p>
            <w:pPr>
              <w:jc w:val="right"/>
              <w:spacing w:after="0" w:line="186" w:lineRule="exact"/>
              <w:rPr>
                <w:sz w:val="20"/>
                <w:szCs w:val="20"/>
                <w:color w:val="auto"/>
              </w:rPr>
            </w:pPr>
            <w:r>
              <w:rPr>
                <w:rFonts w:ascii="Calibri" w:cs="Calibri" w:eastAsia="Calibri" w:hAnsi="Calibri"/>
                <w:sz w:val="16"/>
                <w:szCs w:val="16"/>
                <w:color w:val="auto"/>
              </w:rPr>
              <w:t>87</w:t>
            </w:r>
          </w:p>
        </w:tc>
        <w:tc>
          <w:tcPr>
            <w:tcW w:w="0" w:type="dxa"/>
            <w:vAlign w:val="bottom"/>
          </w:tcPr>
          <w:p>
            <w:pPr>
              <w:spacing w:after="0"/>
              <w:rPr>
                <w:sz w:val="1"/>
                <w:szCs w:val="1"/>
                <w:color w:val="auto"/>
              </w:rPr>
            </w:pPr>
          </w:p>
        </w:tc>
      </w:tr>
      <w:tr>
        <w:trPr>
          <w:trHeight w:val="226"/>
        </w:trPr>
        <w:tc>
          <w:tcPr>
            <w:tcW w:w="1240" w:type="dxa"/>
            <w:vAlign w:val="bottom"/>
            <w:tcBorders>
              <w:left w:val="single" w:sz="8" w:color="auto"/>
              <w:right w:val="single" w:sz="8" w:color="auto"/>
            </w:tcBorders>
          </w:tcPr>
          <w:p>
            <w:pPr>
              <w:ind w:left="40"/>
              <w:spacing w:after="0"/>
              <w:rPr>
                <w:sz w:val="20"/>
                <w:szCs w:val="20"/>
                <w:color w:val="auto"/>
              </w:rPr>
            </w:pPr>
            <w:r>
              <w:rPr>
                <w:rFonts w:ascii="Calibri" w:cs="Calibri" w:eastAsia="Calibri" w:hAnsi="Calibri"/>
                <w:sz w:val="16"/>
                <w:szCs w:val="16"/>
                <w:color w:val="auto"/>
              </w:rPr>
              <w:t>Woodland</w:t>
            </w:r>
          </w:p>
        </w:tc>
        <w:tc>
          <w:tcPr>
            <w:tcW w:w="90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02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1340" w:type="dxa"/>
            <w:vAlign w:val="bottom"/>
            <w:tcBorders>
              <w:right w:val="single" w:sz="8" w:color="auto"/>
            </w:tcBorders>
          </w:tcPr>
          <w:p>
            <w:pPr>
              <w:spacing w:after="0"/>
              <w:rPr>
                <w:sz w:val="19"/>
                <w:szCs w:val="19"/>
                <w:color w:val="auto"/>
              </w:rPr>
            </w:pPr>
          </w:p>
        </w:tc>
        <w:tc>
          <w:tcPr>
            <w:tcW w:w="920" w:type="dxa"/>
            <w:vAlign w:val="bottom"/>
            <w:tcBorders>
              <w:right w:val="single" w:sz="8" w:color="auto"/>
            </w:tcBorders>
          </w:tcPr>
          <w:p>
            <w:pPr>
              <w:spacing w:after="0"/>
              <w:rPr>
                <w:sz w:val="19"/>
                <w:szCs w:val="19"/>
                <w:color w:val="auto"/>
              </w:rPr>
            </w:pPr>
          </w:p>
        </w:tc>
        <w:tc>
          <w:tcPr>
            <w:tcW w:w="40" w:type="dxa"/>
            <w:vAlign w:val="bottom"/>
          </w:tcPr>
          <w:p>
            <w:pPr>
              <w:spacing w:after="0"/>
              <w:rPr>
                <w:sz w:val="19"/>
                <w:szCs w:val="19"/>
                <w:color w:val="auto"/>
              </w:rPr>
            </w:pPr>
          </w:p>
        </w:tc>
        <w:tc>
          <w:tcPr>
            <w:tcW w:w="1080" w:type="dxa"/>
            <w:vAlign w:val="bottom"/>
            <w:tcBorders>
              <w:right w:val="single" w:sz="8" w:color="auto"/>
            </w:tcBorders>
          </w:tcPr>
          <w:p>
            <w:pPr>
              <w:spacing w:after="0"/>
              <w:rPr>
                <w:sz w:val="19"/>
                <w:szCs w:val="19"/>
                <w:color w:val="auto"/>
              </w:rPr>
            </w:pPr>
          </w:p>
        </w:tc>
        <w:tc>
          <w:tcPr>
            <w:tcW w:w="680" w:type="dxa"/>
            <w:vAlign w:val="bottom"/>
            <w:tcBorders>
              <w:right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234"/>
        </w:trPr>
        <w:tc>
          <w:tcPr>
            <w:tcW w:w="1240" w:type="dxa"/>
            <w:vAlign w:val="bottom"/>
            <w:tcBorders>
              <w:left w:val="single" w:sz="8" w:color="auto"/>
              <w:bottom w:val="single" w:sz="8" w:color="auto"/>
              <w:right w:val="single" w:sz="8" w:color="auto"/>
            </w:tcBorders>
          </w:tcPr>
          <w:p>
            <w:pPr>
              <w:spacing w:after="0"/>
              <w:rPr>
                <w:sz w:val="20"/>
                <w:szCs w:val="20"/>
                <w:color w:val="auto"/>
              </w:rPr>
            </w:pPr>
          </w:p>
        </w:tc>
        <w:tc>
          <w:tcPr>
            <w:tcW w:w="90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02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1340" w:type="dxa"/>
            <w:vAlign w:val="bottom"/>
            <w:tcBorders>
              <w:bottom w:val="single" w:sz="8" w:color="auto"/>
              <w:right w:val="single" w:sz="8" w:color="auto"/>
            </w:tcBorders>
          </w:tcPr>
          <w:p>
            <w:pPr>
              <w:spacing w:after="0"/>
              <w:rPr>
                <w:sz w:val="20"/>
                <w:szCs w:val="20"/>
                <w:color w:val="auto"/>
              </w:rPr>
            </w:pPr>
          </w:p>
        </w:tc>
        <w:tc>
          <w:tcPr>
            <w:tcW w:w="920" w:type="dxa"/>
            <w:vAlign w:val="bottom"/>
            <w:tcBorders>
              <w:bottom w:val="single" w:sz="8" w:color="auto"/>
              <w:right w:val="single" w:sz="8" w:color="auto"/>
            </w:tcBorders>
          </w:tcPr>
          <w:p>
            <w:pPr>
              <w:spacing w:after="0"/>
              <w:rPr>
                <w:sz w:val="20"/>
                <w:szCs w:val="20"/>
                <w:color w:val="auto"/>
              </w:rPr>
            </w:pPr>
          </w:p>
        </w:tc>
        <w:tc>
          <w:tcPr>
            <w:tcW w:w="40" w:type="dxa"/>
            <w:vAlign w:val="bottom"/>
            <w:tcBorders>
              <w:bottom w:val="single" w:sz="8" w:color="auto"/>
            </w:tcBorders>
          </w:tcPr>
          <w:p>
            <w:pPr>
              <w:spacing w:after="0"/>
              <w:rPr>
                <w:sz w:val="20"/>
                <w:szCs w:val="20"/>
                <w:color w:val="auto"/>
              </w:rPr>
            </w:pPr>
          </w:p>
        </w:tc>
        <w:tc>
          <w:tcPr>
            <w:tcW w:w="1080" w:type="dxa"/>
            <w:vAlign w:val="bottom"/>
            <w:tcBorders>
              <w:bottom w:val="single" w:sz="8" w:color="auto"/>
              <w:right w:val="single" w:sz="8" w:color="auto"/>
            </w:tcBorders>
          </w:tcPr>
          <w:p>
            <w:pPr>
              <w:spacing w:after="0"/>
              <w:rPr>
                <w:sz w:val="20"/>
                <w:szCs w:val="20"/>
                <w:color w:val="auto"/>
              </w:rPr>
            </w:pPr>
          </w:p>
        </w:tc>
        <w:tc>
          <w:tcPr>
            <w:tcW w:w="680" w:type="dxa"/>
            <w:vAlign w:val="bottom"/>
            <w:tcBorders>
              <w:bottom w:val="single" w:sz="8" w:color="auto"/>
              <w:right w:val="single" w:sz="8" w:color="auto"/>
            </w:tcBorders>
          </w:tcPr>
          <w:p>
            <w:pPr>
              <w:spacing w:after="0"/>
              <w:rPr>
                <w:sz w:val="20"/>
                <w:szCs w:val="20"/>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7" w:lineRule="exact"/>
        <w:rPr>
          <w:sz w:val="20"/>
          <w:szCs w:val="20"/>
          <w:color w:val="auto"/>
        </w:rPr>
      </w:pPr>
    </w:p>
    <w:p>
      <w:pPr>
        <w:ind w:right="60"/>
        <w:spacing w:after="0" w:line="265" w:lineRule="auto"/>
        <w:tabs>
          <w:tab w:leader="none" w:pos="194" w:val="left"/>
        </w:tabs>
        <w:numPr>
          <w:ilvl w:val="0"/>
          <w:numId w:val="14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modelled information mapped at a scale of 1:100,000 derived during the old growth analysis of vegetation types in the Central Highlands, and are therefore only approximate.</w:t>
      </w:r>
    </w:p>
    <w:p>
      <w:pPr>
        <w:spacing w:after="0" w:line="215" w:lineRule="exact"/>
        <w:rPr>
          <w:rFonts w:ascii="Times New Roman" w:cs="Times New Roman" w:eastAsia="Times New Roman" w:hAnsi="Times New Roman"/>
          <w:sz w:val="16"/>
          <w:szCs w:val="16"/>
          <w:color w:val="auto"/>
        </w:rPr>
      </w:pPr>
    </w:p>
    <w:p>
      <w:pPr>
        <w:ind w:right="20"/>
        <w:spacing w:after="0" w:line="296" w:lineRule="auto"/>
        <w:tabs>
          <w:tab w:leader="none" w:pos="202" w:val="left"/>
        </w:tabs>
        <w:numPr>
          <w:ilvl w:val="0"/>
          <w:numId w:val="149"/>
        </w:numPr>
        <w:rPr>
          <w:rFonts w:ascii="Times New Roman" w:cs="Times New Roman" w:eastAsia="Times New Roman" w:hAnsi="Times New Roman"/>
          <w:sz w:val="15"/>
          <w:szCs w:val="15"/>
          <w:color w:val="auto"/>
        </w:rPr>
      </w:pPr>
      <w:r>
        <w:rPr>
          <w:rFonts w:ascii="Times New Roman" w:cs="Times New Roman" w:eastAsia="Times New Roman" w:hAnsi="Times New Roman"/>
          <w:sz w:val="15"/>
          <w:szCs w:val="15"/>
          <w:color w:val="auto"/>
        </w:rPr>
        <w:t>X indicates where typology changes have resulted in these EVCs not being readily comparable to EVC types outlined in Table 2a. EVC mapping used in 1998 has been revised to ensure the state-wide EVC data set is based on the best available information and integrates new methods of mapping and modelling vegetation across Victoria. Differences between the 1998 and 2019 data sets include: changes to how the pre-1750 EVC dataset was created, changes to how DELWP creates a view of EVC extent (using a new native vegetation extent model and the pre 1750 dataset), applying nomenclature standards to EVCs which may have resulted in the discontinuation of certain EVC names, the</w:t>
      </w:r>
    </w:p>
    <w:p>
      <w:pPr>
        <w:jc w:val="center"/>
        <w:spacing w:after="0"/>
        <w:rPr>
          <w:sz w:val="20"/>
          <w:szCs w:val="20"/>
          <w:color w:val="auto"/>
        </w:rPr>
      </w:pPr>
      <w:r>
        <w:rPr>
          <w:rFonts w:ascii="Calibri" w:cs="Calibri" w:eastAsia="Calibri" w:hAnsi="Calibri"/>
          <w:sz w:val="22"/>
          <w:szCs w:val="22"/>
          <w:color w:val="auto"/>
        </w:rPr>
        <w:t>61</w:t>
      </w:r>
    </w:p>
    <w:p>
      <w:pPr>
        <w:spacing w:after="0" w:line="270"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40"/>
          </w:cols>
          <w:pgMar w:left="1440" w:top="1440" w:right="1426" w:bottom="147" w:gutter="0" w:footer="0" w:header="0"/>
        </w:sectPr>
      </w:pPr>
    </w:p>
    <w:bookmarkStart w:id="61" w:name="page62"/>
    <w:bookmarkEnd w:id="61"/>
    <w:p>
      <w:pPr>
        <w:spacing w:after="0" w:line="4" w:lineRule="exact"/>
        <w:rPr>
          <w:sz w:val="20"/>
          <w:szCs w:val="20"/>
          <w:color w:val="auto"/>
        </w:rPr>
      </w:pPr>
    </w:p>
    <w:p>
      <w:pPr>
        <w:ind w:right="166"/>
        <w:spacing w:after="0" w:line="270" w:lineRule="auto"/>
        <w:rPr>
          <w:sz w:val="20"/>
          <w:szCs w:val="20"/>
          <w:color w:val="auto"/>
        </w:rPr>
      </w:pPr>
      <w:r>
        <w:rPr>
          <w:rFonts w:ascii="Times New Roman" w:cs="Times New Roman" w:eastAsia="Times New Roman" w:hAnsi="Times New Roman"/>
          <w:sz w:val="16"/>
          <w:szCs w:val="16"/>
          <w:color w:val="auto"/>
        </w:rPr>
        <w:t>splitting of EVCs, reconciliation of mapping units (such as mosaics and complexes), the delineation of new EVC types and spatial adjustments. As a result, information relating to EVC extent, Old Growth Forest extent or reservation levels between 1998 and 2019 is not directly comparable and may differ due to the different modelling and mapping approaches.</w:t>
      </w:r>
    </w:p>
    <w:p>
      <w:pPr>
        <w:spacing w:after="0" w:line="207" w:lineRule="exact"/>
        <w:rPr>
          <w:sz w:val="20"/>
          <w:szCs w:val="20"/>
          <w:color w:val="auto"/>
        </w:rPr>
      </w:pPr>
    </w:p>
    <w:p>
      <w:pPr>
        <w:ind w:left="200" w:hanging="200"/>
        <w:spacing w:after="0"/>
        <w:tabs>
          <w:tab w:leader="none" w:pos="200"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greater than 100 metres and other informal reserves.</w:t>
      </w:r>
    </w:p>
    <w:p>
      <w:pPr>
        <w:spacing w:after="0" w:line="233" w:lineRule="exact"/>
        <w:rPr>
          <w:rFonts w:ascii="Times New Roman" w:cs="Times New Roman" w:eastAsia="Times New Roman" w:hAnsi="Times New Roman"/>
          <w:sz w:val="16"/>
          <w:szCs w:val="16"/>
          <w:color w:val="auto"/>
        </w:rPr>
      </w:pPr>
    </w:p>
    <w:p>
      <w:pPr>
        <w:ind w:right="146"/>
        <w:spacing w:after="0" w:line="265" w:lineRule="auto"/>
        <w:tabs>
          <w:tab w:leader="none" w:pos="201" w:val="left"/>
        </w:tabs>
        <w:numPr>
          <w:ilvl w:val="0"/>
          <w:numId w:val="15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those elements of GMZ and SMZ protected by prescriptions, including stream buffers and rainforest with a surrounding buffer.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jc w:val="center"/>
        <w:ind w:right="6"/>
        <w:spacing w:after="0"/>
        <w:rPr>
          <w:sz w:val="20"/>
          <w:szCs w:val="20"/>
          <w:color w:val="auto"/>
        </w:rPr>
      </w:pPr>
      <w:r>
        <w:rPr>
          <w:rFonts w:ascii="Calibri" w:cs="Calibri" w:eastAsia="Calibri" w:hAnsi="Calibri"/>
          <w:sz w:val="22"/>
          <w:szCs w:val="22"/>
          <w:color w:val="auto"/>
        </w:rPr>
        <w:t>62</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26"/>
          </w:cols>
          <w:pgMar w:left="1440" w:top="1440" w:right="1440" w:bottom="147" w:gutter="0" w:footer="0" w:header="0"/>
        </w:sectPr>
      </w:pPr>
    </w:p>
    <w:bookmarkStart w:id="62" w:name="page63"/>
    <w:bookmarkEnd w:id="62"/>
    <w:p>
      <w:pPr>
        <w:spacing w:after="0" w:line="9" w:lineRule="exact"/>
        <w:rPr>
          <w:sz w:val="20"/>
          <w:szCs w:val="20"/>
          <w:color w:val="auto"/>
        </w:rPr>
      </w:pPr>
    </w:p>
    <w:p>
      <w:pPr>
        <w:ind w:right="180"/>
        <w:spacing w:after="0" w:line="279" w:lineRule="auto"/>
        <w:rPr>
          <w:sz w:val="20"/>
          <w:szCs w:val="20"/>
          <w:color w:val="auto"/>
        </w:rPr>
      </w:pPr>
      <w:r>
        <w:rPr>
          <w:rFonts w:ascii="Times New Roman" w:cs="Times New Roman" w:eastAsia="Times New Roman" w:hAnsi="Times New Roman"/>
          <w:sz w:val="22"/>
          <w:szCs w:val="22"/>
          <w:b w:val="1"/>
          <w:bCs w:val="1"/>
          <w:color w:val="auto"/>
        </w:rPr>
        <w:t>Table 2a Representative conservation of Old Growth Forest in the CAR Reserve System in the Central Highlands RFA Region</w:t>
      </w:r>
      <w:r>
        <w:rPr>
          <w:rFonts w:ascii="Times New Roman" w:cs="Times New Roman" w:eastAsia="Times New Roman" w:hAnsi="Times New Roman"/>
          <w:sz w:val="27"/>
          <w:szCs w:val="27"/>
          <w:b w:val="1"/>
          <w:bCs w:val="1"/>
          <w:color w:val="auto"/>
          <w:vertAlign w:val="superscript"/>
        </w:rPr>
        <w:t>a</w:t>
      </w:r>
      <w:r>
        <w:rPr>
          <w:rFonts w:ascii="Times New Roman" w:cs="Times New Roman" w:eastAsia="Times New Roman" w:hAnsi="Times New Roman"/>
          <w:sz w:val="22"/>
          <w:szCs w:val="22"/>
          <w:b w:val="1"/>
          <w:bCs w:val="1"/>
          <w:color w:val="auto"/>
        </w:rPr>
        <w:t xml:space="preserve"> as at 2019.</w:t>
      </w:r>
    </w:p>
    <w:p>
      <w:pPr>
        <w:spacing w:after="0" w:line="99" w:lineRule="exact"/>
        <w:rPr>
          <w:sz w:val="20"/>
          <w:szCs w:val="20"/>
          <w:color w:val="auto"/>
        </w:rPr>
      </w:pPr>
    </w:p>
    <w:tbl>
      <w:tblPr>
        <w:tblLayout w:type="fixed"/>
        <w:tblInd w:w="10" w:type="dxa"/>
        <w:tblCellMar>
          <w:top w:w="0" w:type="dxa"/>
          <w:left w:w="0" w:type="dxa"/>
          <w:bottom w:w="0" w:type="dxa"/>
          <w:right w:w="0" w:type="dxa"/>
        </w:tblCellMar>
      </w:tblPr>
      <w:tr>
        <w:trPr>
          <w:trHeight w:val="554"/>
        </w:trPr>
        <w:tc>
          <w:tcPr>
            <w:tcW w:w="1440" w:type="dxa"/>
            <w:vAlign w:val="bottom"/>
            <w:tcBorders>
              <w:top w:val="single" w:sz="8" w:color="auto"/>
              <w:left w:val="single" w:sz="8" w:color="auto"/>
              <w:right w:val="single" w:sz="8" w:color="auto"/>
            </w:tcBorders>
          </w:tcPr>
          <w:p>
            <w:pPr>
              <w:spacing w:after="0"/>
              <w:rPr>
                <w:sz w:val="24"/>
                <w:szCs w:val="24"/>
                <w:color w:val="auto"/>
              </w:rPr>
            </w:pPr>
          </w:p>
        </w:tc>
        <w:tc>
          <w:tcPr>
            <w:tcW w:w="840" w:type="dxa"/>
            <w:vAlign w:val="bottom"/>
            <w:tcBorders>
              <w:top w:val="single" w:sz="8" w:color="auto"/>
              <w:right w:val="single" w:sz="8" w:color="auto"/>
            </w:tcBorders>
          </w:tcPr>
          <w:p>
            <w:pPr>
              <w:spacing w:after="0"/>
              <w:rPr>
                <w:sz w:val="24"/>
                <w:szCs w:val="24"/>
                <w:color w:val="auto"/>
              </w:rPr>
            </w:pPr>
          </w:p>
        </w:tc>
        <w:tc>
          <w:tcPr>
            <w:tcW w:w="860" w:type="dxa"/>
            <w:vAlign w:val="bottom"/>
            <w:tcBorders>
              <w:top w:val="single" w:sz="8" w:color="auto"/>
              <w:right w:val="single" w:sz="8" w:color="auto"/>
            </w:tcBorders>
          </w:tcPr>
          <w:p>
            <w:pPr>
              <w:jc w:val="center"/>
              <w:spacing w:after="0"/>
              <w:rPr>
                <w:sz w:val="20"/>
                <w:szCs w:val="20"/>
                <w:color w:val="auto"/>
              </w:rPr>
            </w:pPr>
            <w:r>
              <w:rPr>
                <w:rFonts w:ascii="Calibri" w:cs="Calibri" w:eastAsia="Calibri" w:hAnsi="Calibri"/>
                <w:sz w:val="16"/>
                <w:szCs w:val="16"/>
                <w:b w:val="1"/>
                <w:bCs w:val="1"/>
                <w:color w:val="auto"/>
              </w:rPr>
              <w:t>Percent</w:t>
            </w:r>
          </w:p>
        </w:tc>
        <w:tc>
          <w:tcPr>
            <w:tcW w:w="840" w:type="dxa"/>
            <w:vAlign w:val="bottom"/>
            <w:tcBorders>
              <w:top w:val="single" w:sz="8" w:color="auto"/>
              <w:right w:val="single" w:sz="8" w:color="auto"/>
            </w:tcBorders>
          </w:tcPr>
          <w:p>
            <w:pPr>
              <w:spacing w:after="0"/>
              <w:rPr>
                <w:sz w:val="24"/>
                <w:szCs w:val="24"/>
                <w:color w:val="auto"/>
              </w:rPr>
            </w:pPr>
          </w:p>
        </w:tc>
        <w:tc>
          <w:tcPr>
            <w:tcW w:w="5100" w:type="dxa"/>
            <w:vAlign w:val="bottom"/>
            <w:tcBorders>
              <w:top w:val="single" w:sz="8" w:color="auto"/>
              <w:right w:val="single" w:sz="8" w:color="auto"/>
            </w:tcBorders>
            <w:gridSpan w:val="5"/>
          </w:tcPr>
          <w:p>
            <w:pPr>
              <w:ind w:left="660"/>
              <w:spacing w:after="0"/>
              <w:rPr>
                <w:sz w:val="20"/>
                <w:szCs w:val="20"/>
                <w:color w:val="auto"/>
              </w:rPr>
            </w:pPr>
            <w:r>
              <w:rPr>
                <w:rFonts w:ascii="Calibri" w:cs="Calibri" w:eastAsia="Calibri" w:hAnsi="Calibri"/>
                <w:sz w:val="16"/>
                <w:szCs w:val="16"/>
                <w:b w:val="1"/>
                <w:bCs w:val="1"/>
                <w:color w:val="auto"/>
              </w:rPr>
              <w:t>Percent of Old Growth Forest in the CAR Reserve System</w:t>
            </w:r>
          </w:p>
        </w:tc>
        <w:tc>
          <w:tcPr>
            <w:tcW w:w="0" w:type="dxa"/>
            <w:vAlign w:val="bottom"/>
          </w:tcPr>
          <w:p>
            <w:pPr>
              <w:spacing w:after="0"/>
              <w:rPr>
                <w:sz w:val="1"/>
                <w:szCs w:val="1"/>
                <w:color w:val="auto"/>
              </w:rPr>
            </w:pPr>
          </w:p>
        </w:tc>
      </w:tr>
      <w:tr>
        <w:trPr>
          <w:trHeight w:val="161"/>
        </w:trPr>
        <w:tc>
          <w:tcPr>
            <w:tcW w:w="1440" w:type="dxa"/>
            <w:vAlign w:val="bottom"/>
            <w:tcBorders>
              <w:left w:val="single" w:sz="8" w:color="auto"/>
              <w:right w:val="single" w:sz="8" w:color="auto"/>
            </w:tcBorders>
          </w:tcPr>
          <w:p>
            <w:pPr>
              <w:spacing w:after="0"/>
              <w:rPr>
                <w:sz w:val="13"/>
                <w:szCs w:val="13"/>
                <w:color w:val="auto"/>
              </w:rPr>
            </w:pPr>
          </w:p>
        </w:tc>
        <w:tc>
          <w:tcPr>
            <w:tcW w:w="840" w:type="dxa"/>
            <w:vAlign w:val="bottom"/>
            <w:tcBorders>
              <w:right w:val="single" w:sz="8" w:color="auto"/>
            </w:tcBorders>
            <w:vMerge w:val="restart"/>
          </w:tcPr>
          <w:p>
            <w:pPr>
              <w:ind w:left="100"/>
              <w:spacing w:after="0"/>
              <w:rPr>
                <w:sz w:val="20"/>
                <w:szCs w:val="20"/>
                <w:color w:val="auto"/>
              </w:rPr>
            </w:pPr>
            <w:r>
              <w:rPr>
                <w:rFonts w:ascii="Calibri" w:cs="Calibri" w:eastAsia="Calibri" w:hAnsi="Calibri"/>
                <w:sz w:val="16"/>
                <w:szCs w:val="16"/>
                <w:b w:val="1"/>
                <w:bCs w:val="1"/>
                <w:color w:val="auto"/>
              </w:rPr>
              <w:t>Area EVC</w:t>
            </w:r>
          </w:p>
        </w:tc>
        <w:tc>
          <w:tcPr>
            <w:tcW w:w="860" w:type="dxa"/>
            <w:vAlign w:val="bottom"/>
            <w:tcBorders>
              <w:right w:val="single" w:sz="8" w:color="auto"/>
            </w:tcBorders>
          </w:tcPr>
          <w:p>
            <w:pPr>
              <w:jc w:val="center"/>
              <w:spacing w:after="0" w:line="161" w:lineRule="exact"/>
              <w:rPr>
                <w:sz w:val="20"/>
                <w:szCs w:val="20"/>
                <w:color w:val="auto"/>
              </w:rPr>
            </w:pPr>
            <w:r>
              <w:rPr>
                <w:rFonts w:ascii="Calibri" w:cs="Calibri" w:eastAsia="Calibri" w:hAnsi="Calibri"/>
                <w:sz w:val="16"/>
                <w:szCs w:val="16"/>
                <w:b w:val="1"/>
                <w:bCs w:val="1"/>
                <w:color w:val="auto"/>
              </w:rPr>
              <w:t>of EVC as</w:t>
            </w:r>
          </w:p>
        </w:tc>
        <w:tc>
          <w:tcPr>
            <w:tcW w:w="840" w:type="dxa"/>
            <w:vAlign w:val="bottom"/>
            <w:tcBorders>
              <w:right w:val="single" w:sz="8" w:color="auto"/>
            </w:tcBorders>
          </w:tcPr>
          <w:p>
            <w:pPr>
              <w:jc w:val="center"/>
              <w:spacing w:after="0" w:line="161" w:lineRule="exact"/>
              <w:rPr>
                <w:sz w:val="20"/>
                <w:szCs w:val="20"/>
                <w:color w:val="auto"/>
              </w:rPr>
            </w:pPr>
            <w:r>
              <w:rPr>
                <w:rFonts w:ascii="Calibri" w:cs="Calibri" w:eastAsia="Calibri" w:hAnsi="Calibri"/>
                <w:sz w:val="16"/>
                <w:szCs w:val="16"/>
                <w:b w:val="1"/>
                <w:bCs w:val="1"/>
                <w:color w:val="auto"/>
                <w:w w:val="99"/>
              </w:rPr>
              <w:t>Area Old</w:t>
            </w:r>
          </w:p>
        </w:tc>
        <w:tc>
          <w:tcPr>
            <w:tcW w:w="106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1060" w:type="dxa"/>
            <w:vAlign w:val="bottom"/>
          </w:tcPr>
          <w:p>
            <w:pPr>
              <w:spacing w:after="0"/>
              <w:rPr>
                <w:sz w:val="13"/>
                <w:szCs w:val="13"/>
                <w:color w:val="auto"/>
              </w:rPr>
            </w:pPr>
          </w:p>
        </w:tc>
        <w:tc>
          <w:tcPr>
            <w:tcW w:w="1060" w:type="dxa"/>
            <w:vAlign w:val="bottom"/>
          </w:tcPr>
          <w:p>
            <w:pPr>
              <w:spacing w:after="0"/>
              <w:rPr>
                <w:sz w:val="13"/>
                <w:szCs w:val="13"/>
                <w:color w:val="auto"/>
              </w:rPr>
            </w:pPr>
          </w:p>
        </w:tc>
        <w:tc>
          <w:tcPr>
            <w:tcW w:w="840" w:type="dxa"/>
            <w:vAlign w:val="bottom"/>
            <w:tcBorders>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98"/>
        </w:trPr>
        <w:tc>
          <w:tcPr>
            <w:tcW w:w="1440" w:type="dxa"/>
            <w:vAlign w:val="bottom"/>
            <w:tcBorders>
              <w:left w:val="single" w:sz="8" w:color="auto"/>
              <w:right w:val="single" w:sz="8" w:color="auto"/>
            </w:tcBorders>
            <w:vMerge w:val="restart"/>
          </w:tcPr>
          <w:p>
            <w:pPr>
              <w:ind w:left="380"/>
              <w:spacing w:after="0"/>
              <w:rPr>
                <w:sz w:val="20"/>
                <w:szCs w:val="20"/>
                <w:color w:val="auto"/>
              </w:rPr>
            </w:pPr>
            <w:r>
              <w:rPr>
                <w:rFonts w:ascii="Calibri" w:cs="Calibri" w:eastAsia="Calibri" w:hAnsi="Calibri"/>
                <w:sz w:val="16"/>
                <w:szCs w:val="16"/>
                <w:b w:val="1"/>
                <w:bCs w:val="1"/>
                <w:color w:val="auto"/>
              </w:rPr>
              <w:t>Ecological</w:t>
            </w:r>
          </w:p>
        </w:tc>
        <w:tc>
          <w:tcPr>
            <w:tcW w:w="840" w:type="dxa"/>
            <w:vAlign w:val="bottom"/>
            <w:tcBorders>
              <w:right w:val="single" w:sz="8" w:color="auto"/>
            </w:tcBorders>
            <w:vMerge w:val="continue"/>
          </w:tcPr>
          <w:p>
            <w:pPr>
              <w:spacing w:after="0"/>
              <w:rPr>
                <w:sz w:val="8"/>
                <w:szCs w:val="8"/>
                <w:color w:val="auto"/>
              </w:rPr>
            </w:pPr>
          </w:p>
        </w:tc>
        <w:tc>
          <w:tcPr>
            <w:tcW w:w="86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w w:val="94"/>
              </w:rPr>
              <w:t>Old</w:t>
            </w:r>
          </w:p>
        </w:tc>
        <w:tc>
          <w:tcPr>
            <w:tcW w:w="840" w:type="dxa"/>
            <w:vAlign w:val="bottom"/>
            <w:tcBorders>
              <w:right w:val="single" w:sz="8" w:color="auto"/>
            </w:tcBorders>
            <w:vMerge w:val="restart"/>
          </w:tcPr>
          <w:p>
            <w:pPr>
              <w:jc w:val="center"/>
              <w:spacing w:after="0"/>
              <w:rPr>
                <w:sz w:val="20"/>
                <w:szCs w:val="20"/>
                <w:color w:val="auto"/>
              </w:rPr>
            </w:pPr>
            <w:r>
              <w:rPr>
                <w:rFonts w:ascii="Calibri" w:cs="Calibri" w:eastAsia="Calibri" w:hAnsi="Calibri"/>
                <w:sz w:val="16"/>
                <w:szCs w:val="16"/>
                <w:b w:val="1"/>
                <w:bCs w:val="1"/>
                <w:color w:val="auto"/>
              </w:rPr>
              <w:t>Growth</w:t>
            </w:r>
          </w:p>
        </w:tc>
        <w:tc>
          <w:tcPr>
            <w:tcW w:w="1060" w:type="dxa"/>
            <w:vAlign w:val="bottom"/>
          </w:tcPr>
          <w:p>
            <w:pPr>
              <w:spacing w:after="0"/>
              <w:rPr>
                <w:sz w:val="8"/>
                <w:szCs w:val="8"/>
                <w:color w:val="auto"/>
              </w:rPr>
            </w:pPr>
          </w:p>
        </w:tc>
        <w:tc>
          <w:tcPr>
            <w:tcW w:w="1080" w:type="dxa"/>
            <w:vAlign w:val="bottom"/>
          </w:tcPr>
          <w:p>
            <w:pPr>
              <w:spacing w:after="0"/>
              <w:rPr>
                <w:sz w:val="8"/>
                <w:szCs w:val="8"/>
                <w:color w:val="auto"/>
              </w:rPr>
            </w:pPr>
          </w:p>
        </w:tc>
        <w:tc>
          <w:tcPr>
            <w:tcW w:w="1060" w:type="dxa"/>
            <w:vAlign w:val="bottom"/>
          </w:tcPr>
          <w:p>
            <w:pPr>
              <w:spacing w:after="0"/>
              <w:rPr>
                <w:sz w:val="8"/>
                <w:szCs w:val="8"/>
                <w:color w:val="auto"/>
              </w:rPr>
            </w:pPr>
          </w:p>
        </w:tc>
        <w:tc>
          <w:tcPr>
            <w:tcW w:w="1060" w:type="dxa"/>
            <w:vAlign w:val="bottom"/>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97"/>
        </w:trPr>
        <w:tc>
          <w:tcPr>
            <w:tcW w:w="1440" w:type="dxa"/>
            <w:vAlign w:val="bottom"/>
            <w:tcBorders>
              <w:left w:val="single" w:sz="8" w:color="auto"/>
              <w:right w:val="single" w:sz="8" w:color="auto"/>
            </w:tcBorders>
            <w:vMerge w:val="continue"/>
          </w:tcPr>
          <w:p>
            <w:pPr>
              <w:spacing w:after="0"/>
              <w:rPr>
                <w:sz w:val="8"/>
                <w:szCs w:val="8"/>
                <w:color w:val="auto"/>
              </w:rPr>
            </w:pPr>
          </w:p>
        </w:tc>
        <w:tc>
          <w:tcPr>
            <w:tcW w:w="840" w:type="dxa"/>
            <w:vAlign w:val="bottom"/>
            <w:tcBorders>
              <w:right w:val="single" w:sz="8" w:color="auto"/>
            </w:tcBorders>
          </w:tcPr>
          <w:p>
            <w:pPr>
              <w:spacing w:after="0"/>
              <w:rPr>
                <w:sz w:val="8"/>
                <w:szCs w:val="8"/>
                <w:color w:val="auto"/>
              </w:rPr>
            </w:pPr>
          </w:p>
        </w:tc>
        <w:tc>
          <w:tcPr>
            <w:tcW w:w="860" w:type="dxa"/>
            <w:vAlign w:val="bottom"/>
            <w:tcBorders>
              <w:right w:val="single" w:sz="8" w:color="auto"/>
            </w:tcBorders>
            <w:vMerge w:val="continue"/>
          </w:tcPr>
          <w:p>
            <w:pPr>
              <w:spacing w:after="0"/>
              <w:rPr>
                <w:sz w:val="8"/>
                <w:szCs w:val="8"/>
                <w:color w:val="auto"/>
              </w:rPr>
            </w:pPr>
          </w:p>
        </w:tc>
        <w:tc>
          <w:tcPr>
            <w:tcW w:w="840" w:type="dxa"/>
            <w:vAlign w:val="bottom"/>
            <w:tcBorders>
              <w:right w:val="single" w:sz="8" w:color="auto"/>
            </w:tcBorders>
            <w:vMerge w:val="continue"/>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1080" w:type="dxa"/>
            <w:vAlign w:val="bottom"/>
            <w:tcBorders>
              <w:bottom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1060" w:type="dxa"/>
            <w:vAlign w:val="bottom"/>
            <w:tcBorders>
              <w:bottom w:val="single" w:sz="8" w:color="auto"/>
            </w:tcBorders>
          </w:tcPr>
          <w:p>
            <w:pPr>
              <w:spacing w:after="0"/>
              <w:rPr>
                <w:sz w:val="8"/>
                <w:szCs w:val="8"/>
                <w:color w:val="auto"/>
              </w:rPr>
            </w:pPr>
          </w:p>
        </w:tc>
        <w:tc>
          <w:tcPr>
            <w:tcW w:w="840" w:type="dxa"/>
            <w:vAlign w:val="bottom"/>
            <w:tcBorders>
              <w:bottom w:val="single" w:sz="8" w:color="auto"/>
              <w:right w:val="single" w:sz="8" w:color="auto"/>
            </w:tcBorders>
          </w:tcPr>
          <w:p>
            <w:pPr>
              <w:spacing w:after="0"/>
              <w:rPr>
                <w:sz w:val="8"/>
                <w:szCs w:val="8"/>
                <w:color w:val="auto"/>
              </w:rPr>
            </w:pPr>
          </w:p>
        </w:tc>
        <w:tc>
          <w:tcPr>
            <w:tcW w:w="0" w:type="dxa"/>
            <w:vAlign w:val="bottom"/>
          </w:tcPr>
          <w:p>
            <w:pPr>
              <w:spacing w:after="0"/>
              <w:rPr>
                <w:sz w:val="1"/>
                <w:szCs w:val="1"/>
                <w:color w:val="auto"/>
              </w:rPr>
            </w:pPr>
          </w:p>
        </w:tc>
      </w:tr>
      <w:tr>
        <w:trPr>
          <w:trHeight w:val="209"/>
        </w:trPr>
        <w:tc>
          <w:tcPr>
            <w:tcW w:w="1440" w:type="dxa"/>
            <w:vAlign w:val="bottom"/>
            <w:tcBorders>
              <w:left w:val="single" w:sz="8" w:color="auto"/>
              <w:right w:val="single" w:sz="8" w:color="auto"/>
            </w:tcBorders>
          </w:tcPr>
          <w:p>
            <w:pPr>
              <w:ind w:left="160"/>
              <w:spacing w:after="0" w:line="176" w:lineRule="exact"/>
              <w:rPr>
                <w:sz w:val="20"/>
                <w:szCs w:val="20"/>
                <w:color w:val="auto"/>
              </w:rPr>
            </w:pPr>
            <w:r>
              <w:rPr>
                <w:rFonts w:ascii="Calibri" w:cs="Calibri" w:eastAsia="Calibri" w:hAnsi="Calibri"/>
                <w:sz w:val="16"/>
                <w:szCs w:val="16"/>
                <w:b w:val="1"/>
                <w:bCs w:val="1"/>
                <w:color w:val="auto"/>
              </w:rPr>
              <w:t>Vegetation Class</w:t>
            </w:r>
          </w:p>
        </w:tc>
        <w:tc>
          <w:tcPr>
            <w:tcW w:w="840" w:type="dxa"/>
            <w:vAlign w:val="bottom"/>
            <w:tcBorders>
              <w:right w:val="single" w:sz="8" w:color="auto"/>
            </w:tcBorders>
            <w:vMerge w:val="restart"/>
          </w:tcPr>
          <w:p>
            <w:pPr>
              <w:ind w:left="280"/>
              <w:spacing w:after="0"/>
              <w:rPr>
                <w:sz w:val="20"/>
                <w:szCs w:val="20"/>
                <w:color w:val="auto"/>
              </w:rPr>
            </w:pPr>
            <w:r>
              <w:rPr>
                <w:rFonts w:ascii="Calibri" w:cs="Calibri" w:eastAsia="Calibri" w:hAnsi="Calibri"/>
                <w:sz w:val="16"/>
                <w:szCs w:val="16"/>
                <w:b w:val="1"/>
                <w:bCs w:val="1"/>
                <w:color w:val="auto"/>
              </w:rPr>
              <w:t>(ha)</w:t>
            </w:r>
          </w:p>
        </w:tc>
        <w:tc>
          <w:tcPr>
            <w:tcW w:w="860" w:type="dxa"/>
            <w:vAlign w:val="bottom"/>
            <w:tcBorders>
              <w:right w:val="single" w:sz="8" w:color="auto"/>
            </w:tcBorders>
          </w:tcPr>
          <w:p>
            <w:pPr>
              <w:jc w:val="center"/>
              <w:spacing w:after="0" w:line="176" w:lineRule="exact"/>
              <w:rPr>
                <w:sz w:val="20"/>
                <w:szCs w:val="20"/>
                <w:color w:val="auto"/>
              </w:rPr>
            </w:pPr>
            <w:r>
              <w:rPr>
                <w:rFonts w:ascii="Calibri" w:cs="Calibri" w:eastAsia="Calibri" w:hAnsi="Calibri"/>
                <w:sz w:val="16"/>
                <w:szCs w:val="16"/>
                <w:b w:val="1"/>
                <w:bCs w:val="1"/>
                <w:color w:val="auto"/>
                <w:w w:val="98"/>
              </w:rPr>
              <w:t>Growth</w:t>
            </w:r>
          </w:p>
        </w:tc>
        <w:tc>
          <w:tcPr>
            <w:tcW w:w="840" w:type="dxa"/>
            <w:vAlign w:val="bottom"/>
            <w:tcBorders>
              <w:right w:val="single" w:sz="8" w:color="auto"/>
            </w:tcBorders>
          </w:tcPr>
          <w:p>
            <w:pPr>
              <w:spacing w:after="0"/>
              <w:rPr>
                <w:sz w:val="18"/>
                <w:szCs w:val="18"/>
                <w:color w:val="auto"/>
              </w:rPr>
            </w:pPr>
          </w:p>
        </w:tc>
        <w:tc>
          <w:tcPr>
            <w:tcW w:w="1060" w:type="dxa"/>
            <w:vAlign w:val="bottom"/>
            <w:tcBorders>
              <w:right w:val="single" w:sz="8" w:color="auto"/>
            </w:tcBorders>
          </w:tcPr>
          <w:p>
            <w:pPr>
              <w:spacing w:after="0"/>
              <w:rPr>
                <w:sz w:val="18"/>
                <w:szCs w:val="18"/>
                <w:color w:val="auto"/>
              </w:rPr>
            </w:pPr>
          </w:p>
        </w:tc>
        <w:tc>
          <w:tcPr>
            <w:tcW w:w="1080" w:type="dxa"/>
            <w:vAlign w:val="bottom"/>
            <w:tcBorders>
              <w:right w:val="single" w:sz="8" w:color="auto"/>
            </w:tcBorders>
          </w:tcPr>
          <w:p>
            <w:pPr>
              <w:ind w:left="240"/>
              <w:spacing w:after="0" w:line="181" w:lineRule="exact"/>
              <w:rPr>
                <w:sz w:val="20"/>
                <w:szCs w:val="20"/>
                <w:color w:val="auto"/>
              </w:rPr>
            </w:pPr>
            <w:r>
              <w:rPr>
                <w:rFonts w:ascii="Calibri" w:cs="Calibri" w:eastAsia="Calibri" w:hAnsi="Calibri"/>
                <w:sz w:val="16"/>
                <w:szCs w:val="16"/>
                <w:b w:val="1"/>
                <w:bCs w:val="1"/>
                <w:color w:val="auto"/>
              </w:rPr>
              <w:t>Informal</w:t>
            </w:r>
          </w:p>
        </w:tc>
        <w:tc>
          <w:tcPr>
            <w:tcW w:w="1060" w:type="dxa"/>
            <w:vAlign w:val="bottom"/>
            <w:tcBorders>
              <w:right w:val="single" w:sz="8" w:color="auto"/>
            </w:tcBorders>
          </w:tcPr>
          <w:p>
            <w:pPr>
              <w:ind w:left="80"/>
              <w:spacing w:after="0" w:line="209" w:lineRule="exact"/>
              <w:rPr>
                <w:sz w:val="20"/>
                <w:szCs w:val="20"/>
                <w:color w:val="auto"/>
              </w:rPr>
            </w:pPr>
            <w:r>
              <w:rPr>
                <w:rFonts w:ascii="Calibri" w:cs="Calibri" w:eastAsia="Calibri" w:hAnsi="Calibri"/>
                <w:sz w:val="16"/>
                <w:szCs w:val="16"/>
                <w:b w:val="1"/>
                <w:bCs w:val="1"/>
                <w:color w:val="auto"/>
              </w:rPr>
              <w:t>Prescription</w:t>
            </w:r>
            <w:r>
              <w:rPr>
                <w:rFonts w:ascii="Calibri" w:cs="Calibri" w:eastAsia="Calibri" w:hAnsi="Calibri"/>
                <w:sz w:val="20"/>
                <w:szCs w:val="20"/>
                <w:b w:val="1"/>
                <w:bCs w:val="1"/>
                <w:color w:val="auto"/>
                <w:vertAlign w:val="superscript"/>
              </w:rPr>
              <w:t>c</w:t>
            </w:r>
          </w:p>
        </w:tc>
        <w:tc>
          <w:tcPr>
            <w:tcW w:w="10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b w:val="1"/>
                <w:bCs w:val="1"/>
                <w:color w:val="auto"/>
              </w:rPr>
              <w:t>Private Land</w:t>
            </w:r>
          </w:p>
        </w:tc>
        <w:tc>
          <w:tcPr>
            <w:tcW w:w="840" w:type="dxa"/>
            <w:vAlign w:val="bottom"/>
            <w:tcBorders>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65"/>
        </w:trPr>
        <w:tc>
          <w:tcPr>
            <w:tcW w:w="1440" w:type="dxa"/>
            <w:vAlign w:val="bottom"/>
            <w:tcBorders>
              <w:left w:val="single" w:sz="8" w:color="auto"/>
              <w:right w:val="single" w:sz="8" w:color="auto"/>
            </w:tcBorders>
          </w:tcPr>
          <w:p>
            <w:pPr>
              <w:spacing w:after="0"/>
              <w:rPr>
                <w:sz w:val="5"/>
                <w:szCs w:val="5"/>
                <w:color w:val="auto"/>
              </w:rPr>
            </w:pPr>
          </w:p>
        </w:tc>
        <w:tc>
          <w:tcPr>
            <w:tcW w:w="840" w:type="dxa"/>
            <w:vAlign w:val="bottom"/>
            <w:tcBorders>
              <w:right w:val="single" w:sz="8" w:color="auto"/>
            </w:tcBorders>
            <w:vMerge w:val="continue"/>
          </w:tcPr>
          <w:p>
            <w:pPr>
              <w:spacing w:after="0"/>
              <w:rPr>
                <w:sz w:val="5"/>
                <w:szCs w:val="5"/>
                <w:color w:val="auto"/>
              </w:rPr>
            </w:pPr>
          </w:p>
        </w:tc>
        <w:tc>
          <w:tcPr>
            <w:tcW w:w="86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vMerge w:val="restart"/>
          </w:tcPr>
          <w:p>
            <w:pPr>
              <w:jc w:val="center"/>
              <w:spacing w:after="0" w:line="162" w:lineRule="exact"/>
              <w:rPr>
                <w:sz w:val="20"/>
                <w:szCs w:val="20"/>
                <w:color w:val="auto"/>
              </w:rPr>
            </w:pPr>
            <w:r>
              <w:rPr>
                <w:rFonts w:ascii="Calibri" w:cs="Calibri" w:eastAsia="Calibri" w:hAnsi="Calibri"/>
                <w:sz w:val="16"/>
                <w:szCs w:val="16"/>
                <w:b w:val="1"/>
                <w:bCs w:val="1"/>
                <w:color w:val="auto"/>
                <w:w w:val="97"/>
              </w:rPr>
              <w:t>(ha)</w:t>
            </w:r>
          </w:p>
        </w:tc>
        <w:tc>
          <w:tcPr>
            <w:tcW w:w="1060" w:type="dxa"/>
            <w:vAlign w:val="bottom"/>
            <w:tcBorders>
              <w:right w:val="single" w:sz="8" w:color="auto"/>
            </w:tcBorders>
          </w:tcPr>
          <w:p>
            <w:pPr>
              <w:spacing w:after="0"/>
              <w:rPr>
                <w:sz w:val="5"/>
                <w:szCs w:val="5"/>
                <w:color w:val="auto"/>
              </w:rPr>
            </w:pPr>
          </w:p>
        </w:tc>
        <w:tc>
          <w:tcPr>
            <w:tcW w:w="1080" w:type="dxa"/>
            <w:vAlign w:val="bottom"/>
            <w:tcBorders>
              <w:right w:val="single" w:sz="8" w:color="auto"/>
            </w:tcBorders>
            <w:vMerge w:val="restart"/>
          </w:tcPr>
          <w:p>
            <w:pPr>
              <w:ind w:left="240"/>
              <w:spacing w:after="0" w:line="186" w:lineRule="exact"/>
              <w:rPr>
                <w:sz w:val="20"/>
                <w:szCs w:val="20"/>
                <w:color w:val="auto"/>
              </w:rPr>
            </w:pPr>
            <w:r>
              <w:rPr>
                <w:rFonts w:ascii="Calibri" w:cs="Calibri" w:eastAsia="Calibri" w:hAnsi="Calibri"/>
                <w:sz w:val="16"/>
                <w:szCs w:val="16"/>
                <w:b w:val="1"/>
                <w:bCs w:val="1"/>
                <w:color w:val="auto"/>
              </w:rPr>
              <w:t>Reserve</w:t>
            </w:r>
            <w:r>
              <w:rPr>
                <w:rFonts w:ascii="Calibri" w:cs="Calibri" w:eastAsia="Calibri" w:hAnsi="Calibri"/>
                <w:sz w:val="20"/>
                <w:szCs w:val="20"/>
                <w:b w:val="1"/>
                <w:bCs w:val="1"/>
                <w:color w:val="auto"/>
                <w:vertAlign w:val="superscript"/>
              </w:rPr>
              <w:t>b</w:t>
            </w:r>
          </w:p>
        </w:tc>
        <w:tc>
          <w:tcPr>
            <w:tcW w:w="1060" w:type="dxa"/>
            <w:vAlign w:val="bottom"/>
            <w:tcBorders>
              <w:right w:val="single" w:sz="8" w:color="auto"/>
            </w:tcBorders>
          </w:tcPr>
          <w:p>
            <w:pPr>
              <w:spacing w:after="0"/>
              <w:rPr>
                <w:sz w:val="5"/>
                <w:szCs w:val="5"/>
                <w:color w:val="auto"/>
              </w:rPr>
            </w:pPr>
          </w:p>
        </w:tc>
        <w:tc>
          <w:tcPr>
            <w:tcW w:w="1060" w:type="dxa"/>
            <w:vAlign w:val="bottom"/>
            <w:tcBorders>
              <w:right w:val="single" w:sz="8" w:color="auto"/>
            </w:tcBorders>
            <w:vMerge w:val="restart"/>
          </w:tcPr>
          <w:p>
            <w:pPr>
              <w:ind w:left="140"/>
              <w:spacing w:after="0" w:line="186" w:lineRule="exact"/>
              <w:rPr>
                <w:sz w:val="20"/>
                <w:szCs w:val="20"/>
                <w:color w:val="auto"/>
              </w:rPr>
            </w:pPr>
            <w:r>
              <w:rPr>
                <w:rFonts w:ascii="Calibri" w:cs="Calibri" w:eastAsia="Calibri" w:hAnsi="Calibri"/>
                <w:sz w:val="16"/>
                <w:szCs w:val="16"/>
                <w:b w:val="1"/>
                <w:bCs w:val="1"/>
                <w:color w:val="auto"/>
              </w:rPr>
              <w:t>covenants</w:t>
            </w:r>
            <w:r>
              <w:rPr>
                <w:rFonts w:ascii="Calibri" w:cs="Calibri" w:eastAsia="Calibri" w:hAnsi="Calibri"/>
                <w:sz w:val="20"/>
                <w:szCs w:val="20"/>
                <w:b w:val="1"/>
                <w:bCs w:val="1"/>
                <w:color w:val="auto"/>
                <w:vertAlign w:val="superscript"/>
              </w:rPr>
              <w:t>d</w:t>
            </w:r>
          </w:p>
        </w:tc>
        <w:tc>
          <w:tcPr>
            <w:tcW w:w="8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121"/>
        </w:trPr>
        <w:tc>
          <w:tcPr>
            <w:tcW w:w="1440" w:type="dxa"/>
            <w:vAlign w:val="bottom"/>
            <w:tcBorders>
              <w:left w:val="single" w:sz="8" w:color="auto"/>
              <w:right w:val="single" w:sz="8" w:color="auto"/>
            </w:tcBorders>
          </w:tcPr>
          <w:p>
            <w:pPr>
              <w:spacing w:after="0"/>
              <w:rPr>
                <w:sz w:val="10"/>
                <w:szCs w:val="10"/>
                <w:color w:val="auto"/>
              </w:rPr>
            </w:pPr>
          </w:p>
        </w:tc>
        <w:tc>
          <w:tcPr>
            <w:tcW w:w="840" w:type="dxa"/>
            <w:vAlign w:val="bottom"/>
            <w:tcBorders>
              <w:right w:val="single" w:sz="8" w:color="auto"/>
            </w:tcBorders>
          </w:tcPr>
          <w:p>
            <w:pPr>
              <w:spacing w:after="0"/>
              <w:rPr>
                <w:sz w:val="10"/>
                <w:szCs w:val="10"/>
                <w:color w:val="auto"/>
              </w:rPr>
            </w:pPr>
          </w:p>
        </w:tc>
        <w:tc>
          <w:tcPr>
            <w:tcW w:w="860" w:type="dxa"/>
            <w:vAlign w:val="bottom"/>
            <w:tcBorders>
              <w:right w:val="single" w:sz="8" w:color="auto"/>
            </w:tcBorders>
          </w:tcPr>
          <w:p>
            <w:pPr>
              <w:spacing w:after="0"/>
              <w:rPr>
                <w:sz w:val="10"/>
                <w:szCs w:val="10"/>
                <w:color w:val="auto"/>
              </w:rPr>
            </w:pPr>
          </w:p>
        </w:tc>
        <w:tc>
          <w:tcPr>
            <w:tcW w:w="84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vMerge w:val="restart"/>
          </w:tcPr>
          <w:p>
            <w:pPr>
              <w:ind w:left="180"/>
              <w:spacing w:after="0" w:line="161" w:lineRule="exact"/>
              <w:rPr>
                <w:sz w:val="20"/>
                <w:szCs w:val="20"/>
                <w:color w:val="auto"/>
              </w:rPr>
            </w:pPr>
            <w:r>
              <w:rPr>
                <w:rFonts w:ascii="Calibri" w:cs="Calibri" w:eastAsia="Calibri" w:hAnsi="Calibri"/>
                <w:sz w:val="16"/>
                <w:szCs w:val="16"/>
                <w:b w:val="1"/>
                <w:bCs w:val="1"/>
                <w:color w:val="auto"/>
              </w:rPr>
              <w:t>Dedicated</w:t>
            </w:r>
          </w:p>
        </w:tc>
        <w:tc>
          <w:tcPr>
            <w:tcW w:w="1080" w:type="dxa"/>
            <w:vAlign w:val="bottom"/>
            <w:tcBorders>
              <w:right w:val="single" w:sz="8" w:color="auto"/>
            </w:tcBorders>
            <w:vMerge w:val="continue"/>
          </w:tcPr>
          <w:p>
            <w:pPr>
              <w:spacing w:after="0"/>
              <w:rPr>
                <w:sz w:val="10"/>
                <w:szCs w:val="10"/>
                <w:color w:val="auto"/>
              </w:rPr>
            </w:pPr>
          </w:p>
        </w:tc>
        <w:tc>
          <w:tcPr>
            <w:tcW w:w="1060" w:type="dxa"/>
            <w:vAlign w:val="bottom"/>
            <w:tcBorders>
              <w:right w:val="single" w:sz="8" w:color="auto"/>
            </w:tcBorders>
          </w:tcPr>
          <w:p>
            <w:pPr>
              <w:spacing w:after="0"/>
              <w:rPr>
                <w:sz w:val="10"/>
                <w:szCs w:val="10"/>
                <w:color w:val="auto"/>
              </w:rPr>
            </w:pPr>
          </w:p>
        </w:tc>
        <w:tc>
          <w:tcPr>
            <w:tcW w:w="1060" w:type="dxa"/>
            <w:vAlign w:val="bottom"/>
            <w:tcBorders>
              <w:right w:val="single" w:sz="8" w:color="auto"/>
            </w:tcBorders>
            <w:vMerge w:val="continue"/>
          </w:tcPr>
          <w:p>
            <w:pPr>
              <w:spacing w:after="0"/>
              <w:rPr>
                <w:sz w:val="10"/>
                <w:szCs w:val="10"/>
                <w:color w:val="auto"/>
              </w:rPr>
            </w:pPr>
          </w:p>
        </w:tc>
        <w:tc>
          <w:tcPr>
            <w:tcW w:w="840" w:type="dxa"/>
            <w:vAlign w:val="bottom"/>
            <w:tcBorders>
              <w:right w:val="single" w:sz="8" w:color="auto"/>
            </w:tcBorders>
            <w:vMerge w:val="restart"/>
          </w:tcPr>
          <w:p>
            <w:pPr>
              <w:ind w:left="240"/>
              <w:spacing w:after="0"/>
              <w:rPr>
                <w:sz w:val="20"/>
                <w:szCs w:val="20"/>
                <w:color w:val="auto"/>
              </w:rPr>
            </w:pPr>
            <w:r>
              <w:rPr>
                <w:rFonts w:ascii="Calibri" w:cs="Calibri" w:eastAsia="Calibri" w:hAnsi="Calibri"/>
                <w:sz w:val="16"/>
                <w:szCs w:val="16"/>
                <w:b w:val="1"/>
                <w:bCs w:val="1"/>
                <w:color w:val="auto"/>
              </w:rPr>
              <w:t>Total</w:t>
            </w:r>
          </w:p>
        </w:tc>
        <w:tc>
          <w:tcPr>
            <w:tcW w:w="0" w:type="dxa"/>
            <w:vAlign w:val="bottom"/>
          </w:tcPr>
          <w:p>
            <w:pPr>
              <w:spacing w:after="0"/>
              <w:rPr>
                <w:sz w:val="1"/>
                <w:szCs w:val="1"/>
                <w:color w:val="auto"/>
              </w:rPr>
            </w:pPr>
          </w:p>
        </w:tc>
      </w:tr>
      <w:tr>
        <w:trPr>
          <w:trHeight w:val="40"/>
        </w:trPr>
        <w:tc>
          <w:tcPr>
            <w:tcW w:w="1440" w:type="dxa"/>
            <w:vAlign w:val="bottom"/>
            <w:tcBorders>
              <w:left w:val="single" w:sz="8" w:color="auto"/>
              <w:right w:val="single" w:sz="8" w:color="auto"/>
            </w:tcBorders>
          </w:tcPr>
          <w:p>
            <w:pPr>
              <w:spacing w:after="0"/>
              <w:rPr>
                <w:sz w:val="3"/>
                <w:szCs w:val="3"/>
                <w:color w:val="auto"/>
              </w:rPr>
            </w:pPr>
          </w:p>
        </w:tc>
        <w:tc>
          <w:tcPr>
            <w:tcW w:w="840" w:type="dxa"/>
            <w:vAlign w:val="bottom"/>
            <w:tcBorders>
              <w:right w:val="single" w:sz="8" w:color="auto"/>
            </w:tcBorders>
          </w:tcPr>
          <w:p>
            <w:pPr>
              <w:spacing w:after="0"/>
              <w:rPr>
                <w:sz w:val="3"/>
                <w:szCs w:val="3"/>
                <w:color w:val="auto"/>
              </w:rPr>
            </w:pPr>
          </w:p>
        </w:tc>
        <w:tc>
          <w:tcPr>
            <w:tcW w:w="860" w:type="dxa"/>
            <w:vAlign w:val="bottom"/>
            <w:tcBorders>
              <w:right w:val="single" w:sz="8" w:color="auto"/>
            </w:tcBorders>
            <w:vMerge w:val="restart"/>
          </w:tcPr>
          <w:p>
            <w:pPr>
              <w:jc w:val="center"/>
              <w:spacing w:after="0" w:line="172" w:lineRule="exact"/>
              <w:rPr>
                <w:sz w:val="20"/>
                <w:szCs w:val="20"/>
                <w:color w:val="auto"/>
              </w:rPr>
            </w:pPr>
            <w:r>
              <w:rPr>
                <w:rFonts w:ascii="Calibri" w:cs="Calibri" w:eastAsia="Calibri" w:hAnsi="Calibri"/>
                <w:sz w:val="16"/>
                <w:szCs w:val="16"/>
                <w:b w:val="1"/>
                <w:bCs w:val="1"/>
                <w:color w:val="auto"/>
              </w:rPr>
              <w:t>(%)</w:t>
            </w:r>
          </w:p>
        </w:tc>
        <w:tc>
          <w:tcPr>
            <w:tcW w:w="840" w:type="dxa"/>
            <w:vAlign w:val="bottom"/>
            <w:tcBorders>
              <w:right w:val="single" w:sz="8" w:color="auto"/>
            </w:tcBorders>
          </w:tcPr>
          <w:p>
            <w:pPr>
              <w:spacing w:after="0"/>
              <w:rPr>
                <w:sz w:val="3"/>
                <w:szCs w:val="3"/>
                <w:color w:val="auto"/>
              </w:rPr>
            </w:pPr>
          </w:p>
        </w:tc>
        <w:tc>
          <w:tcPr>
            <w:tcW w:w="1060" w:type="dxa"/>
            <w:vAlign w:val="bottom"/>
            <w:tcBorders>
              <w:right w:val="single" w:sz="8" w:color="auto"/>
            </w:tcBorders>
            <w:vMerge w:val="continue"/>
          </w:tcPr>
          <w:p>
            <w:pPr>
              <w:spacing w:after="0"/>
              <w:rPr>
                <w:sz w:val="3"/>
                <w:szCs w:val="3"/>
                <w:color w:val="auto"/>
              </w:rPr>
            </w:pPr>
          </w:p>
        </w:tc>
        <w:tc>
          <w:tcPr>
            <w:tcW w:w="1080" w:type="dxa"/>
            <w:vAlign w:val="bottom"/>
            <w:tcBorders>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1060" w:type="dxa"/>
            <w:vAlign w:val="bottom"/>
            <w:tcBorders>
              <w:right w:val="single" w:sz="8" w:color="auto"/>
            </w:tcBorders>
          </w:tcPr>
          <w:p>
            <w:pPr>
              <w:spacing w:after="0"/>
              <w:rPr>
                <w:sz w:val="3"/>
                <w:szCs w:val="3"/>
                <w:color w:val="auto"/>
              </w:rPr>
            </w:pPr>
          </w:p>
        </w:tc>
        <w:tc>
          <w:tcPr>
            <w:tcW w:w="840" w:type="dxa"/>
            <w:vAlign w:val="bottom"/>
            <w:tcBorders>
              <w:right w:val="single" w:sz="8" w:color="auto"/>
            </w:tcBorders>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32"/>
        </w:trPr>
        <w:tc>
          <w:tcPr>
            <w:tcW w:w="1440" w:type="dxa"/>
            <w:vAlign w:val="bottom"/>
            <w:tcBorders>
              <w:left w:val="single" w:sz="8" w:color="auto"/>
              <w:right w:val="single" w:sz="8" w:color="auto"/>
            </w:tcBorders>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860" w:type="dxa"/>
            <w:vAlign w:val="bottom"/>
            <w:tcBorders>
              <w:right w:val="single" w:sz="8" w:color="auto"/>
            </w:tcBorders>
            <w:vMerge w:val="continue"/>
          </w:tcPr>
          <w:p>
            <w:pPr>
              <w:spacing w:after="0"/>
              <w:rPr>
                <w:sz w:val="11"/>
                <w:szCs w:val="11"/>
                <w:color w:val="auto"/>
              </w:rPr>
            </w:pPr>
          </w:p>
        </w:tc>
        <w:tc>
          <w:tcPr>
            <w:tcW w:w="840" w:type="dxa"/>
            <w:vAlign w:val="bottom"/>
            <w:tcBorders>
              <w:right w:val="single" w:sz="8" w:color="auto"/>
            </w:tcBorders>
          </w:tcPr>
          <w:p>
            <w:pPr>
              <w:spacing w:after="0"/>
              <w:rPr>
                <w:sz w:val="11"/>
                <w:szCs w:val="11"/>
                <w:color w:val="auto"/>
              </w:rPr>
            </w:pPr>
          </w:p>
        </w:tc>
        <w:tc>
          <w:tcPr>
            <w:tcW w:w="1060" w:type="dxa"/>
            <w:vAlign w:val="bottom"/>
            <w:tcBorders>
              <w:right w:val="single" w:sz="8" w:color="auto"/>
            </w:tcBorders>
            <w:vMerge w:val="restart"/>
          </w:tcPr>
          <w:p>
            <w:pPr>
              <w:ind w:left="260"/>
              <w:spacing w:after="0"/>
              <w:rPr>
                <w:sz w:val="20"/>
                <w:szCs w:val="20"/>
                <w:color w:val="auto"/>
              </w:rPr>
            </w:pPr>
            <w:r>
              <w:rPr>
                <w:rFonts w:ascii="Calibri" w:cs="Calibri" w:eastAsia="Calibri" w:hAnsi="Calibri"/>
                <w:sz w:val="16"/>
                <w:szCs w:val="16"/>
                <w:b w:val="1"/>
                <w:bCs w:val="1"/>
                <w:color w:val="auto"/>
              </w:rPr>
              <w:t>Reserve</w:t>
            </w:r>
          </w:p>
        </w:tc>
        <w:tc>
          <w:tcPr>
            <w:tcW w:w="1080" w:type="dxa"/>
            <w:vAlign w:val="bottom"/>
            <w:tcBorders>
              <w:right w:val="single" w:sz="8" w:color="auto"/>
            </w:tcBorders>
          </w:tcPr>
          <w:p>
            <w:pPr>
              <w:spacing w:after="0"/>
              <w:rPr>
                <w:sz w:val="11"/>
                <w:szCs w:val="11"/>
                <w:color w:val="auto"/>
              </w:rPr>
            </w:pPr>
          </w:p>
        </w:tc>
        <w:tc>
          <w:tcPr>
            <w:tcW w:w="1060" w:type="dxa"/>
            <w:vAlign w:val="bottom"/>
            <w:tcBorders>
              <w:right w:val="single" w:sz="8" w:color="auto"/>
            </w:tcBorders>
          </w:tcPr>
          <w:p>
            <w:pPr>
              <w:spacing w:after="0"/>
              <w:rPr>
                <w:sz w:val="11"/>
                <w:szCs w:val="11"/>
                <w:color w:val="auto"/>
              </w:rPr>
            </w:pPr>
          </w:p>
        </w:tc>
        <w:tc>
          <w:tcPr>
            <w:tcW w:w="1060" w:type="dxa"/>
            <w:vAlign w:val="bottom"/>
            <w:tcBorders>
              <w:right w:val="single" w:sz="8" w:color="auto"/>
            </w:tcBorders>
          </w:tcPr>
          <w:p>
            <w:pPr>
              <w:spacing w:after="0"/>
              <w:rPr>
                <w:sz w:val="11"/>
                <w:szCs w:val="11"/>
                <w:color w:val="auto"/>
              </w:rPr>
            </w:pPr>
          </w:p>
        </w:tc>
        <w:tc>
          <w:tcPr>
            <w:tcW w:w="840" w:type="dxa"/>
            <w:vAlign w:val="bottom"/>
            <w:tcBorders>
              <w:right w:val="single" w:sz="8" w:color="auto"/>
            </w:tcBorders>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65"/>
        </w:trPr>
        <w:tc>
          <w:tcPr>
            <w:tcW w:w="1440" w:type="dxa"/>
            <w:vAlign w:val="bottom"/>
            <w:tcBorders>
              <w:left w:val="single" w:sz="8" w:color="auto"/>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86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1060" w:type="dxa"/>
            <w:vAlign w:val="bottom"/>
            <w:tcBorders>
              <w:right w:val="single" w:sz="8" w:color="auto"/>
            </w:tcBorders>
            <w:vMerge w:val="continue"/>
          </w:tcPr>
          <w:p>
            <w:pPr>
              <w:spacing w:after="0"/>
              <w:rPr>
                <w:sz w:val="5"/>
                <w:szCs w:val="5"/>
                <w:color w:val="auto"/>
              </w:rPr>
            </w:pPr>
          </w:p>
        </w:tc>
        <w:tc>
          <w:tcPr>
            <w:tcW w:w="1080" w:type="dxa"/>
            <w:vAlign w:val="bottom"/>
            <w:tcBorders>
              <w:right w:val="single" w:sz="8" w:color="auto"/>
            </w:tcBorders>
          </w:tcPr>
          <w:p>
            <w:pPr>
              <w:spacing w:after="0"/>
              <w:rPr>
                <w:sz w:val="5"/>
                <w:szCs w:val="5"/>
                <w:color w:val="auto"/>
              </w:rPr>
            </w:pPr>
          </w:p>
        </w:tc>
        <w:tc>
          <w:tcPr>
            <w:tcW w:w="1060" w:type="dxa"/>
            <w:vAlign w:val="bottom"/>
            <w:tcBorders>
              <w:right w:val="single" w:sz="8" w:color="auto"/>
            </w:tcBorders>
          </w:tcPr>
          <w:p>
            <w:pPr>
              <w:spacing w:after="0"/>
              <w:rPr>
                <w:sz w:val="5"/>
                <w:szCs w:val="5"/>
                <w:color w:val="auto"/>
              </w:rPr>
            </w:pPr>
          </w:p>
        </w:tc>
        <w:tc>
          <w:tcPr>
            <w:tcW w:w="1060" w:type="dxa"/>
            <w:vAlign w:val="bottom"/>
            <w:tcBorders>
              <w:right w:val="single" w:sz="8" w:color="auto"/>
            </w:tcBorders>
          </w:tcPr>
          <w:p>
            <w:pPr>
              <w:spacing w:after="0"/>
              <w:rPr>
                <w:sz w:val="5"/>
                <w:szCs w:val="5"/>
                <w:color w:val="auto"/>
              </w:rPr>
            </w:pPr>
          </w:p>
        </w:tc>
        <w:tc>
          <w:tcPr>
            <w:tcW w:w="840" w:type="dxa"/>
            <w:vAlign w:val="bottom"/>
            <w:tcBorders>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58"/>
        </w:trPr>
        <w:tc>
          <w:tcPr>
            <w:tcW w:w="1440" w:type="dxa"/>
            <w:vAlign w:val="bottom"/>
            <w:tcBorders>
              <w:left w:val="single" w:sz="8" w:color="auto"/>
              <w:bottom w:val="single" w:sz="8" w:color="auto"/>
              <w:right w:val="single" w:sz="8" w:color="auto"/>
            </w:tcBorders>
          </w:tcPr>
          <w:p>
            <w:pPr>
              <w:spacing w:after="0"/>
              <w:rPr>
                <w:sz w:val="22"/>
                <w:szCs w:val="22"/>
                <w:color w:val="auto"/>
              </w:rPr>
            </w:pPr>
          </w:p>
        </w:tc>
        <w:tc>
          <w:tcPr>
            <w:tcW w:w="840" w:type="dxa"/>
            <w:vAlign w:val="bottom"/>
            <w:tcBorders>
              <w:bottom w:val="single" w:sz="8" w:color="auto"/>
              <w:right w:val="single" w:sz="8" w:color="auto"/>
            </w:tcBorders>
          </w:tcPr>
          <w:p>
            <w:pPr>
              <w:spacing w:after="0"/>
              <w:rPr>
                <w:sz w:val="22"/>
                <w:szCs w:val="22"/>
                <w:color w:val="auto"/>
              </w:rPr>
            </w:pPr>
          </w:p>
        </w:tc>
        <w:tc>
          <w:tcPr>
            <w:tcW w:w="860" w:type="dxa"/>
            <w:vAlign w:val="bottom"/>
            <w:tcBorders>
              <w:bottom w:val="single" w:sz="8" w:color="auto"/>
              <w:right w:val="single" w:sz="8" w:color="auto"/>
            </w:tcBorders>
          </w:tcPr>
          <w:p>
            <w:pPr>
              <w:spacing w:after="0"/>
              <w:rPr>
                <w:sz w:val="22"/>
                <w:szCs w:val="22"/>
                <w:color w:val="auto"/>
              </w:rPr>
            </w:pPr>
          </w:p>
        </w:tc>
        <w:tc>
          <w:tcPr>
            <w:tcW w:w="840" w:type="dxa"/>
            <w:vAlign w:val="bottom"/>
            <w:tcBorders>
              <w:bottom w:val="single" w:sz="8" w:color="auto"/>
              <w:right w:val="single" w:sz="8" w:color="auto"/>
            </w:tcBorders>
          </w:tcPr>
          <w:p>
            <w:pPr>
              <w:spacing w:after="0"/>
              <w:rPr>
                <w:sz w:val="22"/>
                <w:szCs w:val="22"/>
                <w:color w:val="auto"/>
              </w:rPr>
            </w:pPr>
          </w:p>
        </w:tc>
        <w:tc>
          <w:tcPr>
            <w:tcW w:w="1060" w:type="dxa"/>
            <w:vAlign w:val="bottom"/>
            <w:tcBorders>
              <w:bottom w:val="single" w:sz="8" w:color="auto"/>
              <w:right w:val="single" w:sz="8" w:color="auto"/>
            </w:tcBorders>
          </w:tcPr>
          <w:p>
            <w:pPr>
              <w:spacing w:after="0"/>
              <w:rPr>
                <w:sz w:val="22"/>
                <w:szCs w:val="22"/>
                <w:color w:val="auto"/>
              </w:rPr>
            </w:pPr>
          </w:p>
        </w:tc>
        <w:tc>
          <w:tcPr>
            <w:tcW w:w="1080" w:type="dxa"/>
            <w:vAlign w:val="bottom"/>
            <w:tcBorders>
              <w:bottom w:val="single" w:sz="8" w:color="auto"/>
              <w:right w:val="single" w:sz="8" w:color="auto"/>
            </w:tcBorders>
          </w:tcPr>
          <w:p>
            <w:pPr>
              <w:spacing w:after="0"/>
              <w:rPr>
                <w:sz w:val="22"/>
                <w:szCs w:val="22"/>
                <w:color w:val="auto"/>
              </w:rPr>
            </w:pPr>
          </w:p>
        </w:tc>
        <w:tc>
          <w:tcPr>
            <w:tcW w:w="1060" w:type="dxa"/>
            <w:vAlign w:val="bottom"/>
            <w:tcBorders>
              <w:bottom w:val="single" w:sz="8" w:color="auto"/>
              <w:right w:val="single" w:sz="8" w:color="auto"/>
            </w:tcBorders>
          </w:tcPr>
          <w:p>
            <w:pPr>
              <w:spacing w:after="0"/>
              <w:rPr>
                <w:sz w:val="22"/>
                <w:szCs w:val="22"/>
                <w:color w:val="auto"/>
              </w:rPr>
            </w:pPr>
          </w:p>
        </w:tc>
        <w:tc>
          <w:tcPr>
            <w:tcW w:w="1060" w:type="dxa"/>
            <w:vAlign w:val="bottom"/>
            <w:tcBorders>
              <w:bottom w:val="single" w:sz="8" w:color="auto"/>
              <w:right w:val="single" w:sz="8" w:color="auto"/>
            </w:tcBorders>
          </w:tcPr>
          <w:p>
            <w:pPr>
              <w:spacing w:after="0"/>
              <w:rPr>
                <w:sz w:val="22"/>
                <w:szCs w:val="22"/>
                <w:color w:val="auto"/>
              </w:rPr>
            </w:pPr>
          </w:p>
        </w:tc>
        <w:tc>
          <w:tcPr>
            <w:tcW w:w="840" w:type="dxa"/>
            <w:vAlign w:val="bottom"/>
            <w:tcBorders>
              <w:bottom w:val="single" w:sz="8" w:color="auto"/>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81"/>
        </w:trPr>
        <w:tc>
          <w:tcPr>
            <w:tcW w:w="144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Cool Temperate</w:t>
            </w:r>
          </w:p>
        </w:tc>
        <w:tc>
          <w:tcPr>
            <w:tcW w:w="8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4,668</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7%</w:t>
            </w:r>
          </w:p>
        </w:tc>
        <w:tc>
          <w:tcPr>
            <w:tcW w:w="8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315</w:t>
            </w:r>
          </w:p>
        </w:tc>
        <w:tc>
          <w:tcPr>
            <w:tcW w:w="10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96%</w:t>
            </w:r>
          </w:p>
        </w:tc>
        <w:tc>
          <w:tcPr>
            <w:tcW w:w="10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w:t>
            </w:r>
          </w:p>
        </w:tc>
        <w:tc>
          <w:tcPr>
            <w:tcW w:w="10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98"/>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Rainforest</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144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Damp Forest</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170,255</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0.3%</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439</w:t>
            </w:r>
          </w:p>
        </w:tc>
        <w:tc>
          <w:tcPr>
            <w:tcW w:w="10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51%</w:t>
            </w:r>
          </w:p>
        </w:tc>
        <w:tc>
          <w:tcPr>
            <w:tcW w:w="10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43%</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2%</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96%</w:t>
            </w:r>
          </w:p>
        </w:tc>
        <w:tc>
          <w:tcPr>
            <w:tcW w:w="0" w:type="dxa"/>
            <w:vAlign w:val="bottom"/>
          </w:tcPr>
          <w:p>
            <w:pPr>
              <w:spacing w:after="0"/>
              <w:rPr>
                <w:sz w:val="1"/>
                <w:szCs w:val="1"/>
                <w:color w:val="auto"/>
              </w:rPr>
            </w:pPr>
          </w:p>
        </w:tc>
      </w:tr>
      <w:tr>
        <w:trPr>
          <w:trHeight w:val="109"/>
        </w:trPr>
        <w:tc>
          <w:tcPr>
            <w:tcW w:w="1440" w:type="dxa"/>
            <w:vAlign w:val="bottom"/>
            <w:tcBorders>
              <w:left w:val="single" w:sz="8" w:color="auto"/>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144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Damp Heathy</w:t>
            </w:r>
          </w:p>
        </w:tc>
        <w:tc>
          <w:tcPr>
            <w:tcW w:w="8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7,120</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w:t>
            </w:r>
          </w:p>
        </w:tc>
        <w:tc>
          <w:tcPr>
            <w:tcW w:w="8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38</w:t>
            </w:r>
          </w:p>
        </w:tc>
        <w:tc>
          <w:tcPr>
            <w:tcW w:w="10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10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98"/>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144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Grassy Dry Forest</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47,287</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&lt;1%</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7</w:t>
            </w:r>
          </w:p>
        </w:tc>
        <w:tc>
          <w:tcPr>
            <w:tcW w:w="10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10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98%</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r>
        <w:trPr>
          <w:trHeight w:val="109"/>
        </w:trPr>
        <w:tc>
          <w:tcPr>
            <w:tcW w:w="1440" w:type="dxa"/>
            <w:vAlign w:val="bottom"/>
            <w:tcBorders>
              <w:left w:val="single" w:sz="8" w:color="auto"/>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144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Heathy Dry Forest</w:t>
            </w:r>
          </w:p>
        </w:tc>
        <w:tc>
          <w:tcPr>
            <w:tcW w:w="8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14,725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28%</w:t>
            </w:r>
          </w:p>
        </w:tc>
        <w:tc>
          <w:tcPr>
            <w:tcW w:w="8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4,054</w:t>
            </w:r>
          </w:p>
        </w:tc>
        <w:tc>
          <w:tcPr>
            <w:tcW w:w="10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18%</w:t>
            </w:r>
          </w:p>
        </w:tc>
        <w:tc>
          <w:tcPr>
            <w:tcW w:w="10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47%</w:t>
            </w:r>
          </w:p>
        </w:tc>
        <w:tc>
          <w:tcPr>
            <w:tcW w:w="10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19%</w:t>
            </w:r>
          </w:p>
        </w:tc>
        <w:tc>
          <w:tcPr>
            <w:tcW w:w="10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84%</w:t>
            </w:r>
          </w:p>
        </w:tc>
        <w:tc>
          <w:tcPr>
            <w:tcW w:w="0" w:type="dxa"/>
            <w:vAlign w:val="bottom"/>
          </w:tcPr>
          <w:p>
            <w:pPr>
              <w:spacing w:after="0"/>
              <w:rPr>
                <w:sz w:val="1"/>
                <w:szCs w:val="1"/>
                <w:color w:val="auto"/>
              </w:rPr>
            </w:pPr>
          </w:p>
        </w:tc>
      </w:tr>
      <w:tr>
        <w:trPr>
          <w:trHeight w:val="109"/>
        </w:trPr>
        <w:tc>
          <w:tcPr>
            <w:tcW w:w="1440" w:type="dxa"/>
            <w:vAlign w:val="bottom"/>
            <w:tcBorders>
              <w:left w:val="single" w:sz="8" w:color="auto"/>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144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Heathy Woodland</w:t>
            </w:r>
          </w:p>
        </w:tc>
        <w:tc>
          <w:tcPr>
            <w:tcW w:w="8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2,168</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33%</w:t>
            </w:r>
          </w:p>
        </w:tc>
        <w:tc>
          <w:tcPr>
            <w:tcW w:w="8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717</w:t>
            </w:r>
          </w:p>
        </w:tc>
        <w:tc>
          <w:tcPr>
            <w:tcW w:w="10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68%</w:t>
            </w:r>
          </w:p>
        </w:tc>
        <w:tc>
          <w:tcPr>
            <w:tcW w:w="10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w:t>
            </w:r>
          </w:p>
        </w:tc>
        <w:tc>
          <w:tcPr>
            <w:tcW w:w="10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3%</w:t>
            </w:r>
          </w:p>
        </w:tc>
        <w:tc>
          <w:tcPr>
            <w:tcW w:w="10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74%</w:t>
            </w:r>
          </w:p>
        </w:tc>
        <w:tc>
          <w:tcPr>
            <w:tcW w:w="0" w:type="dxa"/>
            <w:vAlign w:val="bottom"/>
          </w:tcPr>
          <w:p>
            <w:pPr>
              <w:spacing w:after="0"/>
              <w:rPr>
                <w:sz w:val="1"/>
                <w:szCs w:val="1"/>
                <w:color w:val="auto"/>
              </w:rPr>
            </w:pPr>
          </w:p>
        </w:tc>
      </w:tr>
      <w:tr>
        <w:trPr>
          <w:trHeight w:val="109"/>
        </w:trPr>
        <w:tc>
          <w:tcPr>
            <w:tcW w:w="1440" w:type="dxa"/>
            <w:vAlign w:val="bottom"/>
            <w:tcBorders>
              <w:left w:val="single" w:sz="8" w:color="auto"/>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1"/>
        </w:trPr>
        <w:tc>
          <w:tcPr>
            <w:tcW w:w="1440" w:type="dxa"/>
            <w:vAlign w:val="bottom"/>
            <w:tcBorders>
              <w:left w:val="single" w:sz="8" w:color="auto"/>
              <w:right w:val="single" w:sz="8" w:color="auto"/>
            </w:tcBorders>
          </w:tcPr>
          <w:p>
            <w:pPr>
              <w:ind w:left="120"/>
              <w:spacing w:after="0" w:line="181" w:lineRule="exact"/>
              <w:rPr>
                <w:sz w:val="20"/>
                <w:szCs w:val="20"/>
                <w:color w:val="auto"/>
              </w:rPr>
            </w:pPr>
            <w:r>
              <w:rPr>
                <w:rFonts w:ascii="Calibri" w:cs="Calibri" w:eastAsia="Calibri" w:hAnsi="Calibri"/>
                <w:sz w:val="16"/>
                <w:szCs w:val="16"/>
                <w:color w:val="auto"/>
              </w:rPr>
              <w:t>Herb-rich Foothill</w:t>
            </w:r>
          </w:p>
        </w:tc>
        <w:tc>
          <w:tcPr>
            <w:tcW w:w="8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137,335</w:t>
            </w:r>
          </w:p>
        </w:tc>
        <w:tc>
          <w:tcPr>
            <w:tcW w:w="8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&lt;1%</w:t>
            </w:r>
          </w:p>
        </w:tc>
        <w:tc>
          <w:tcPr>
            <w:tcW w:w="84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43</w:t>
            </w:r>
          </w:p>
        </w:tc>
        <w:tc>
          <w:tcPr>
            <w:tcW w:w="106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6%</w:t>
            </w:r>
          </w:p>
        </w:tc>
        <w:tc>
          <w:tcPr>
            <w:tcW w:w="108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81%</w:t>
            </w:r>
          </w:p>
        </w:tc>
        <w:tc>
          <w:tcPr>
            <w:tcW w:w="10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5%</w:t>
            </w:r>
          </w:p>
        </w:tc>
        <w:tc>
          <w:tcPr>
            <w:tcW w:w="1060" w:type="dxa"/>
            <w:vAlign w:val="bottom"/>
            <w:tcBorders>
              <w:right w:val="single" w:sz="8" w:color="auto"/>
            </w:tcBorders>
          </w:tcPr>
          <w:p>
            <w:pPr>
              <w:ind w:left="80"/>
              <w:spacing w:after="0" w:line="181"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1" w:lineRule="exact"/>
              <w:rPr>
                <w:sz w:val="20"/>
                <w:szCs w:val="20"/>
                <w:color w:val="auto"/>
              </w:rPr>
            </w:pPr>
            <w:r>
              <w:rPr>
                <w:rFonts w:ascii="Calibri" w:cs="Calibri" w:eastAsia="Calibri" w:hAnsi="Calibri"/>
                <w:sz w:val="16"/>
                <w:szCs w:val="16"/>
                <w:color w:val="auto"/>
              </w:rPr>
              <w:t>91%</w:t>
            </w:r>
          </w:p>
        </w:tc>
        <w:tc>
          <w:tcPr>
            <w:tcW w:w="0" w:type="dxa"/>
            <w:vAlign w:val="bottom"/>
          </w:tcPr>
          <w:p>
            <w:pPr>
              <w:spacing w:after="0"/>
              <w:rPr>
                <w:sz w:val="1"/>
                <w:szCs w:val="1"/>
                <w:color w:val="auto"/>
              </w:rPr>
            </w:pPr>
          </w:p>
        </w:tc>
      </w:tr>
      <w:tr>
        <w:trPr>
          <w:trHeight w:val="197"/>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Forest</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4"/>
        </w:trPr>
        <w:tc>
          <w:tcPr>
            <w:tcW w:w="144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Montane Damp</w:t>
            </w:r>
          </w:p>
        </w:tc>
        <w:tc>
          <w:tcPr>
            <w:tcW w:w="8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20,392</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&lt;1%</w:t>
            </w:r>
          </w:p>
        </w:tc>
        <w:tc>
          <w:tcPr>
            <w:tcW w:w="8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26</w:t>
            </w:r>
          </w:p>
        </w:tc>
        <w:tc>
          <w:tcPr>
            <w:tcW w:w="10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37%</w:t>
            </w:r>
          </w:p>
        </w:tc>
        <w:tc>
          <w:tcPr>
            <w:tcW w:w="10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48%</w:t>
            </w:r>
          </w:p>
        </w:tc>
        <w:tc>
          <w:tcPr>
            <w:tcW w:w="10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11%</w:t>
            </w:r>
          </w:p>
        </w:tc>
        <w:tc>
          <w:tcPr>
            <w:tcW w:w="10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96%</w:t>
            </w:r>
          </w:p>
        </w:tc>
        <w:tc>
          <w:tcPr>
            <w:tcW w:w="0" w:type="dxa"/>
            <w:vAlign w:val="bottom"/>
          </w:tcPr>
          <w:p>
            <w:pPr>
              <w:spacing w:after="0"/>
              <w:rPr>
                <w:sz w:val="1"/>
                <w:szCs w:val="1"/>
                <w:color w:val="auto"/>
              </w:rPr>
            </w:pPr>
          </w:p>
        </w:tc>
      </w:tr>
      <w:tr>
        <w:trPr>
          <w:trHeight w:val="196"/>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Forest</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5"/>
        </w:trPr>
        <w:tc>
          <w:tcPr>
            <w:tcW w:w="144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Montane Dry</w:t>
            </w:r>
          </w:p>
        </w:tc>
        <w:tc>
          <w:tcPr>
            <w:tcW w:w="84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7,077</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19%</w:t>
            </w:r>
          </w:p>
        </w:tc>
        <w:tc>
          <w:tcPr>
            <w:tcW w:w="84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1,365</w:t>
            </w:r>
          </w:p>
        </w:tc>
        <w:tc>
          <w:tcPr>
            <w:tcW w:w="10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5%</w:t>
            </w:r>
          </w:p>
        </w:tc>
        <w:tc>
          <w:tcPr>
            <w:tcW w:w="10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48%</w:t>
            </w:r>
          </w:p>
        </w:tc>
        <w:tc>
          <w:tcPr>
            <w:tcW w:w="10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24%</w:t>
            </w:r>
          </w:p>
        </w:tc>
        <w:tc>
          <w:tcPr>
            <w:tcW w:w="10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77%</w:t>
            </w:r>
          </w:p>
        </w:tc>
        <w:tc>
          <w:tcPr>
            <w:tcW w:w="0" w:type="dxa"/>
            <w:vAlign w:val="bottom"/>
          </w:tcPr>
          <w:p>
            <w:pPr>
              <w:spacing w:after="0"/>
              <w:rPr>
                <w:sz w:val="1"/>
                <w:szCs w:val="1"/>
                <w:color w:val="auto"/>
              </w:rPr>
            </w:pPr>
          </w:p>
        </w:tc>
      </w:tr>
      <w:tr>
        <w:trPr>
          <w:trHeight w:val="196"/>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5"/>
        </w:trPr>
        <w:tc>
          <w:tcPr>
            <w:tcW w:w="144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Montane Riparian</w:t>
            </w:r>
          </w:p>
        </w:tc>
        <w:tc>
          <w:tcPr>
            <w:tcW w:w="84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2,520</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&lt;1%</w:t>
            </w:r>
          </w:p>
        </w:tc>
        <w:tc>
          <w:tcPr>
            <w:tcW w:w="84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10</w:t>
            </w:r>
          </w:p>
        </w:tc>
        <w:tc>
          <w:tcPr>
            <w:tcW w:w="10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74%</w:t>
            </w:r>
          </w:p>
        </w:tc>
        <w:tc>
          <w:tcPr>
            <w:tcW w:w="10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15%</w:t>
            </w:r>
          </w:p>
        </w:tc>
        <w:tc>
          <w:tcPr>
            <w:tcW w:w="10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7%</w:t>
            </w:r>
          </w:p>
        </w:tc>
        <w:tc>
          <w:tcPr>
            <w:tcW w:w="10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96%</w:t>
            </w:r>
          </w:p>
        </w:tc>
        <w:tc>
          <w:tcPr>
            <w:tcW w:w="0" w:type="dxa"/>
            <w:vAlign w:val="bottom"/>
          </w:tcPr>
          <w:p>
            <w:pPr>
              <w:spacing w:after="0"/>
              <w:rPr>
                <w:sz w:val="1"/>
                <w:szCs w:val="1"/>
                <w:color w:val="auto"/>
              </w:rPr>
            </w:pPr>
          </w:p>
        </w:tc>
      </w:tr>
      <w:tr>
        <w:trPr>
          <w:trHeight w:val="196"/>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Thicket</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5"/>
        </w:trPr>
        <w:tc>
          <w:tcPr>
            <w:tcW w:w="144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Montane Wet</w:t>
            </w:r>
          </w:p>
        </w:tc>
        <w:tc>
          <w:tcPr>
            <w:tcW w:w="84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46,516</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w:t>
            </w:r>
          </w:p>
        </w:tc>
        <w:tc>
          <w:tcPr>
            <w:tcW w:w="84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278</w:t>
            </w:r>
          </w:p>
        </w:tc>
        <w:tc>
          <w:tcPr>
            <w:tcW w:w="10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90%</w:t>
            </w:r>
          </w:p>
        </w:tc>
        <w:tc>
          <w:tcPr>
            <w:tcW w:w="10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w:t>
            </w:r>
          </w:p>
        </w:tc>
        <w:tc>
          <w:tcPr>
            <w:tcW w:w="10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96"/>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Forest</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144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Riparian Forest</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34,844</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&lt;1%</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111</w:t>
            </w:r>
          </w:p>
        </w:tc>
        <w:tc>
          <w:tcPr>
            <w:tcW w:w="10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14%</w:t>
            </w:r>
          </w:p>
        </w:tc>
        <w:tc>
          <w:tcPr>
            <w:tcW w:w="10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86%</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100%</w:t>
            </w:r>
          </w:p>
        </w:tc>
        <w:tc>
          <w:tcPr>
            <w:tcW w:w="0" w:type="dxa"/>
            <w:vAlign w:val="bottom"/>
          </w:tcPr>
          <w:p>
            <w:pPr>
              <w:spacing w:after="0"/>
              <w:rPr>
                <w:sz w:val="1"/>
                <w:szCs w:val="1"/>
                <w:color w:val="auto"/>
              </w:rPr>
            </w:pPr>
          </w:p>
        </w:tc>
      </w:tr>
      <w:tr>
        <w:trPr>
          <w:trHeight w:val="109"/>
        </w:trPr>
        <w:tc>
          <w:tcPr>
            <w:tcW w:w="1440" w:type="dxa"/>
            <w:vAlign w:val="bottom"/>
            <w:tcBorders>
              <w:left w:val="single" w:sz="8" w:color="auto"/>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183"/>
        </w:trPr>
        <w:tc>
          <w:tcPr>
            <w:tcW w:w="1440" w:type="dxa"/>
            <w:vAlign w:val="bottom"/>
            <w:tcBorders>
              <w:left w:val="single" w:sz="8" w:color="auto"/>
              <w:right w:val="single" w:sz="8" w:color="auto"/>
            </w:tcBorders>
          </w:tcPr>
          <w:p>
            <w:pPr>
              <w:ind w:left="120"/>
              <w:spacing w:after="0" w:line="184" w:lineRule="exact"/>
              <w:rPr>
                <w:sz w:val="20"/>
                <w:szCs w:val="20"/>
                <w:color w:val="auto"/>
              </w:rPr>
            </w:pPr>
            <w:r>
              <w:rPr>
                <w:rFonts w:ascii="Calibri" w:cs="Calibri" w:eastAsia="Calibri" w:hAnsi="Calibri"/>
                <w:sz w:val="16"/>
                <w:szCs w:val="16"/>
                <w:color w:val="auto"/>
              </w:rPr>
              <w:t>Shrubby Dry</w:t>
            </w:r>
          </w:p>
        </w:tc>
        <w:tc>
          <w:tcPr>
            <w:tcW w:w="8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14,342</w:t>
            </w:r>
          </w:p>
        </w:tc>
        <w:tc>
          <w:tcPr>
            <w:tcW w:w="8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&lt;1%</w:t>
            </w:r>
          </w:p>
        </w:tc>
        <w:tc>
          <w:tcPr>
            <w:tcW w:w="84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9</w:t>
            </w:r>
          </w:p>
        </w:tc>
        <w:tc>
          <w:tcPr>
            <w:tcW w:w="106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3%</w:t>
            </w:r>
          </w:p>
        </w:tc>
        <w:tc>
          <w:tcPr>
            <w:tcW w:w="108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94%</w:t>
            </w:r>
          </w:p>
        </w:tc>
        <w:tc>
          <w:tcPr>
            <w:tcW w:w="10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1%</w:t>
            </w:r>
          </w:p>
        </w:tc>
        <w:tc>
          <w:tcPr>
            <w:tcW w:w="1060" w:type="dxa"/>
            <w:vAlign w:val="bottom"/>
            <w:tcBorders>
              <w:right w:val="single" w:sz="8" w:color="auto"/>
            </w:tcBorders>
          </w:tcPr>
          <w:p>
            <w:pPr>
              <w:ind w:left="80"/>
              <w:spacing w:after="0" w:line="184"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4" w:lineRule="exact"/>
              <w:rPr>
                <w:sz w:val="20"/>
                <w:szCs w:val="20"/>
                <w:color w:val="auto"/>
              </w:rPr>
            </w:pPr>
            <w:r>
              <w:rPr>
                <w:rFonts w:ascii="Calibri" w:cs="Calibri" w:eastAsia="Calibri" w:hAnsi="Calibri"/>
                <w:sz w:val="16"/>
                <w:szCs w:val="16"/>
                <w:color w:val="auto"/>
              </w:rPr>
              <w:t>98%</w:t>
            </w:r>
          </w:p>
        </w:tc>
        <w:tc>
          <w:tcPr>
            <w:tcW w:w="0" w:type="dxa"/>
            <w:vAlign w:val="bottom"/>
          </w:tcPr>
          <w:p>
            <w:pPr>
              <w:spacing w:after="0"/>
              <w:rPr>
                <w:sz w:val="1"/>
                <w:szCs w:val="1"/>
                <w:color w:val="auto"/>
              </w:rPr>
            </w:pPr>
          </w:p>
        </w:tc>
      </w:tr>
      <w:tr>
        <w:trPr>
          <w:trHeight w:val="196"/>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Forest</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5"/>
        </w:trPr>
        <w:tc>
          <w:tcPr>
            <w:tcW w:w="1440" w:type="dxa"/>
            <w:vAlign w:val="bottom"/>
            <w:tcBorders>
              <w:left w:val="single" w:sz="8" w:color="auto"/>
              <w:right w:val="single" w:sz="8" w:color="auto"/>
            </w:tcBorders>
          </w:tcPr>
          <w:p>
            <w:pPr>
              <w:ind w:left="120"/>
              <w:spacing w:after="0" w:line="185" w:lineRule="exact"/>
              <w:rPr>
                <w:sz w:val="20"/>
                <w:szCs w:val="20"/>
                <w:color w:val="auto"/>
              </w:rPr>
            </w:pPr>
            <w:r>
              <w:rPr>
                <w:rFonts w:ascii="Calibri" w:cs="Calibri" w:eastAsia="Calibri" w:hAnsi="Calibri"/>
                <w:sz w:val="16"/>
                <w:szCs w:val="16"/>
                <w:color w:val="auto"/>
              </w:rPr>
              <w:t>Shrubby Foothill</w:t>
            </w:r>
          </w:p>
        </w:tc>
        <w:tc>
          <w:tcPr>
            <w:tcW w:w="84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36,558</w:t>
            </w:r>
          </w:p>
        </w:tc>
        <w:tc>
          <w:tcPr>
            <w:tcW w:w="8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&lt;1%</w:t>
            </w:r>
          </w:p>
        </w:tc>
        <w:tc>
          <w:tcPr>
            <w:tcW w:w="84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29</w:t>
            </w:r>
          </w:p>
        </w:tc>
        <w:tc>
          <w:tcPr>
            <w:tcW w:w="106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88%</w:t>
            </w:r>
          </w:p>
        </w:tc>
        <w:tc>
          <w:tcPr>
            <w:tcW w:w="108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10%</w:t>
            </w:r>
          </w:p>
        </w:tc>
        <w:tc>
          <w:tcPr>
            <w:tcW w:w="10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5"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5" w:lineRule="exact"/>
              <w:rPr>
                <w:sz w:val="20"/>
                <w:szCs w:val="20"/>
                <w:color w:val="auto"/>
              </w:rPr>
            </w:pPr>
            <w:r>
              <w:rPr>
                <w:rFonts w:ascii="Calibri" w:cs="Calibri" w:eastAsia="Calibri" w:hAnsi="Calibri"/>
                <w:sz w:val="16"/>
                <w:szCs w:val="16"/>
                <w:color w:val="auto"/>
              </w:rPr>
              <w:t>98%</w:t>
            </w:r>
          </w:p>
        </w:tc>
        <w:tc>
          <w:tcPr>
            <w:tcW w:w="0" w:type="dxa"/>
            <w:vAlign w:val="bottom"/>
          </w:tcPr>
          <w:p>
            <w:pPr>
              <w:spacing w:after="0"/>
              <w:rPr>
                <w:sz w:val="1"/>
                <w:szCs w:val="1"/>
                <w:color w:val="auto"/>
              </w:rPr>
            </w:pPr>
          </w:p>
        </w:tc>
      </w:tr>
      <w:tr>
        <w:trPr>
          <w:trHeight w:val="196"/>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Forest</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144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Sub-alpine</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7,742</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&lt;1%</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9</w:t>
            </w:r>
          </w:p>
        </w:tc>
        <w:tc>
          <w:tcPr>
            <w:tcW w:w="10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99%</w:t>
            </w:r>
          </w:p>
        </w:tc>
        <w:tc>
          <w:tcPr>
            <w:tcW w:w="10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99%</w:t>
            </w:r>
          </w:p>
        </w:tc>
        <w:tc>
          <w:tcPr>
            <w:tcW w:w="0" w:type="dxa"/>
            <w:vAlign w:val="bottom"/>
          </w:tcPr>
          <w:p>
            <w:pPr>
              <w:spacing w:after="0"/>
              <w:rPr>
                <w:sz w:val="1"/>
                <w:szCs w:val="1"/>
                <w:color w:val="auto"/>
              </w:rPr>
            </w:pPr>
          </w:p>
        </w:tc>
      </w:tr>
      <w:tr>
        <w:trPr>
          <w:trHeight w:val="198"/>
        </w:trPr>
        <w:tc>
          <w:tcPr>
            <w:tcW w:w="1440" w:type="dxa"/>
            <w:vAlign w:val="bottom"/>
            <w:tcBorders>
              <w:left w:val="single" w:sz="8" w:color="auto"/>
              <w:bottom w:val="single" w:sz="8" w:color="auto"/>
              <w:right w:val="single" w:sz="8" w:color="auto"/>
            </w:tcBorders>
          </w:tcPr>
          <w:p>
            <w:pPr>
              <w:ind w:left="120"/>
              <w:spacing w:after="0"/>
              <w:rPr>
                <w:sz w:val="20"/>
                <w:szCs w:val="20"/>
                <w:color w:val="auto"/>
              </w:rPr>
            </w:pPr>
            <w:r>
              <w:rPr>
                <w:rFonts w:ascii="Calibri" w:cs="Calibri" w:eastAsia="Calibri" w:hAnsi="Calibri"/>
                <w:sz w:val="16"/>
                <w:szCs w:val="16"/>
                <w:color w:val="auto"/>
              </w:rPr>
              <w:t>Woodland</w:t>
            </w:r>
          </w:p>
        </w:tc>
        <w:tc>
          <w:tcPr>
            <w:tcW w:w="840" w:type="dxa"/>
            <w:vAlign w:val="bottom"/>
            <w:tcBorders>
              <w:bottom w:val="single" w:sz="8" w:color="auto"/>
              <w:right w:val="single" w:sz="8" w:color="auto"/>
            </w:tcBorders>
          </w:tcPr>
          <w:p>
            <w:pPr>
              <w:spacing w:after="0"/>
              <w:rPr>
                <w:sz w:val="17"/>
                <w:szCs w:val="17"/>
                <w:color w:val="auto"/>
              </w:rPr>
            </w:pPr>
          </w:p>
        </w:tc>
        <w:tc>
          <w:tcPr>
            <w:tcW w:w="8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8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1060" w:type="dxa"/>
            <w:vAlign w:val="bottom"/>
            <w:tcBorders>
              <w:bottom w:val="single" w:sz="8" w:color="auto"/>
              <w:right w:val="single" w:sz="8" w:color="auto"/>
            </w:tcBorders>
          </w:tcPr>
          <w:p>
            <w:pPr>
              <w:spacing w:after="0"/>
              <w:rPr>
                <w:sz w:val="17"/>
                <w:szCs w:val="17"/>
                <w:color w:val="auto"/>
              </w:rPr>
            </w:pPr>
          </w:p>
        </w:tc>
        <w:tc>
          <w:tcPr>
            <w:tcW w:w="840" w:type="dxa"/>
            <w:vAlign w:val="bottom"/>
            <w:tcBorders>
              <w:bottom w:val="single" w:sz="8" w:color="auto"/>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182"/>
        </w:trPr>
        <w:tc>
          <w:tcPr>
            <w:tcW w:w="1440" w:type="dxa"/>
            <w:vAlign w:val="bottom"/>
            <w:tcBorders>
              <w:left w:val="single" w:sz="8" w:color="auto"/>
              <w:right w:val="single" w:sz="8" w:color="auto"/>
            </w:tcBorders>
          </w:tcPr>
          <w:p>
            <w:pPr>
              <w:ind w:left="120"/>
              <w:spacing w:after="0" w:line="183" w:lineRule="exact"/>
              <w:rPr>
                <w:sz w:val="20"/>
                <w:szCs w:val="20"/>
                <w:color w:val="auto"/>
              </w:rPr>
            </w:pPr>
            <w:r>
              <w:rPr>
                <w:rFonts w:ascii="Calibri" w:cs="Calibri" w:eastAsia="Calibri" w:hAnsi="Calibri"/>
                <w:sz w:val="16"/>
                <w:szCs w:val="16"/>
                <w:color w:val="auto"/>
              </w:rPr>
              <w:t>Wet Forest</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116,803</w:t>
            </w:r>
          </w:p>
        </w:tc>
        <w:tc>
          <w:tcPr>
            <w:tcW w:w="8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w:t>
            </w:r>
          </w:p>
        </w:tc>
        <w:tc>
          <w:tcPr>
            <w:tcW w:w="84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1,143</w:t>
            </w:r>
          </w:p>
        </w:tc>
        <w:tc>
          <w:tcPr>
            <w:tcW w:w="106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88%</w:t>
            </w:r>
          </w:p>
        </w:tc>
        <w:tc>
          <w:tcPr>
            <w:tcW w:w="108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10%</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1060" w:type="dxa"/>
            <w:vAlign w:val="bottom"/>
            <w:tcBorders>
              <w:right w:val="single" w:sz="8" w:color="auto"/>
            </w:tcBorders>
          </w:tcPr>
          <w:p>
            <w:pPr>
              <w:ind w:left="80"/>
              <w:spacing w:after="0" w:line="183" w:lineRule="exact"/>
              <w:rPr>
                <w:sz w:val="20"/>
                <w:szCs w:val="20"/>
                <w:color w:val="auto"/>
              </w:rPr>
            </w:pPr>
            <w:r>
              <w:rPr>
                <w:rFonts w:ascii="Calibri" w:cs="Calibri" w:eastAsia="Calibri" w:hAnsi="Calibri"/>
                <w:sz w:val="16"/>
                <w:szCs w:val="16"/>
                <w:color w:val="auto"/>
              </w:rPr>
              <w:t>0%</w:t>
            </w:r>
          </w:p>
        </w:tc>
        <w:tc>
          <w:tcPr>
            <w:tcW w:w="840" w:type="dxa"/>
            <w:vAlign w:val="bottom"/>
            <w:tcBorders>
              <w:right w:val="single" w:sz="8" w:color="auto"/>
            </w:tcBorders>
          </w:tcPr>
          <w:p>
            <w:pPr>
              <w:ind w:left="100"/>
              <w:spacing w:after="0" w:line="183" w:lineRule="exact"/>
              <w:rPr>
                <w:sz w:val="20"/>
                <w:szCs w:val="20"/>
                <w:color w:val="auto"/>
              </w:rPr>
            </w:pPr>
            <w:r>
              <w:rPr>
                <w:rFonts w:ascii="Calibri" w:cs="Calibri" w:eastAsia="Calibri" w:hAnsi="Calibri"/>
                <w:sz w:val="16"/>
                <w:szCs w:val="16"/>
                <w:color w:val="auto"/>
              </w:rPr>
              <w:t>97%</w:t>
            </w:r>
          </w:p>
        </w:tc>
        <w:tc>
          <w:tcPr>
            <w:tcW w:w="0" w:type="dxa"/>
            <w:vAlign w:val="bottom"/>
          </w:tcPr>
          <w:p>
            <w:pPr>
              <w:spacing w:after="0"/>
              <w:rPr>
                <w:sz w:val="1"/>
                <w:szCs w:val="1"/>
                <w:color w:val="auto"/>
              </w:rPr>
            </w:pPr>
          </w:p>
        </w:tc>
      </w:tr>
      <w:tr>
        <w:trPr>
          <w:trHeight w:val="111"/>
        </w:trPr>
        <w:tc>
          <w:tcPr>
            <w:tcW w:w="1440" w:type="dxa"/>
            <w:vAlign w:val="bottom"/>
            <w:tcBorders>
              <w:left w:val="single" w:sz="8" w:color="auto"/>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8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8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1060" w:type="dxa"/>
            <w:vAlign w:val="bottom"/>
            <w:tcBorders>
              <w:bottom w:val="single" w:sz="8" w:color="auto"/>
              <w:right w:val="single" w:sz="8" w:color="auto"/>
            </w:tcBorders>
          </w:tcPr>
          <w:p>
            <w:pPr>
              <w:spacing w:after="0"/>
              <w:rPr>
                <w:sz w:val="9"/>
                <w:szCs w:val="9"/>
                <w:color w:val="auto"/>
              </w:rPr>
            </w:pPr>
          </w:p>
        </w:tc>
        <w:tc>
          <w:tcPr>
            <w:tcW w:w="840" w:type="dxa"/>
            <w:vAlign w:val="bottom"/>
            <w:tcBorders>
              <w:bottom w:val="single" w:sz="8" w:color="auto"/>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14" w:lineRule="exact"/>
        <w:rPr>
          <w:sz w:val="20"/>
          <w:szCs w:val="20"/>
          <w:color w:val="auto"/>
        </w:rPr>
      </w:pPr>
    </w:p>
    <w:p>
      <w:pPr>
        <w:ind w:right="60"/>
        <w:spacing w:after="0" w:line="265" w:lineRule="auto"/>
        <w:tabs>
          <w:tab w:leader="none" w:pos="187" w:val="left"/>
        </w:tabs>
        <w:numPr>
          <w:ilvl w:val="0"/>
          <w:numId w:val="15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The figures shown in this table are based on the 2019 version of Victoria’s modelled extent of Old Growth Forest (MOG) and are therefore only approximate.</w:t>
      </w:r>
    </w:p>
    <w:p>
      <w:pPr>
        <w:spacing w:after="0" w:line="210" w:lineRule="exact"/>
        <w:rPr>
          <w:rFonts w:ascii="Times New Roman" w:cs="Times New Roman" w:eastAsia="Times New Roman" w:hAnsi="Times New Roman"/>
          <w:sz w:val="16"/>
          <w:szCs w:val="16"/>
          <w:color w:val="auto"/>
        </w:rPr>
      </w:pPr>
    </w:p>
    <w:p>
      <w:pPr>
        <w:ind w:left="200" w:hanging="200"/>
        <w:spacing w:after="0"/>
        <w:tabs>
          <w:tab w:leader="none" w:pos="200" w:val="left"/>
        </w:tabs>
        <w:numPr>
          <w:ilvl w:val="0"/>
          <w:numId w:val="15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Informal Reserve includes broad areas and linear elements of SPZ greater than 100 metres and other informal reserves.</w:t>
      </w:r>
    </w:p>
    <w:p>
      <w:pPr>
        <w:spacing w:after="0" w:line="226" w:lineRule="exact"/>
        <w:rPr>
          <w:rFonts w:ascii="Times New Roman" w:cs="Times New Roman" w:eastAsia="Times New Roman" w:hAnsi="Times New Roman"/>
          <w:sz w:val="16"/>
          <w:szCs w:val="16"/>
          <w:color w:val="auto"/>
        </w:rPr>
      </w:pPr>
    </w:p>
    <w:p>
      <w:pPr>
        <w:ind w:left="200" w:hanging="200"/>
        <w:spacing w:after="0"/>
        <w:tabs>
          <w:tab w:leader="none" w:pos="200" w:val="left"/>
        </w:tabs>
        <w:numPr>
          <w:ilvl w:val="0"/>
          <w:numId w:val="15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This comprises those elements of GMZ and SMZ protected by prescriptions.</w:t>
      </w:r>
    </w:p>
    <w:p>
      <w:pPr>
        <w:spacing w:after="0" w:line="236" w:lineRule="exact"/>
        <w:rPr>
          <w:sz w:val="20"/>
          <w:szCs w:val="20"/>
          <w:color w:val="auto"/>
        </w:rPr>
      </w:pPr>
    </w:p>
    <w:p>
      <w:pPr>
        <w:ind w:right="60"/>
        <w:spacing w:after="0" w:line="265" w:lineRule="auto"/>
        <w:tabs>
          <w:tab w:leader="none" w:pos="168" w:val="left"/>
        </w:tabs>
        <w:numPr>
          <w:ilvl w:val="0"/>
          <w:numId w:val="15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 xml:space="preserve">Private Land covenants includes areas protected under conservation covenants under the </w:t>
      </w:r>
      <w:r>
        <w:rPr>
          <w:rFonts w:ascii="Times New Roman" w:cs="Times New Roman" w:eastAsia="Times New Roman" w:hAnsi="Times New Roman"/>
          <w:sz w:val="16"/>
          <w:szCs w:val="16"/>
          <w:i w:val="1"/>
          <w:iCs w:val="1"/>
          <w:color w:val="auto"/>
        </w:rPr>
        <w:t>Victorian Conservation Trust Act 1972</w:t>
      </w:r>
      <w:r>
        <w:rPr>
          <w:rFonts w:ascii="Times New Roman" w:cs="Times New Roman" w:eastAsia="Times New Roman" w:hAnsi="Times New Roman"/>
          <w:sz w:val="16"/>
          <w:szCs w:val="16"/>
          <w:color w:val="auto"/>
        </w:rPr>
        <w:t xml:space="preserve"> and Land Management Cooperative Agreements under the </w:t>
      </w:r>
      <w:r>
        <w:rPr>
          <w:rFonts w:ascii="Times New Roman" w:cs="Times New Roman" w:eastAsia="Times New Roman" w:hAnsi="Times New Roman"/>
          <w:sz w:val="16"/>
          <w:szCs w:val="16"/>
          <w:i w:val="1"/>
          <w:iCs w:val="1"/>
          <w:color w:val="auto"/>
        </w:rPr>
        <w:t>Conservation Forests and Lands Act 1987</w:t>
      </w:r>
      <w:r>
        <w:rPr>
          <w:rFonts w:ascii="Times New Roman" w:cs="Times New Roman" w:eastAsia="Times New Roman" w:hAnsi="Times New Roman"/>
          <w:sz w:val="16"/>
          <w:szCs w:val="16"/>
          <w:color w:val="auto"/>
        </w:rPr>
        <w:t>.</w:t>
      </w: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i w:val="1"/>
          <w:iCs w:val="1"/>
          <w:color w:val="auto"/>
        </w:rPr>
        <w:t>Endangered, Vulnerable or Rare EVCs</w:t>
      </w:r>
    </w:p>
    <w:p>
      <w:pPr>
        <w:spacing w:after="0" w:line="246" w:lineRule="exact"/>
        <w:rPr>
          <w:sz w:val="20"/>
          <w:szCs w:val="20"/>
          <w:color w:val="auto"/>
        </w:rPr>
      </w:pPr>
    </w:p>
    <w:p>
      <w:pPr>
        <w:jc w:val="both"/>
        <w:ind w:right="60"/>
        <w:spacing w:after="0" w:line="270" w:lineRule="auto"/>
        <w:rPr>
          <w:sz w:val="20"/>
          <w:szCs w:val="20"/>
          <w:color w:val="auto"/>
        </w:rPr>
      </w:pPr>
      <w:r>
        <w:rPr>
          <w:rFonts w:ascii="Times New Roman" w:cs="Times New Roman" w:eastAsia="Times New Roman" w:hAnsi="Times New Roman"/>
          <w:sz w:val="22"/>
          <w:szCs w:val="22"/>
          <w:color w:val="auto"/>
        </w:rPr>
        <w:t>The conservation status of EVCs in the Central Highlands region has been assessed in line with the national reserve criteria (JANIS 1997). EVCs which are classified as rare, vulnerable or endangered according to the national reserve criteria are presented in Table 1a and 1b.</w:t>
      </w:r>
    </w:p>
    <w:p>
      <w:pPr>
        <w:spacing w:after="0" w:line="219" w:lineRule="exact"/>
        <w:rPr>
          <w:sz w:val="20"/>
          <w:szCs w:val="20"/>
          <w:color w:val="auto"/>
        </w:rPr>
      </w:pPr>
    </w:p>
    <w:p>
      <w:pPr>
        <w:jc w:val="both"/>
        <w:ind w:right="60"/>
        <w:spacing w:after="0" w:line="270" w:lineRule="auto"/>
        <w:rPr>
          <w:sz w:val="20"/>
          <w:szCs w:val="20"/>
          <w:color w:val="auto"/>
        </w:rPr>
      </w:pPr>
      <w:r>
        <w:rPr>
          <w:rFonts w:ascii="Times New Roman" w:cs="Times New Roman" w:eastAsia="Times New Roman" w:hAnsi="Times New Roman"/>
          <w:sz w:val="22"/>
          <w:szCs w:val="22"/>
          <w:color w:val="auto"/>
        </w:rPr>
        <w:t>In line with JANIS 1997 reservation objectives, all remaining occurrences of rare and endangered EVCs should be reserved or protected by other means as far as is practicable, and at least 60 percent of the remaining extent of vulnerable EVCs should be reserved.</w:t>
      </w:r>
    </w:p>
    <w:p>
      <w:pPr>
        <w:spacing w:after="0" w:line="200" w:lineRule="exact"/>
        <w:rPr>
          <w:sz w:val="20"/>
          <w:szCs w:val="20"/>
          <w:color w:val="auto"/>
        </w:rPr>
      </w:pPr>
    </w:p>
    <w:p>
      <w:pPr>
        <w:spacing w:after="0" w:line="370" w:lineRule="exact"/>
        <w:rPr>
          <w:sz w:val="20"/>
          <w:szCs w:val="20"/>
          <w:color w:val="auto"/>
        </w:rPr>
      </w:pPr>
    </w:p>
    <w:p>
      <w:pPr>
        <w:jc w:val="center"/>
        <w:ind w:right="40"/>
        <w:spacing w:after="0"/>
        <w:rPr>
          <w:sz w:val="20"/>
          <w:szCs w:val="20"/>
          <w:color w:val="auto"/>
        </w:rPr>
      </w:pPr>
      <w:r>
        <w:rPr>
          <w:rFonts w:ascii="Calibri" w:cs="Calibri" w:eastAsia="Calibri" w:hAnsi="Calibri"/>
          <w:sz w:val="22"/>
          <w:szCs w:val="22"/>
          <w:color w:val="auto"/>
        </w:rPr>
        <w:t>63</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80"/>
          </w:cols>
          <w:pgMar w:left="1440" w:top="1440" w:right="1386" w:bottom="147" w:gutter="0" w:footer="0" w:header="0"/>
        </w:sectPr>
      </w:pPr>
    </w:p>
    <w:bookmarkStart w:id="63" w:name="page64"/>
    <w:bookmarkEnd w:id="63"/>
    <w:p>
      <w:pPr>
        <w:spacing w:after="0" w:line="4" w:lineRule="exact"/>
        <w:rPr>
          <w:sz w:val="20"/>
          <w:szCs w:val="20"/>
          <w:color w:val="auto"/>
        </w:rPr>
      </w:pPr>
    </w:p>
    <w:p>
      <w:pPr>
        <w:jc w:val="both"/>
        <w:ind w:right="20"/>
        <w:spacing w:after="0" w:line="270" w:lineRule="auto"/>
        <w:rPr>
          <w:sz w:val="20"/>
          <w:szCs w:val="20"/>
          <w:color w:val="auto"/>
        </w:rPr>
      </w:pPr>
      <w:r>
        <w:rPr>
          <w:rFonts w:ascii="Times New Roman" w:cs="Times New Roman" w:eastAsia="Times New Roman" w:hAnsi="Times New Roman"/>
          <w:sz w:val="22"/>
          <w:szCs w:val="22"/>
          <w:color w:val="auto"/>
        </w:rPr>
        <w:t>The conservation status assessment of EVCs has been conducted using the best available information and considered the impact of past and potential future Threatening Processes relevant to EVCs within the Central Highlands region.</w:t>
      </w:r>
    </w:p>
    <w:p>
      <w:pPr>
        <w:spacing w:after="0" w:line="219" w:lineRule="exact"/>
        <w:rPr>
          <w:sz w:val="20"/>
          <w:szCs w:val="20"/>
          <w:color w:val="auto"/>
        </w:rPr>
      </w:pPr>
    </w:p>
    <w:p>
      <w:pPr>
        <w:jc w:val="both"/>
        <w:ind w:right="20"/>
        <w:spacing w:after="0" w:line="270" w:lineRule="auto"/>
        <w:rPr>
          <w:sz w:val="20"/>
          <w:szCs w:val="20"/>
          <w:color w:val="auto"/>
        </w:rPr>
      </w:pPr>
      <w:r>
        <w:rPr>
          <w:rFonts w:ascii="Times New Roman" w:cs="Times New Roman" w:eastAsia="Times New Roman" w:hAnsi="Times New Roman"/>
          <w:sz w:val="22"/>
          <w:szCs w:val="22"/>
          <w:color w:val="auto"/>
        </w:rPr>
        <w:t>Threatening Processes considered in this assessment included: land clearance, damaging fire, weed invasion, timber harvesting, sea level rise, climate change, overabundant or introduced grazers and browsers, livestock grazing, cropping and the cumulative effect of these threats.</w:t>
      </w:r>
    </w:p>
    <w:p>
      <w:pPr>
        <w:spacing w:after="0" w:line="219" w:lineRule="exact"/>
        <w:rPr>
          <w:sz w:val="20"/>
          <w:szCs w:val="20"/>
          <w:color w:val="auto"/>
        </w:rPr>
      </w:pPr>
    </w:p>
    <w:p>
      <w:pPr>
        <w:jc w:val="both"/>
        <w:ind w:right="20"/>
        <w:spacing w:after="0" w:line="264" w:lineRule="auto"/>
        <w:rPr>
          <w:sz w:val="20"/>
          <w:szCs w:val="20"/>
          <w:color w:val="auto"/>
        </w:rPr>
      </w:pPr>
      <w:r>
        <w:rPr>
          <w:rFonts w:ascii="Times New Roman" w:cs="Times New Roman" w:eastAsia="Times New Roman" w:hAnsi="Times New Roman"/>
          <w:sz w:val="22"/>
          <w:szCs w:val="22"/>
          <w:color w:val="auto"/>
        </w:rPr>
        <w:t>Within the Central Highlands region 50 EVCs are mapped. Of these, 35 have been assessed as Vulnerable, 7 as Rare and 6 as Endangered.</w:t>
      </w:r>
    </w:p>
    <w:p>
      <w:pPr>
        <w:spacing w:after="0" w:line="226" w:lineRule="exact"/>
        <w:rPr>
          <w:sz w:val="20"/>
          <w:szCs w:val="20"/>
          <w:color w:val="auto"/>
        </w:rPr>
      </w:pPr>
    </w:p>
    <w:p>
      <w:pPr>
        <w:jc w:val="both"/>
        <w:ind w:right="20"/>
        <w:spacing w:after="0" w:line="273" w:lineRule="auto"/>
        <w:rPr>
          <w:sz w:val="20"/>
          <w:szCs w:val="20"/>
          <w:color w:val="auto"/>
        </w:rPr>
      </w:pPr>
      <w:r>
        <w:rPr>
          <w:rFonts w:ascii="Times New Roman" w:cs="Times New Roman" w:eastAsia="Times New Roman" w:hAnsi="Times New Roman"/>
          <w:sz w:val="22"/>
          <w:szCs w:val="22"/>
          <w:color w:val="auto"/>
        </w:rPr>
        <w:t>Victoria will use best endeavours to further reserve priority EVCs (indicated in Table 1a and 1b) and make changes to its CAR Reserve System as a result of changes in knowledge and changes in biota (e.g. through Climate Change). Values protected by prescription have been estimated using spatial models where available however the CAR Reserve System will be amended from time-to-time depending on field verification of these values.</w:t>
      </w:r>
    </w:p>
    <w:p>
      <w:pPr>
        <w:spacing w:after="0" w:line="20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PRIVATE LAND</w:t>
      </w:r>
    </w:p>
    <w:p>
      <w:pPr>
        <w:spacing w:after="0" w:line="246" w:lineRule="exact"/>
        <w:rPr>
          <w:sz w:val="20"/>
          <w:szCs w:val="20"/>
          <w:color w:val="auto"/>
        </w:rPr>
      </w:pPr>
    </w:p>
    <w:p>
      <w:pPr>
        <w:jc w:val="both"/>
        <w:spacing w:after="0" w:line="273" w:lineRule="auto"/>
        <w:rPr>
          <w:sz w:val="20"/>
          <w:szCs w:val="20"/>
          <w:color w:val="auto"/>
        </w:rPr>
      </w:pPr>
      <w:r>
        <w:rPr>
          <w:rFonts w:ascii="Times New Roman" w:cs="Times New Roman" w:eastAsia="Times New Roman" w:hAnsi="Times New Roman"/>
          <w:sz w:val="22"/>
          <w:szCs w:val="22"/>
          <w:color w:val="auto"/>
        </w:rPr>
        <w:t>The NFPS established that the CAR Reserve System will in the first instance be selected from Public Land. However, the NFPS and National Reserve Criteria (JANIS 1997) recognise that a range of strategies will be appropriate for protecting Biodiversity on Private Land. These range from purchase of priority areas for inclusion in the reserve system, to mechanisms which ensure protection, such as covenants on freehold land. Inclusion of Private Land in the CAR Reserve System will be voluntary.</w:t>
      </w:r>
    </w:p>
    <w:p>
      <w:pPr>
        <w:spacing w:after="0" w:line="20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Mechanisms which provide for the protection of Biodiversity on Private Land in Victoria include:</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conservation covenants under the </w:t>
      </w:r>
      <w:r>
        <w:rPr>
          <w:rFonts w:ascii="Times New Roman" w:cs="Times New Roman" w:eastAsia="Times New Roman" w:hAnsi="Times New Roman"/>
          <w:sz w:val="22"/>
          <w:szCs w:val="22"/>
          <w:i w:val="1"/>
          <w:iCs w:val="1"/>
          <w:color w:val="auto"/>
        </w:rPr>
        <w:t>Victorian Conservation Trust Act 1972</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p>
    <w:p>
      <w:pPr>
        <w:spacing w:after="0" w:line="147" w:lineRule="exact"/>
        <w:rPr>
          <w:sz w:val="20"/>
          <w:szCs w:val="20"/>
          <w:color w:val="auto"/>
        </w:rPr>
      </w:pPr>
    </w:p>
    <w:p>
      <w:pPr>
        <w:ind w:left="280" w:right="20"/>
        <w:spacing w:after="0" w:line="235" w:lineRule="auto"/>
        <w:rPr>
          <w:sz w:val="20"/>
          <w:szCs w:val="20"/>
          <w:color w:val="auto"/>
        </w:rPr>
      </w:pPr>
      <w:r>
        <w:rPr>
          <w:rFonts w:ascii="Times New Roman" w:cs="Times New Roman" w:eastAsia="Times New Roman" w:hAnsi="Times New Roman"/>
          <w:sz w:val="22"/>
          <w:szCs w:val="22"/>
          <w:color w:val="auto"/>
        </w:rPr>
        <w:t xml:space="preserve">Land Management Cooperative Agreements under the </w:t>
      </w:r>
      <w:r>
        <w:rPr>
          <w:rFonts w:ascii="Times New Roman" w:cs="Times New Roman" w:eastAsia="Times New Roman" w:hAnsi="Times New Roman"/>
          <w:sz w:val="22"/>
          <w:szCs w:val="22"/>
          <w:i w:val="1"/>
          <w:iCs w:val="1"/>
          <w:color w:val="auto"/>
        </w:rPr>
        <w:t>Conservation Forests and Lands Act 1987</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p>
    <w:p>
      <w:pPr>
        <w:spacing w:after="0" w:line="133"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Wildlife Management Cooperative Areas under the </w:t>
      </w:r>
      <w:r>
        <w:rPr>
          <w:rFonts w:ascii="Times New Roman" w:cs="Times New Roman" w:eastAsia="Times New Roman" w:hAnsi="Times New Roman"/>
          <w:sz w:val="22"/>
          <w:szCs w:val="22"/>
          <w:i w:val="1"/>
          <w:iCs w:val="1"/>
          <w:color w:val="auto"/>
        </w:rPr>
        <w:t>Wildlife Act 1975</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p>
    <w:p>
      <w:pPr>
        <w:spacing w:after="0" w:line="13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critical habitat provisions of the </w:t>
      </w:r>
      <w:r>
        <w:rPr>
          <w:rFonts w:ascii="Times New Roman" w:cs="Times New Roman" w:eastAsia="Times New Roman" w:hAnsi="Times New Roman"/>
          <w:sz w:val="22"/>
          <w:szCs w:val="22"/>
          <w:i w:val="1"/>
          <w:iCs w:val="1"/>
          <w:color w:val="auto"/>
        </w:rPr>
        <w:t>Flora and Fauna Guarantee Act 1988</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r>
        <w:rPr>
          <w:rFonts w:ascii="Times New Roman" w:cs="Times New Roman" w:eastAsia="Times New Roman" w:hAnsi="Times New Roman"/>
          <w:sz w:val="22"/>
          <w:szCs w:val="22"/>
          <w:color w:val="auto"/>
        </w:rPr>
        <w:t xml:space="preserve"> and</w:t>
      </w:r>
    </w:p>
    <w:p>
      <w:pPr>
        <w:spacing w:after="0" w:line="13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 xml:space="preserve">provisions of the </w:t>
      </w:r>
      <w:r>
        <w:rPr>
          <w:rFonts w:ascii="Times New Roman" w:cs="Times New Roman" w:eastAsia="Times New Roman" w:hAnsi="Times New Roman"/>
          <w:sz w:val="22"/>
          <w:szCs w:val="22"/>
          <w:i w:val="1"/>
          <w:iCs w:val="1"/>
          <w:color w:val="auto"/>
        </w:rPr>
        <w:t>Planning and Environment Act 1987</w:t>
      </w:r>
      <w:r>
        <w:rPr>
          <w:rFonts w:ascii="Times New Roman" w:cs="Times New Roman" w:eastAsia="Times New Roman" w:hAnsi="Times New Roman"/>
          <w:sz w:val="22"/>
          <w:szCs w:val="22"/>
          <w:color w:val="auto"/>
        </w:rPr>
        <w:t xml:space="preserve"> (Vic)</w:t>
      </w:r>
      <w:r>
        <w:rPr>
          <w:rFonts w:ascii="Times New Roman" w:cs="Times New Roman" w:eastAsia="Times New Roman" w:hAnsi="Times New Roman"/>
          <w:sz w:val="22"/>
          <w:szCs w:val="22"/>
          <w:i w:val="1"/>
          <w:iCs w:val="1"/>
          <w:color w:val="auto"/>
        </w:rPr>
        <w:t>.</w:t>
      </w:r>
    </w:p>
    <w:p>
      <w:pPr>
        <w:spacing w:after="0" w:line="280" w:lineRule="exact"/>
        <w:rPr>
          <w:sz w:val="20"/>
          <w:szCs w:val="20"/>
          <w:color w:val="auto"/>
        </w:rPr>
      </w:pPr>
    </w:p>
    <w:p>
      <w:pPr>
        <w:jc w:val="both"/>
        <w:ind w:right="20"/>
        <w:spacing w:after="0" w:line="264" w:lineRule="auto"/>
        <w:rPr>
          <w:sz w:val="20"/>
          <w:szCs w:val="20"/>
          <w:color w:val="auto"/>
        </w:rPr>
      </w:pPr>
      <w:r>
        <w:rPr>
          <w:rFonts w:ascii="Times New Roman" w:cs="Times New Roman" w:eastAsia="Times New Roman" w:hAnsi="Times New Roman"/>
          <w:sz w:val="22"/>
          <w:szCs w:val="22"/>
          <w:color w:val="auto"/>
        </w:rPr>
        <w:t>Private Land protected by conservation covenants and Land Management Cooperative Agreements in the Central Highlands RFA Region have been included in the CAR Reserve System as at 2019.</w:t>
      </w:r>
    </w:p>
    <w:p>
      <w:pPr>
        <w:spacing w:after="0" w:line="226" w:lineRule="exact"/>
        <w:rPr>
          <w:sz w:val="20"/>
          <w:szCs w:val="20"/>
          <w:color w:val="auto"/>
        </w:rPr>
      </w:pPr>
    </w:p>
    <w:p>
      <w:pPr>
        <w:jc w:val="both"/>
        <w:ind w:right="20"/>
        <w:spacing w:after="0" w:line="270" w:lineRule="auto"/>
        <w:rPr>
          <w:sz w:val="20"/>
          <w:szCs w:val="20"/>
          <w:color w:val="auto"/>
        </w:rPr>
      </w:pPr>
      <w:r>
        <w:rPr>
          <w:rFonts w:ascii="Times New Roman" w:cs="Times New Roman" w:eastAsia="Times New Roman" w:hAnsi="Times New Roman"/>
          <w:sz w:val="22"/>
          <w:szCs w:val="22"/>
          <w:color w:val="auto"/>
        </w:rPr>
        <w:t>Endangered, vulnerable and rare EVCs within the Central Highlands were assessed within a Statewide context in 1998 to identify the importance of the region for their conservation. The priorities for protection of EVCs occurring in the Central Highlands RFA Region as at 1998 is shown in Table 3.</w:t>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21"/>
          <w:szCs w:val="21"/>
          <w:color w:val="auto"/>
        </w:rPr>
        <w:t>The distribution of these EVCs, outside of the CAR Reserve System, is predominantly on Private Land.</w:t>
      </w: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Table 3 Priorities for the CAR Reserve System as at 1998.</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158115</wp:posOffset>
                </wp:positionV>
                <wp:extent cx="567690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6769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2.45pt" to="447pt,12.4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4445</wp:posOffset>
                </wp:positionH>
                <wp:positionV relativeFrom="paragraph">
                  <wp:posOffset>153035</wp:posOffset>
                </wp:positionV>
                <wp:extent cx="0" cy="97409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74090"/>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2.05pt" to="0.35pt,88.75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5671820</wp:posOffset>
                </wp:positionH>
                <wp:positionV relativeFrom="paragraph">
                  <wp:posOffset>153035</wp:posOffset>
                </wp:positionV>
                <wp:extent cx="0" cy="97409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74090"/>
                        </a:xfrm>
                        <a:prstGeom prst="line">
                          <a:avLst/>
                        </a:prstGeom>
                        <a:solidFill>
                          <a:srgbClr val="FFFFFF"/>
                        </a:solidFill>
                        <a:ln w="9143">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6.6pt,12.05pt" to="446.6pt,88.75pt" o:allowincell="f" strokecolor="#000000" strokeweight="0.7199pt"/>
            </w:pict>
          </mc:Fallback>
        </mc:AlternateContent>
      </w:r>
    </w:p>
    <w:p>
      <w:pPr>
        <w:spacing w:after="0" w:line="234" w:lineRule="exact"/>
        <w:rPr>
          <w:sz w:val="20"/>
          <w:szCs w:val="20"/>
          <w:color w:val="auto"/>
        </w:rPr>
      </w:pPr>
    </w:p>
    <w:p>
      <w:pPr>
        <w:jc w:val="center"/>
        <w:ind w:right="100"/>
        <w:spacing w:after="0"/>
        <w:rPr>
          <w:sz w:val="20"/>
          <w:szCs w:val="20"/>
          <w:color w:val="auto"/>
        </w:rPr>
      </w:pPr>
      <w:r>
        <w:rPr>
          <w:rFonts w:ascii="Times New Roman" w:cs="Times New Roman" w:eastAsia="Times New Roman" w:hAnsi="Times New Roman"/>
          <w:sz w:val="22"/>
          <w:szCs w:val="22"/>
          <w:b w:val="1"/>
          <w:bCs w:val="1"/>
          <w:color w:val="auto"/>
        </w:rPr>
        <w:t>Priority for protection of Ecological Vegetation Classes (as at 1998)</w:t>
      </w:r>
    </w:p>
    <w:p>
      <w:pPr>
        <w:spacing w:after="0" w:line="222" w:lineRule="exact"/>
        <w:rPr>
          <w:sz w:val="20"/>
          <w:szCs w:val="20"/>
          <w:color w:val="auto"/>
        </w:rPr>
      </w:pPr>
    </w:p>
    <w:tbl>
      <w:tblPr>
        <w:tblLayout w:type="fixed"/>
        <w:tblInd w:w="0" w:type="dxa"/>
        <w:tblCellMar>
          <w:top w:w="0" w:type="dxa"/>
          <w:left w:w="0" w:type="dxa"/>
          <w:bottom w:w="0" w:type="dxa"/>
          <w:right w:w="0" w:type="dxa"/>
        </w:tblCellMar>
      </w:tblPr>
      <w:tr>
        <w:trPr>
          <w:trHeight w:val="264"/>
        </w:trPr>
        <w:tc>
          <w:tcPr>
            <w:tcW w:w="2980" w:type="dxa"/>
            <w:vAlign w:val="bottom"/>
            <w:tcBorders>
              <w:top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b w:val="1"/>
                <w:bCs w:val="1"/>
                <w:color w:val="auto"/>
              </w:rPr>
              <w:t>High Priority</w:t>
            </w:r>
          </w:p>
        </w:tc>
        <w:tc>
          <w:tcPr>
            <w:tcW w:w="2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b w:val="1"/>
                <w:bCs w:val="1"/>
                <w:color w:val="auto"/>
              </w:rPr>
              <w:t>Moderate Priority</w:t>
            </w:r>
          </w:p>
        </w:tc>
        <w:tc>
          <w:tcPr>
            <w:tcW w:w="3120" w:type="dxa"/>
            <w:vAlign w:val="bottom"/>
            <w:tcBorders>
              <w:top w:val="single" w:sz="8" w:color="auto"/>
            </w:tcBorders>
          </w:tcPr>
          <w:p>
            <w:pPr>
              <w:ind w:left="100"/>
              <w:spacing w:after="0"/>
              <w:rPr>
                <w:sz w:val="20"/>
                <w:szCs w:val="20"/>
                <w:color w:val="auto"/>
              </w:rPr>
            </w:pPr>
            <w:r>
              <w:rPr>
                <w:rFonts w:ascii="Times New Roman" w:cs="Times New Roman" w:eastAsia="Times New Roman" w:hAnsi="Times New Roman"/>
                <w:sz w:val="22"/>
                <w:szCs w:val="22"/>
                <w:b w:val="1"/>
                <w:bCs w:val="1"/>
                <w:color w:val="auto"/>
              </w:rPr>
              <w:t>Low Priority</w:t>
            </w:r>
          </w:p>
        </w:tc>
      </w:tr>
      <w:tr>
        <w:trPr>
          <w:trHeight w:val="242"/>
        </w:trPr>
        <w:tc>
          <w:tcPr>
            <w:tcW w:w="2980" w:type="dxa"/>
            <w:vAlign w:val="bottom"/>
            <w:tcBorders>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tcBorders>
          </w:tcPr>
          <w:p>
            <w:pPr>
              <w:spacing w:after="0"/>
              <w:rPr>
                <w:sz w:val="21"/>
                <w:szCs w:val="21"/>
                <w:color w:val="auto"/>
              </w:rPr>
            </w:pPr>
          </w:p>
        </w:tc>
      </w:tr>
      <w:tr>
        <w:trPr>
          <w:trHeight w:val="240"/>
        </w:trPr>
        <w:tc>
          <w:tcPr>
            <w:tcW w:w="2980" w:type="dxa"/>
            <w:vAlign w:val="bottom"/>
            <w:tcBorders>
              <w:right w:val="single" w:sz="8" w:color="auto"/>
            </w:tcBorders>
          </w:tcPr>
          <w:p>
            <w:pPr>
              <w:ind w:left="120"/>
              <w:spacing w:after="0" w:line="240" w:lineRule="exact"/>
              <w:rPr>
                <w:sz w:val="20"/>
                <w:szCs w:val="20"/>
                <w:color w:val="auto"/>
              </w:rPr>
            </w:pPr>
            <w:r>
              <w:rPr>
                <w:rFonts w:ascii="Times New Roman" w:cs="Times New Roman" w:eastAsia="Times New Roman" w:hAnsi="Times New Roman"/>
                <w:sz w:val="22"/>
                <w:szCs w:val="22"/>
                <w:color w:val="auto"/>
              </w:rPr>
              <w:t>Valley Grassy Forest</w:t>
            </w:r>
          </w:p>
        </w:tc>
        <w:tc>
          <w:tcPr>
            <w:tcW w:w="28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Cool Temperate Rainforest</w:t>
            </w:r>
          </w:p>
        </w:tc>
        <w:tc>
          <w:tcPr>
            <w:tcW w:w="3120" w:type="dxa"/>
            <w:vAlign w:val="bottom"/>
          </w:tcPr>
          <w:p>
            <w:pPr>
              <w:ind w:left="100"/>
              <w:spacing w:after="0" w:line="240" w:lineRule="exact"/>
              <w:rPr>
                <w:sz w:val="20"/>
                <w:szCs w:val="20"/>
                <w:color w:val="auto"/>
              </w:rPr>
            </w:pPr>
            <w:r>
              <w:rPr>
                <w:rFonts w:ascii="Times New Roman" w:cs="Times New Roman" w:eastAsia="Times New Roman" w:hAnsi="Times New Roman"/>
                <w:sz w:val="22"/>
                <w:szCs w:val="22"/>
                <w:color w:val="auto"/>
              </w:rPr>
              <w:t>Riverine Forest</w:t>
            </w:r>
          </w:p>
        </w:tc>
      </w:tr>
      <w:tr>
        <w:trPr>
          <w:trHeight w:val="247"/>
        </w:trPr>
        <w:tc>
          <w:tcPr>
            <w:tcW w:w="2980" w:type="dxa"/>
            <w:vAlign w:val="bottom"/>
            <w:tcBorders>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tcBorders>
          </w:tcPr>
          <w:p>
            <w:pPr>
              <w:spacing w:after="0"/>
              <w:rPr>
                <w:sz w:val="21"/>
                <w:szCs w:val="21"/>
                <w:color w:val="auto"/>
              </w:rPr>
            </w:pPr>
          </w:p>
        </w:tc>
      </w:tr>
    </w:tbl>
    <w:p>
      <w:pPr>
        <w:spacing w:after="0" w:line="45"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64</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40"/>
          </w:cols>
          <w:pgMar w:left="1440" w:top="1440" w:right="1426" w:bottom="147" w:gutter="0" w:footer="0" w:header="0"/>
        </w:sectPr>
      </w:pPr>
    </w:p>
    <w:bookmarkStart w:id="64" w:name="page65"/>
    <w:bookmarkEnd w:id="64"/>
    <w:tbl>
      <w:tblPr>
        <w:tblLayout w:type="fixed"/>
        <w:tblInd w:w="10" w:type="dxa"/>
        <w:tblCellMar>
          <w:top w:w="0" w:type="dxa"/>
          <w:left w:w="0" w:type="dxa"/>
          <w:bottom w:w="0" w:type="dxa"/>
          <w:right w:w="0" w:type="dxa"/>
        </w:tblCellMar>
      </w:tblPr>
      <w:tr>
        <w:trPr>
          <w:trHeight w:val="260"/>
        </w:trPr>
        <w:tc>
          <w:tcPr>
            <w:tcW w:w="2980" w:type="dxa"/>
            <w:vAlign w:val="bottom"/>
            <w:tcBorders>
              <w:top w:val="single" w:sz="8" w:color="auto"/>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Plains Grassy Woodland</w:t>
            </w:r>
          </w:p>
        </w:tc>
        <w:tc>
          <w:tcPr>
            <w:tcW w:w="284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Box Ironbark Forest</w:t>
            </w:r>
          </w:p>
        </w:tc>
        <w:tc>
          <w:tcPr>
            <w:tcW w:w="3120" w:type="dxa"/>
            <w:vAlign w:val="bottom"/>
            <w:tcBorders>
              <w:top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Granitic Hills Woodland</w:t>
            </w:r>
          </w:p>
        </w:tc>
      </w:tr>
      <w:tr>
        <w:trPr>
          <w:trHeight w:val="247"/>
        </w:trPr>
        <w:tc>
          <w:tcPr>
            <w:tcW w:w="2980" w:type="dxa"/>
            <w:vAlign w:val="bottom"/>
            <w:tcBorders>
              <w:left w:val="single" w:sz="8" w:color="auto"/>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r>
      <w:tr>
        <w:trPr>
          <w:trHeight w:val="240"/>
        </w:trPr>
        <w:tc>
          <w:tcPr>
            <w:tcW w:w="2980" w:type="dxa"/>
            <w:vAlign w:val="bottom"/>
            <w:tcBorders>
              <w:left w:val="single" w:sz="8" w:color="auto"/>
              <w:right w:val="single" w:sz="8" w:color="auto"/>
            </w:tcBorders>
          </w:tcPr>
          <w:p>
            <w:pPr>
              <w:ind w:left="120"/>
              <w:spacing w:after="0" w:line="240" w:lineRule="exact"/>
              <w:rPr>
                <w:sz w:val="20"/>
                <w:szCs w:val="20"/>
                <w:color w:val="auto"/>
              </w:rPr>
            </w:pPr>
            <w:r>
              <w:rPr>
                <w:rFonts w:ascii="Times New Roman" w:cs="Times New Roman" w:eastAsia="Times New Roman" w:hAnsi="Times New Roman"/>
                <w:sz w:val="22"/>
                <w:szCs w:val="22"/>
                <w:color w:val="auto"/>
              </w:rPr>
              <w:t>Grassland</w:t>
            </w:r>
          </w:p>
        </w:tc>
        <w:tc>
          <w:tcPr>
            <w:tcW w:w="28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Valley Heathy Forest</w:t>
            </w:r>
          </w:p>
        </w:tc>
        <w:tc>
          <w:tcPr>
            <w:tcW w:w="31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Damp Sands Herb-rich</w:t>
            </w:r>
          </w:p>
        </w:tc>
      </w:tr>
      <w:tr>
        <w:trPr>
          <w:trHeight w:val="290"/>
        </w:trPr>
        <w:tc>
          <w:tcPr>
            <w:tcW w:w="29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Woodland</w:t>
            </w:r>
          </w:p>
        </w:tc>
      </w:tr>
      <w:tr>
        <w:trPr>
          <w:trHeight w:val="247"/>
        </w:trPr>
        <w:tc>
          <w:tcPr>
            <w:tcW w:w="2980" w:type="dxa"/>
            <w:vAlign w:val="bottom"/>
            <w:tcBorders>
              <w:left w:val="single" w:sz="8" w:color="auto"/>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r>
      <w:tr>
        <w:trPr>
          <w:trHeight w:val="240"/>
        </w:trPr>
        <w:tc>
          <w:tcPr>
            <w:tcW w:w="2980" w:type="dxa"/>
            <w:vAlign w:val="bottom"/>
            <w:tcBorders>
              <w:left w:val="single" w:sz="8" w:color="auto"/>
              <w:right w:val="single" w:sz="8" w:color="auto"/>
            </w:tcBorders>
          </w:tcPr>
          <w:p>
            <w:pPr>
              <w:ind w:left="120"/>
              <w:spacing w:after="0" w:line="240" w:lineRule="exact"/>
              <w:rPr>
                <w:sz w:val="20"/>
                <w:szCs w:val="20"/>
                <w:color w:val="auto"/>
              </w:rPr>
            </w:pPr>
            <w:r>
              <w:rPr>
                <w:rFonts w:ascii="Times New Roman" w:cs="Times New Roman" w:eastAsia="Times New Roman" w:hAnsi="Times New Roman"/>
                <w:sz w:val="22"/>
                <w:szCs w:val="22"/>
                <w:color w:val="auto"/>
              </w:rPr>
              <w:t>Grey Clay Drainage Line</w:t>
            </w:r>
          </w:p>
        </w:tc>
        <w:tc>
          <w:tcPr>
            <w:tcW w:w="28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Grassy Forest</w:t>
            </w:r>
          </w:p>
        </w:tc>
        <w:tc>
          <w:tcPr>
            <w:tcW w:w="31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Clay Heathland</w:t>
            </w:r>
          </w:p>
        </w:tc>
      </w:tr>
      <w:tr>
        <w:trPr>
          <w:trHeight w:val="290"/>
        </w:trPr>
        <w:tc>
          <w:tcPr>
            <w:tcW w:w="2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Complex</w:t>
            </w:r>
          </w:p>
        </w:tc>
        <w:tc>
          <w:tcPr>
            <w:tcW w:w="284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r>
      <w:tr>
        <w:trPr>
          <w:trHeight w:val="247"/>
        </w:trPr>
        <w:tc>
          <w:tcPr>
            <w:tcW w:w="2980" w:type="dxa"/>
            <w:vAlign w:val="bottom"/>
            <w:tcBorders>
              <w:left w:val="single" w:sz="8" w:color="auto"/>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r>
      <w:tr>
        <w:trPr>
          <w:trHeight w:val="240"/>
        </w:trPr>
        <w:tc>
          <w:tcPr>
            <w:tcW w:w="2980" w:type="dxa"/>
            <w:vAlign w:val="bottom"/>
            <w:tcBorders>
              <w:left w:val="single" w:sz="8" w:color="auto"/>
              <w:right w:val="single" w:sz="8" w:color="auto"/>
            </w:tcBorders>
          </w:tcPr>
          <w:p>
            <w:pPr>
              <w:ind w:left="120"/>
              <w:spacing w:after="0" w:line="240" w:lineRule="exact"/>
              <w:rPr>
                <w:sz w:val="20"/>
                <w:szCs w:val="20"/>
                <w:color w:val="auto"/>
              </w:rPr>
            </w:pPr>
            <w:r>
              <w:rPr>
                <w:rFonts w:ascii="Times New Roman" w:cs="Times New Roman" w:eastAsia="Times New Roman" w:hAnsi="Times New Roman"/>
                <w:sz w:val="22"/>
                <w:szCs w:val="22"/>
                <w:color w:val="auto"/>
              </w:rPr>
              <w:t>Plains Grassy Wetland</w:t>
            </w:r>
          </w:p>
        </w:tc>
        <w:tc>
          <w:tcPr>
            <w:tcW w:w="28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Box Woodland</w:t>
            </w:r>
          </w:p>
        </w:tc>
        <w:tc>
          <w:tcPr>
            <w:tcW w:w="31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Riparian Scrub Complex</w:t>
            </w:r>
          </w:p>
        </w:tc>
      </w:tr>
      <w:tr>
        <w:trPr>
          <w:trHeight w:val="247"/>
        </w:trPr>
        <w:tc>
          <w:tcPr>
            <w:tcW w:w="2980" w:type="dxa"/>
            <w:vAlign w:val="bottom"/>
            <w:tcBorders>
              <w:left w:val="single" w:sz="8" w:color="auto"/>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r>
      <w:tr>
        <w:trPr>
          <w:trHeight w:val="240"/>
        </w:trPr>
        <w:tc>
          <w:tcPr>
            <w:tcW w:w="2980" w:type="dxa"/>
            <w:vAlign w:val="bottom"/>
            <w:tcBorders>
              <w:left w:val="single" w:sz="8" w:color="auto"/>
              <w:right w:val="single" w:sz="8" w:color="auto"/>
            </w:tcBorders>
          </w:tcPr>
          <w:p>
            <w:pPr>
              <w:ind w:left="120"/>
              <w:spacing w:after="0" w:line="240" w:lineRule="exact"/>
              <w:rPr>
                <w:sz w:val="20"/>
                <w:szCs w:val="20"/>
                <w:color w:val="auto"/>
              </w:rPr>
            </w:pPr>
            <w:r>
              <w:rPr>
                <w:rFonts w:ascii="Times New Roman" w:cs="Times New Roman" w:eastAsia="Times New Roman" w:hAnsi="Times New Roman"/>
                <w:sz w:val="22"/>
                <w:szCs w:val="22"/>
                <w:color w:val="auto"/>
              </w:rPr>
              <w:t>Swamp Forest (part of</w:t>
            </w:r>
          </w:p>
        </w:tc>
        <w:tc>
          <w:tcPr>
            <w:tcW w:w="28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Floodplain Riparian</w:t>
            </w:r>
          </w:p>
        </w:tc>
        <w:tc>
          <w:tcPr>
            <w:tcW w:w="31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Rocky Outcrop Scrub</w:t>
            </w:r>
          </w:p>
        </w:tc>
      </w:tr>
      <w:tr>
        <w:trPr>
          <w:trHeight w:val="290"/>
        </w:trPr>
        <w:tc>
          <w:tcPr>
            <w:tcW w:w="2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Swampy Riparian Complex in</w:t>
            </w:r>
          </w:p>
        </w:tc>
        <w:tc>
          <w:tcPr>
            <w:tcW w:w="2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Woodland</w:t>
            </w:r>
          </w:p>
        </w:tc>
        <w:tc>
          <w:tcPr>
            <w:tcW w:w="3120" w:type="dxa"/>
            <w:vAlign w:val="bottom"/>
            <w:tcBorders>
              <w:right w:val="single" w:sz="8" w:color="auto"/>
            </w:tcBorders>
          </w:tcPr>
          <w:p>
            <w:pPr>
              <w:spacing w:after="0"/>
              <w:rPr>
                <w:sz w:val="24"/>
                <w:szCs w:val="24"/>
                <w:color w:val="auto"/>
              </w:rPr>
            </w:pPr>
          </w:p>
        </w:tc>
      </w:tr>
      <w:tr>
        <w:trPr>
          <w:trHeight w:val="291"/>
        </w:trPr>
        <w:tc>
          <w:tcPr>
            <w:tcW w:w="2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the Central Highlands CRA</w:t>
            </w:r>
          </w:p>
        </w:tc>
        <w:tc>
          <w:tcPr>
            <w:tcW w:w="284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r>
      <w:tr>
        <w:trPr>
          <w:trHeight w:val="293"/>
        </w:trPr>
        <w:tc>
          <w:tcPr>
            <w:tcW w:w="29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2"/>
                <w:szCs w:val="22"/>
                <w:color w:val="auto"/>
              </w:rPr>
              <w:t>Report)</w:t>
            </w:r>
          </w:p>
        </w:tc>
        <w:tc>
          <w:tcPr>
            <w:tcW w:w="2840" w:type="dxa"/>
            <w:vAlign w:val="bottom"/>
            <w:tcBorders>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r>
      <w:tr>
        <w:trPr>
          <w:trHeight w:val="244"/>
        </w:trPr>
        <w:tc>
          <w:tcPr>
            <w:tcW w:w="2980" w:type="dxa"/>
            <w:vAlign w:val="bottom"/>
            <w:tcBorders>
              <w:left w:val="single" w:sz="8" w:color="auto"/>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r>
      <w:tr>
        <w:trPr>
          <w:trHeight w:val="240"/>
        </w:trPr>
        <w:tc>
          <w:tcPr>
            <w:tcW w:w="2980" w:type="dxa"/>
            <w:vAlign w:val="bottom"/>
            <w:tcBorders>
              <w:left w:val="single" w:sz="8" w:color="auto"/>
              <w:right w:val="single" w:sz="8" w:color="auto"/>
            </w:tcBorders>
          </w:tcPr>
          <w:p>
            <w:pPr>
              <w:spacing w:after="0"/>
              <w:rPr>
                <w:sz w:val="20"/>
                <w:szCs w:val="20"/>
                <w:color w:val="auto"/>
              </w:rPr>
            </w:pPr>
          </w:p>
        </w:tc>
        <w:tc>
          <w:tcPr>
            <w:tcW w:w="28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Swamp Scrub</w:t>
            </w:r>
          </w:p>
        </w:tc>
        <w:tc>
          <w:tcPr>
            <w:tcW w:w="31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Rocky Outcrop Shrubland</w:t>
            </w:r>
          </w:p>
        </w:tc>
      </w:tr>
      <w:tr>
        <w:trPr>
          <w:trHeight w:val="247"/>
        </w:trPr>
        <w:tc>
          <w:tcPr>
            <w:tcW w:w="2980" w:type="dxa"/>
            <w:vAlign w:val="bottom"/>
            <w:tcBorders>
              <w:left w:val="single" w:sz="8" w:color="auto"/>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r>
      <w:tr>
        <w:trPr>
          <w:trHeight w:val="240"/>
        </w:trPr>
        <w:tc>
          <w:tcPr>
            <w:tcW w:w="2980" w:type="dxa"/>
            <w:vAlign w:val="bottom"/>
            <w:tcBorders>
              <w:left w:val="single" w:sz="8" w:color="auto"/>
              <w:right w:val="single" w:sz="8" w:color="auto"/>
            </w:tcBorders>
          </w:tcPr>
          <w:p>
            <w:pPr>
              <w:spacing w:after="0"/>
              <w:rPr>
                <w:sz w:val="20"/>
                <w:szCs w:val="20"/>
                <w:color w:val="auto"/>
              </w:rPr>
            </w:pPr>
          </w:p>
        </w:tc>
        <w:tc>
          <w:tcPr>
            <w:tcW w:w="284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Gully Woodland (part of</w:t>
            </w:r>
          </w:p>
        </w:tc>
        <w:tc>
          <w:tcPr>
            <w:tcW w:w="3120" w:type="dxa"/>
            <w:vAlign w:val="bottom"/>
            <w:tcBorders>
              <w:right w:val="single" w:sz="8" w:color="auto"/>
            </w:tcBorders>
          </w:tcPr>
          <w:p>
            <w:pPr>
              <w:ind w:left="100"/>
              <w:spacing w:after="0" w:line="240" w:lineRule="exact"/>
              <w:rPr>
                <w:sz w:val="20"/>
                <w:szCs w:val="20"/>
                <w:color w:val="auto"/>
              </w:rPr>
            </w:pPr>
            <w:r>
              <w:rPr>
                <w:rFonts w:ascii="Times New Roman" w:cs="Times New Roman" w:eastAsia="Times New Roman" w:hAnsi="Times New Roman"/>
                <w:sz w:val="22"/>
                <w:szCs w:val="22"/>
                <w:color w:val="auto"/>
              </w:rPr>
              <w:t>Riverine Escarpment Scrub</w:t>
            </w:r>
          </w:p>
        </w:tc>
      </w:tr>
      <w:tr>
        <w:trPr>
          <w:trHeight w:val="290"/>
        </w:trPr>
        <w:tc>
          <w:tcPr>
            <w:tcW w:w="29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Swampy Riparian Complex</w:t>
            </w:r>
          </w:p>
        </w:tc>
        <w:tc>
          <w:tcPr>
            <w:tcW w:w="3120" w:type="dxa"/>
            <w:vAlign w:val="bottom"/>
            <w:tcBorders>
              <w:right w:val="single" w:sz="8" w:color="auto"/>
            </w:tcBorders>
          </w:tcPr>
          <w:p>
            <w:pPr>
              <w:spacing w:after="0"/>
              <w:rPr>
                <w:sz w:val="24"/>
                <w:szCs w:val="24"/>
                <w:color w:val="auto"/>
              </w:rPr>
            </w:pPr>
          </w:p>
        </w:tc>
      </w:tr>
      <w:tr>
        <w:trPr>
          <w:trHeight w:val="293"/>
        </w:trPr>
        <w:tc>
          <w:tcPr>
            <w:tcW w:w="29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 the Central Highlands</w:t>
            </w:r>
          </w:p>
        </w:tc>
        <w:tc>
          <w:tcPr>
            <w:tcW w:w="3120" w:type="dxa"/>
            <w:vAlign w:val="bottom"/>
            <w:tcBorders>
              <w:right w:val="single" w:sz="8" w:color="auto"/>
            </w:tcBorders>
          </w:tcPr>
          <w:p>
            <w:pPr>
              <w:spacing w:after="0"/>
              <w:rPr>
                <w:sz w:val="24"/>
                <w:szCs w:val="24"/>
                <w:color w:val="auto"/>
              </w:rPr>
            </w:pPr>
          </w:p>
        </w:tc>
      </w:tr>
      <w:tr>
        <w:trPr>
          <w:trHeight w:val="290"/>
        </w:trPr>
        <w:tc>
          <w:tcPr>
            <w:tcW w:w="29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CRA Report)</w:t>
            </w:r>
          </w:p>
        </w:tc>
        <w:tc>
          <w:tcPr>
            <w:tcW w:w="3120" w:type="dxa"/>
            <w:vAlign w:val="bottom"/>
            <w:tcBorders>
              <w:right w:val="single" w:sz="8" w:color="auto"/>
            </w:tcBorders>
          </w:tcPr>
          <w:p>
            <w:pPr>
              <w:spacing w:after="0"/>
              <w:rPr>
                <w:sz w:val="24"/>
                <w:szCs w:val="24"/>
                <w:color w:val="auto"/>
              </w:rPr>
            </w:pPr>
          </w:p>
        </w:tc>
      </w:tr>
      <w:tr>
        <w:trPr>
          <w:trHeight w:val="244"/>
        </w:trPr>
        <w:tc>
          <w:tcPr>
            <w:tcW w:w="2980" w:type="dxa"/>
            <w:vAlign w:val="bottom"/>
            <w:tcBorders>
              <w:left w:val="single" w:sz="8" w:color="auto"/>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r>
      <w:tr>
        <w:trPr>
          <w:trHeight w:val="242"/>
        </w:trPr>
        <w:tc>
          <w:tcPr>
            <w:tcW w:w="2980" w:type="dxa"/>
            <w:vAlign w:val="bottom"/>
            <w:tcBorders>
              <w:left w:val="single" w:sz="8" w:color="auto"/>
              <w:right w:val="single" w:sz="8" w:color="auto"/>
            </w:tcBorders>
          </w:tcPr>
          <w:p>
            <w:pPr>
              <w:spacing w:after="0"/>
              <w:rPr>
                <w:sz w:val="21"/>
                <w:szCs w:val="21"/>
                <w:color w:val="auto"/>
              </w:rPr>
            </w:pPr>
          </w:p>
        </w:tc>
        <w:tc>
          <w:tcPr>
            <w:tcW w:w="284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Swampy Woodland (part of</w:t>
            </w:r>
          </w:p>
        </w:tc>
        <w:tc>
          <w:tcPr>
            <w:tcW w:w="3120" w:type="dxa"/>
            <w:vAlign w:val="bottom"/>
            <w:tcBorders>
              <w:right w:val="single" w:sz="8" w:color="auto"/>
            </w:tcBorders>
          </w:tcPr>
          <w:p>
            <w:pPr>
              <w:ind w:left="100"/>
              <w:spacing w:after="0" w:line="242" w:lineRule="exact"/>
              <w:rPr>
                <w:sz w:val="20"/>
                <w:szCs w:val="20"/>
                <w:color w:val="auto"/>
              </w:rPr>
            </w:pPr>
            <w:r>
              <w:rPr>
                <w:rFonts w:ascii="Times New Roman" w:cs="Times New Roman" w:eastAsia="Times New Roman" w:hAnsi="Times New Roman"/>
                <w:sz w:val="22"/>
                <w:szCs w:val="22"/>
                <w:color w:val="auto"/>
              </w:rPr>
              <w:t>Swamp Formation</w:t>
            </w:r>
          </w:p>
        </w:tc>
      </w:tr>
      <w:tr>
        <w:trPr>
          <w:trHeight w:val="291"/>
        </w:trPr>
        <w:tc>
          <w:tcPr>
            <w:tcW w:w="29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Swampy Riparian Complex</w:t>
            </w:r>
          </w:p>
        </w:tc>
        <w:tc>
          <w:tcPr>
            <w:tcW w:w="3120" w:type="dxa"/>
            <w:vAlign w:val="bottom"/>
            <w:tcBorders>
              <w:right w:val="single" w:sz="8" w:color="auto"/>
            </w:tcBorders>
          </w:tcPr>
          <w:p>
            <w:pPr>
              <w:spacing w:after="0"/>
              <w:rPr>
                <w:sz w:val="24"/>
                <w:szCs w:val="24"/>
                <w:color w:val="auto"/>
              </w:rPr>
            </w:pPr>
          </w:p>
        </w:tc>
      </w:tr>
      <w:tr>
        <w:trPr>
          <w:trHeight w:val="290"/>
        </w:trPr>
        <w:tc>
          <w:tcPr>
            <w:tcW w:w="29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in the Central Highlands</w:t>
            </w:r>
          </w:p>
        </w:tc>
        <w:tc>
          <w:tcPr>
            <w:tcW w:w="3120" w:type="dxa"/>
            <w:vAlign w:val="bottom"/>
            <w:tcBorders>
              <w:right w:val="single" w:sz="8" w:color="auto"/>
            </w:tcBorders>
          </w:tcPr>
          <w:p>
            <w:pPr>
              <w:spacing w:after="0"/>
              <w:rPr>
                <w:sz w:val="24"/>
                <w:szCs w:val="24"/>
                <w:color w:val="auto"/>
              </w:rPr>
            </w:pPr>
          </w:p>
        </w:tc>
      </w:tr>
      <w:tr>
        <w:trPr>
          <w:trHeight w:val="290"/>
        </w:trPr>
        <w:tc>
          <w:tcPr>
            <w:tcW w:w="2980" w:type="dxa"/>
            <w:vAlign w:val="bottom"/>
            <w:tcBorders>
              <w:left w:val="single" w:sz="8" w:color="auto"/>
              <w:right w:val="single" w:sz="8" w:color="auto"/>
            </w:tcBorders>
          </w:tcPr>
          <w:p>
            <w:pPr>
              <w:spacing w:after="0"/>
              <w:rPr>
                <w:sz w:val="24"/>
                <w:szCs w:val="24"/>
                <w:color w:val="auto"/>
              </w:rPr>
            </w:pPr>
          </w:p>
        </w:tc>
        <w:tc>
          <w:tcPr>
            <w:tcW w:w="2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2"/>
                <w:szCs w:val="22"/>
                <w:color w:val="auto"/>
              </w:rPr>
              <w:t>CRA Report)</w:t>
            </w:r>
          </w:p>
        </w:tc>
        <w:tc>
          <w:tcPr>
            <w:tcW w:w="3120" w:type="dxa"/>
            <w:vAlign w:val="bottom"/>
            <w:tcBorders>
              <w:right w:val="single" w:sz="8" w:color="auto"/>
            </w:tcBorders>
          </w:tcPr>
          <w:p>
            <w:pPr>
              <w:spacing w:after="0"/>
              <w:rPr>
                <w:sz w:val="24"/>
                <w:szCs w:val="24"/>
                <w:color w:val="auto"/>
              </w:rPr>
            </w:pPr>
          </w:p>
        </w:tc>
      </w:tr>
      <w:tr>
        <w:trPr>
          <w:trHeight w:val="247"/>
        </w:trPr>
        <w:tc>
          <w:tcPr>
            <w:tcW w:w="2980" w:type="dxa"/>
            <w:vAlign w:val="bottom"/>
            <w:tcBorders>
              <w:left w:val="single" w:sz="8" w:color="auto"/>
              <w:bottom w:val="single" w:sz="8" w:color="auto"/>
              <w:right w:val="single" w:sz="8" w:color="auto"/>
            </w:tcBorders>
          </w:tcPr>
          <w:p>
            <w:pPr>
              <w:spacing w:after="0"/>
              <w:rPr>
                <w:sz w:val="21"/>
                <w:szCs w:val="21"/>
                <w:color w:val="auto"/>
              </w:rPr>
            </w:pPr>
          </w:p>
        </w:tc>
        <w:tc>
          <w:tcPr>
            <w:tcW w:w="2840" w:type="dxa"/>
            <w:vAlign w:val="bottom"/>
            <w:tcBorders>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r>
    </w:tbl>
    <w:p>
      <w:pPr>
        <w:spacing w:after="0" w:line="258" w:lineRule="exact"/>
        <w:rPr>
          <w:sz w:val="20"/>
          <w:szCs w:val="20"/>
          <w:color w:val="auto"/>
        </w:rPr>
      </w:pPr>
    </w:p>
    <w:p>
      <w:pPr>
        <w:jc w:val="both"/>
        <w:spacing w:after="0" w:line="271" w:lineRule="auto"/>
        <w:rPr>
          <w:sz w:val="20"/>
          <w:szCs w:val="20"/>
          <w:color w:val="auto"/>
        </w:rPr>
      </w:pPr>
      <w:r>
        <w:rPr>
          <w:rFonts w:ascii="Times New Roman" w:cs="Times New Roman" w:eastAsia="Times New Roman" w:hAnsi="Times New Roman"/>
          <w:sz w:val="22"/>
          <w:szCs w:val="22"/>
          <w:color w:val="auto"/>
        </w:rPr>
        <w:t>Priority EVCs for inclusion in the CAR Reserve System as at 2019 have been identified in Table 1a and 1b based on their conservation status. Priorities for permanent protection on Private Land should be guided by Victoria’s Biodiversity Strategy (Biodiversity 2037), Regional Catchment Strategies, cost-effective decision-support tools and relevant agencies’ strategic plans (e.g. Trust for Nature).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65</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40"/>
          </w:cols>
          <w:pgMar w:left="1440" w:top="1420" w:right="1426" w:bottom="147" w:gutter="0" w:footer="0" w:header="0"/>
        </w:sectPr>
      </w:pPr>
    </w:p>
    <w:bookmarkStart w:id="65" w:name="page66"/>
    <w:bookmarkEnd w:id="65"/>
    <w:p>
      <w:pPr>
        <w:ind w:left="7100"/>
        <w:spacing w:after="0"/>
        <w:rPr>
          <w:sz w:val="20"/>
          <w:szCs w:val="20"/>
          <w:color w:val="auto"/>
        </w:rPr>
      </w:pPr>
      <w:r>
        <w:rPr>
          <w:rFonts w:ascii="Times New Roman" w:cs="Times New Roman" w:eastAsia="Times New Roman" w:hAnsi="Times New Roman"/>
          <w:sz w:val="24"/>
          <w:szCs w:val="24"/>
          <w:b w:val="1"/>
          <w:bCs w:val="1"/>
          <w:color w:val="auto"/>
        </w:rPr>
        <w:t>ATTACHMENT 2</w:t>
      </w:r>
    </w:p>
    <w:p>
      <w:pPr>
        <w:spacing w:after="0" w:line="242"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LISTED SPECIES AND COMMUNITIES</w:t>
      </w:r>
    </w:p>
    <w:p>
      <w:pPr>
        <w:spacing w:after="0" w:line="243" w:lineRule="exact"/>
        <w:rPr>
          <w:sz w:val="20"/>
          <w:szCs w:val="20"/>
          <w:color w:val="auto"/>
        </w:rPr>
      </w:pPr>
    </w:p>
    <w:p>
      <w:pPr>
        <w:jc w:val="both"/>
        <w:ind w:right="20"/>
        <w:spacing w:after="0" w:line="273" w:lineRule="auto"/>
        <w:rPr>
          <w:sz w:val="20"/>
          <w:szCs w:val="20"/>
          <w:color w:val="auto"/>
        </w:rPr>
      </w:pPr>
      <w:r>
        <w:rPr>
          <w:rFonts w:ascii="Times New Roman" w:cs="Times New Roman" w:eastAsia="Times New Roman" w:hAnsi="Times New Roman"/>
          <w:sz w:val="22"/>
          <w:szCs w:val="22"/>
          <w:color w:val="auto"/>
        </w:rPr>
        <w:t>Both Parties recognise the range of mechanisms in place to conserve the habitat of Listed Species and Communities in the Central Highlands RFA Region. These include protection within the CAR Reserve System, protection of key habitats such as Rainforest and rare or threatened Ecological Vegetation Classes, and the development of Statutory Conservation Planning Documents for Listed Species and Communities.</w:t>
      </w:r>
    </w:p>
    <w:p>
      <w:pPr>
        <w:spacing w:after="0" w:line="217" w:lineRule="exact"/>
        <w:rPr>
          <w:sz w:val="20"/>
          <w:szCs w:val="20"/>
          <w:color w:val="auto"/>
        </w:rPr>
      </w:pPr>
    </w:p>
    <w:p>
      <w:pPr>
        <w:jc w:val="both"/>
        <w:ind w:right="20"/>
        <w:spacing w:after="0" w:line="272" w:lineRule="auto"/>
        <w:rPr>
          <w:sz w:val="20"/>
          <w:szCs w:val="20"/>
          <w:color w:val="auto"/>
        </w:rPr>
      </w:pPr>
      <w:r>
        <w:rPr>
          <w:rFonts w:ascii="Times New Roman" w:cs="Times New Roman" w:eastAsia="Times New Roman" w:hAnsi="Times New Roman"/>
          <w:sz w:val="22"/>
          <w:szCs w:val="22"/>
          <w:color w:val="auto"/>
        </w:rPr>
        <w:t>Priorities at the signing of the Central Highlands RFA for nomination and developing Action Statements and Recovery Plans for fauna, flora and potentially Threatening Processes, and the status of progress made as at December 2019, are outlined in Tables 1-4. Species which were identified as priorities in the East Gippsland RFA Region, and which also occurred within the Central Highlands RFA Region, were not identified in these tables.</w:t>
      </w:r>
    </w:p>
    <w:p>
      <w:pPr>
        <w:spacing w:after="0" w:line="21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Flora and Fauna Guarantee Act listing process</w:t>
      </w:r>
    </w:p>
    <w:p>
      <w:pPr>
        <w:spacing w:after="0" w:line="246" w:lineRule="exact"/>
        <w:rPr>
          <w:sz w:val="20"/>
          <w:szCs w:val="20"/>
          <w:color w:val="auto"/>
        </w:rPr>
      </w:pPr>
    </w:p>
    <w:p>
      <w:pPr>
        <w:jc w:val="both"/>
        <w:spacing w:after="0" w:line="274" w:lineRule="auto"/>
        <w:rPr>
          <w:sz w:val="20"/>
          <w:szCs w:val="20"/>
          <w:color w:val="auto"/>
        </w:rPr>
      </w:pPr>
      <w:r>
        <w:rPr>
          <w:rFonts w:ascii="Times New Roman" w:cs="Times New Roman" w:eastAsia="Times New Roman" w:hAnsi="Times New Roman"/>
          <w:sz w:val="22"/>
          <w:szCs w:val="22"/>
          <w:color w:val="auto"/>
        </w:rPr>
        <w:t>The process for listing species, communities and potentially Threatening Processes under the FFG Act begins with a public nomination. The nomination is assessed by the independent Victorian Scientific Advisory Committee (SAC) to determine its validity and eligibility. The SAC then publishes a preliminary recommendation for public comment. A final recommendation is prepared once the SAC has considered any public comments and is forwarded to the responsible Minister(s) for decision. Both the SAC and the Minister(s) must only have regard to nature conservation matters when considering and/or deciding on nominations for listing.</w:t>
      </w:r>
    </w:p>
    <w:p>
      <w:pPr>
        <w:spacing w:after="0" w:line="213" w:lineRule="exact"/>
        <w:rPr>
          <w:sz w:val="20"/>
          <w:szCs w:val="20"/>
          <w:color w:val="auto"/>
        </w:rPr>
      </w:pPr>
    </w:p>
    <w:p>
      <w:pPr>
        <w:jc w:val="both"/>
        <w:ind w:right="20"/>
        <w:spacing w:after="0" w:line="271" w:lineRule="auto"/>
        <w:rPr>
          <w:sz w:val="20"/>
          <w:szCs w:val="20"/>
          <w:color w:val="auto"/>
        </w:rPr>
      </w:pPr>
      <w:r>
        <w:rPr>
          <w:rFonts w:ascii="Times New Roman" w:cs="Times New Roman" w:eastAsia="Times New Roman" w:hAnsi="Times New Roman"/>
          <w:sz w:val="22"/>
          <w:szCs w:val="22"/>
          <w:color w:val="auto"/>
        </w:rPr>
        <w:t>Changes to the Threatened List or the Processes List established under the FFG Act occurs via an Order in Council. A nomination to change or revoke the listing of a currently listed item follows the same process.</w:t>
      </w:r>
    </w:p>
    <w:p>
      <w:pPr>
        <w:spacing w:after="0" w:line="216" w:lineRule="exact"/>
        <w:rPr>
          <w:sz w:val="20"/>
          <w:szCs w:val="20"/>
          <w:color w:val="auto"/>
        </w:rPr>
      </w:pPr>
    </w:p>
    <w:p>
      <w:pPr>
        <w:jc w:val="both"/>
        <w:ind w:right="20"/>
        <w:spacing w:after="0" w:line="273" w:lineRule="auto"/>
        <w:rPr>
          <w:sz w:val="20"/>
          <w:szCs w:val="20"/>
          <w:color w:val="auto"/>
        </w:rPr>
      </w:pPr>
      <w:r>
        <w:rPr>
          <w:rFonts w:ascii="Times New Roman" w:cs="Times New Roman" w:eastAsia="Times New Roman" w:hAnsi="Times New Roman"/>
          <w:sz w:val="22"/>
          <w:szCs w:val="22"/>
          <w:color w:val="auto"/>
        </w:rPr>
        <w:t>It should be noted that recent amendments to the FFG Act provide for the responsible Minister to recommend to the Governor in Council to specify taxa of flora or fauna in the Threatened List that are included in the Victorian Advisory Lists immediately prior to commencement of the amended Act. As such, many of the taxa listed as priorities for nomination in Table 1 may be listed without formal public nomination.</w:t>
      </w:r>
    </w:p>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EPBC Act Nomination, Prioritisation, Assessment and Listing Process</w:t>
      </w:r>
    </w:p>
    <w:p>
      <w:pPr>
        <w:spacing w:after="0" w:line="164" w:lineRule="exact"/>
        <w:rPr>
          <w:sz w:val="20"/>
          <w:szCs w:val="20"/>
          <w:color w:val="auto"/>
        </w:rPr>
      </w:pPr>
    </w:p>
    <w:p>
      <w:pPr>
        <w:jc w:val="both"/>
        <w:ind w:right="20"/>
        <w:spacing w:after="0" w:line="264" w:lineRule="auto"/>
        <w:rPr>
          <w:sz w:val="20"/>
          <w:szCs w:val="20"/>
          <w:color w:val="auto"/>
        </w:rPr>
      </w:pPr>
      <w:r>
        <w:rPr>
          <w:rFonts w:ascii="Times New Roman" w:cs="Times New Roman" w:eastAsia="Times New Roman" w:hAnsi="Times New Roman"/>
          <w:sz w:val="22"/>
          <w:szCs w:val="22"/>
          <w:color w:val="auto"/>
        </w:rPr>
        <w:t>Any person may nominate a native species, ecological community or Threatening Process for assessment and listing under the EPBC Act.</w:t>
      </w:r>
    </w:p>
    <w:p>
      <w:pPr>
        <w:spacing w:after="0" w:line="147" w:lineRule="exact"/>
        <w:rPr>
          <w:sz w:val="20"/>
          <w:szCs w:val="20"/>
          <w:color w:val="auto"/>
        </w:rPr>
      </w:pPr>
    </w:p>
    <w:p>
      <w:pPr>
        <w:jc w:val="both"/>
        <w:ind w:right="20"/>
        <w:spacing w:after="0" w:line="274" w:lineRule="auto"/>
        <w:rPr>
          <w:sz w:val="20"/>
          <w:szCs w:val="20"/>
          <w:color w:val="auto"/>
        </w:rPr>
      </w:pPr>
      <w:r>
        <w:rPr>
          <w:rFonts w:ascii="Times New Roman" w:cs="Times New Roman" w:eastAsia="Times New Roman" w:hAnsi="Times New Roman"/>
          <w:sz w:val="22"/>
          <w:szCs w:val="22"/>
          <w:color w:val="1F497D"/>
        </w:rPr>
        <w:t>T</w:t>
      </w:r>
      <w:r>
        <w:rPr>
          <w:rFonts w:ascii="Times New Roman" w:cs="Times New Roman" w:eastAsia="Times New Roman" w:hAnsi="Times New Roman"/>
          <w:sz w:val="22"/>
          <w:szCs w:val="22"/>
          <w:color w:val="000000"/>
        </w:rPr>
        <w:t>he Minister responsible for the EPBC Act (the Minister) invites nominations each year ahead of a new</w:t>
      </w:r>
      <w:r>
        <w:rPr>
          <w:rFonts w:ascii="Times New Roman" w:cs="Times New Roman" w:eastAsia="Times New Roman" w:hAnsi="Times New Roman"/>
          <w:sz w:val="22"/>
          <w:szCs w:val="22"/>
          <w:color w:val="1F497D"/>
        </w:rPr>
        <w:t xml:space="preserve"> </w:t>
      </w:r>
      <w:r>
        <w:rPr>
          <w:rFonts w:ascii="Times New Roman" w:cs="Times New Roman" w:eastAsia="Times New Roman" w:hAnsi="Times New Roman"/>
          <w:sz w:val="22"/>
          <w:szCs w:val="22"/>
          <w:color w:val="000000"/>
        </w:rPr>
        <w:t>assessment cycle. Nominations submitted within the advertised invitation period that satisfy the EPBC Regulations are forwarded to the Threatened Species Scientific Committee, who prepare a Proposed Priority Assessment List (PPAL) of nominations. The PPAL may include species that are brought forward by the states and territories through the Common Assessment Method. The Common Assessment Method is a consistent approach to the assessment and listing of nationally threatened species across Australian jurisdictions, which enables assessments undertaken by one jurisdiction to be considered and accepted by another, under their legislation, ensuring that species are listed in the same threat category across all relevant Australian jurisdictions.</w:t>
      </w:r>
    </w:p>
    <w:p>
      <w:pPr>
        <w:spacing w:after="0" w:line="12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In preparing the PPAL, the Committee considers a range of factors including:</w:t>
      </w:r>
    </w:p>
    <w:p>
      <w:pPr>
        <w:spacing w:after="0" w:line="83" w:lineRule="exact"/>
        <w:rPr>
          <w:sz w:val="20"/>
          <w:szCs w:val="20"/>
          <w:color w:val="auto"/>
        </w:rPr>
      </w:pPr>
    </w:p>
    <w:p>
      <w:pPr>
        <w:jc w:val="center"/>
        <w:spacing w:after="0"/>
        <w:rPr>
          <w:sz w:val="20"/>
          <w:szCs w:val="20"/>
          <w:color w:val="auto"/>
        </w:rPr>
      </w:pPr>
      <w:r>
        <w:rPr>
          <w:rFonts w:ascii="Calibri" w:cs="Calibri" w:eastAsia="Calibri" w:hAnsi="Calibri"/>
          <w:sz w:val="22"/>
          <w:szCs w:val="22"/>
          <w:color w:val="auto"/>
        </w:rPr>
        <w:t>66</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40"/>
          </w:cols>
          <w:pgMar w:left="1440" w:top="1437" w:right="1426" w:bottom="147" w:gutter="0" w:footer="0" w:header="0"/>
        </w:sectPr>
      </w:pPr>
    </w:p>
    <w:bookmarkStart w:id="66" w:name="page67"/>
    <w:bookmarkEnd w:id="66"/>
    <w:p>
      <w:pPr>
        <w:spacing w:after="0"/>
        <w:rPr>
          <w:sz w:val="20"/>
          <w:szCs w:val="20"/>
          <w:color w:val="auto"/>
        </w:rPr>
      </w:pPr>
      <w:r>
        <w:rPr>
          <w:rFonts w:ascii="Times New Roman" w:cs="Times New Roman" w:eastAsia="Times New Roman" w:hAnsi="Times New Roman"/>
          <w:sz w:val="22"/>
          <w:szCs w:val="22"/>
          <w:color w:val="auto"/>
        </w:rPr>
        <w:t>the level of threat to the species or ecological community;</w:t>
      </w:r>
    </w:p>
    <w:p>
      <w:pPr>
        <w:spacing w:after="0" w:line="168" w:lineRule="exact"/>
        <w:rPr>
          <w:sz w:val="20"/>
          <w:szCs w:val="20"/>
          <w:color w:val="auto"/>
        </w:rPr>
      </w:pPr>
    </w:p>
    <w:p>
      <w:pPr>
        <w:ind w:left="700" w:right="60"/>
        <w:spacing w:after="0" w:line="264" w:lineRule="auto"/>
        <w:rPr>
          <w:sz w:val="20"/>
          <w:szCs w:val="20"/>
          <w:color w:val="auto"/>
        </w:rPr>
      </w:pPr>
      <w:r>
        <w:rPr>
          <w:rFonts w:ascii="Times New Roman" w:cs="Times New Roman" w:eastAsia="Times New Roman" w:hAnsi="Times New Roman"/>
          <w:sz w:val="22"/>
          <w:szCs w:val="22"/>
          <w:color w:val="auto"/>
        </w:rPr>
        <w:t>the effects of listing the species, ecological community or Threatening Process, for example in terms of legislative protection and threat abatement;</w:t>
      </w:r>
    </w:p>
    <w:p>
      <w:pPr>
        <w:spacing w:after="0" w:line="146" w:lineRule="exact"/>
        <w:rPr>
          <w:sz w:val="20"/>
          <w:szCs w:val="20"/>
          <w:color w:val="auto"/>
        </w:rPr>
      </w:pPr>
    </w:p>
    <w:p>
      <w:pPr>
        <w:ind w:left="700" w:right="60"/>
        <w:spacing w:after="0" w:line="264" w:lineRule="auto"/>
        <w:rPr>
          <w:sz w:val="20"/>
          <w:szCs w:val="20"/>
          <w:color w:val="auto"/>
        </w:rPr>
      </w:pPr>
      <w:r>
        <w:rPr>
          <w:rFonts w:ascii="Times New Roman" w:cs="Times New Roman" w:eastAsia="Times New Roman" w:hAnsi="Times New Roman"/>
          <w:sz w:val="22"/>
          <w:szCs w:val="22"/>
          <w:color w:val="auto"/>
        </w:rPr>
        <w:t>the capacity to effect recovery of the species or ecological community, or to abate the Threatening Process;</w:t>
      </w:r>
    </w:p>
    <w:p>
      <w:pPr>
        <w:spacing w:after="0" w:line="144" w:lineRule="exact"/>
        <w:rPr>
          <w:sz w:val="20"/>
          <w:szCs w:val="20"/>
          <w:color w:val="auto"/>
        </w:rPr>
      </w:pPr>
    </w:p>
    <w:p>
      <w:pPr>
        <w:ind w:left="700" w:right="60"/>
        <w:spacing w:after="0" w:line="264" w:lineRule="auto"/>
        <w:rPr>
          <w:sz w:val="20"/>
          <w:szCs w:val="20"/>
          <w:color w:val="auto"/>
        </w:rPr>
      </w:pPr>
      <w:r>
        <w:rPr>
          <w:rFonts w:ascii="Times New Roman" w:cs="Times New Roman" w:eastAsia="Times New Roman" w:hAnsi="Times New Roman"/>
          <w:sz w:val="22"/>
          <w:szCs w:val="22"/>
          <w:color w:val="auto"/>
        </w:rPr>
        <w:t>the degree to which the nomination considers the national extent of the species, ecological community or Threatening Process;</w:t>
      </w:r>
    </w:p>
    <w:p>
      <w:pPr>
        <w:spacing w:after="0" w:line="13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the species or ecological community as a component of Biodiversity;</w:t>
      </w:r>
    </w:p>
    <w:p>
      <w:pPr>
        <w:spacing w:after="0" w:line="157"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the availability and relevance of information on which an assessment can be based; and</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the conservation theme/s determined for that year’s call for nominations.</w:t>
      </w:r>
    </w:p>
    <w:p>
      <w:pPr>
        <w:spacing w:after="0" w:line="294" w:lineRule="exact"/>
        <w:rPr>
          <w:sz w:val="20"/>
          <w:szCs w:val="20"/>
          <w:color w:val="auto"/>
        </w:rPr>
      </w:pPr>
    </w:p>
    <w:p>
      <w:pPr>
        <w:jc w:val="both"/>
        <w:ind w:right="40"/>
        <w:spacing w:after="0" w:line="273" w:lineRule="auto"/>
        <w:rPr>
          <w:sz w:val="20"/>
          <w:szCs w:val="20"/>
          <w:color w:val="auto"/>
        </w:rPr>
      </w:pPr>
      <w:r>
        <w:rPr>
          <w:rFonts w:ascii="Times New Roman" w:cs="Times New Roman" w:eastAsia="Times New Roman" w:hAnsi="Times New Roman"/>
          <w:sz w:val="22"/>
          <w:szCs w:val="22"/>
          <w:color w:val="auto"/>
        </w:rPr>
        <w:t>The PPAL is provided to the Minister, who then has 20 business days to make amendments to the proposed priorities, before it automatically becomes the Finalised Priority Assessment List (FPAL). The FPAL is the list of species, ecological communities and Threatening Processes that have been prioritised for assessment by the Threatened Species Scientific Committee for a particular assessment period (commencing 1 October each year). The FPAL is published on the Commonwealth Department of Agriculture, Water and the Environment’s website.</w:t>
      </w:r>
    </w:p>
    <w:p>
      <w:pPr>
        <w:spacing w:after="0" w:line="201" w:lineRule="exact"/>
        <w:rPr>
          <w:sz w:val="20"/>
          <w:szCs w:val="20"/>
          <w:color w:val="auto"/>
        </w:rPr>
      </w:pPr>
    </w:p>
    <w:p>
      <w:pPr>
        <w:jc w:val="both"/>
        <w:ind w:right="60"/>
        <w:spacing w:after="0" w:line="288" w:lineRule="auto"/>
        <w:rPr>
          <w:sz w:val="20"/>
          <w:szCs w:val="20"/>
          <w:color w:val="auto"/>
        </w:rPr>
      </w:pPr>
      <w:r>
        <w:rPr>
          <w:rFonts w:ascii="Times New Roman" w:cs="Times New Roman" w:eastAsia="Times New Roman" w:hAnsi="Times New Roman"/>
          <w:sz w:val="21"/>
          <w:szCs w:val="21"/>
          <w:color w:val="auto"/>
        </w:rPr>
        <w:t>Items included in the FPAL are assessed by the Committee within the timeframe set by the Minister. The Committee invites public and expert comment on the nominations during the assessment. The Committee's advice is provided to the Minister, who decides whether the species, ecological community or Threatening Process is eligible for listing under the EPBC Act and makes amendments to the lists.</w:t>
      </w:r>
    </w:p>
    <w:p>
      <w:pPr>
        <w:spacing w:after="0" w:line="188" w:lineRule="exact"/>
        <w:rPr>
          <w:sz w:val="20"/>
          <w:szCs w:val="20"/>
          <w:color w:val="auto"/>
        </w:rPr>
      </w:pPr>
    </w:p>
    <w:p>
      <w:pPr>
        <w:ind w:right="40"/>
        <w:spacing w:after="0" w:line="266" w:lineRule="auto"/>
        <w:tabs>
          <w:tab w:leader="none" w:pos="285" w:val="left"/>
        </w:tabs>
        <w:numPr>
          <w:ilvl w:val="0"/>
          <w:numId w:val="155"/>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Priority species and Ecological Vegetation Classes as at 1998 for nomination under the </w:t>
      </w:r>
      <w:r>
        <w:rPr>
          <w:rFonts w:ascii="Times New Roman" w:cs="Times New Roman" w:eastAsia="Times New Roman" w:hAnsi="Times New Roman"/>
          <w:sz w:val="22"/>
          <w:szCs w:val="22"/>
          <w:b w:val="1"/>
          <w:bCs w:val="1"/>
          <w:i w:val="1"/>
          <w:iCs w:val="1"/>
          <w:color w:val="auto"/>
        </w:rPr>
        <w:t>Flora</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b w:val="1"/>
          <w:bCs w:val="1"/>
          <w:i w:val="1"/>
          <w:iCs w:val="1"/>
          <w:color w:val="auto"/>
        </w:rPr>
        <w:t xml:space="preserve">and Fauna Guarantee Act 1988 </w:t>
      </w:r>
      <w:r>
        <w:rPr>
          <w:rFonts w:ascii="Times New Roman" w:cs="Times New Roman" w:eastAsia="Times New Roman" w:hAnsi="Times New Roman"/>
          <w:sz w:val="22"/>
          <w:szCs w:val="22"/>
          <w:b w:val="1"/>
          <w:bCs w:val="1"/>
          <w:color w:val="auto"/>
        </w:rPr>
        <w:t>(Vic) (showing December 2019 status).</w:t>
      </w:r>
    </w:p>
    <w:p>
      <w:pPr>
        <w:spacing w:after="0" w:line="193" w:lineRule="exact"/>
        <w:rPr>
          <w:sz w:val="20"/>
          <w:szCs w:val="20"/>
          <w:color w:val="auto"/>
        </w:rPr>
      </w:pPr>
    </w:p>
    <w:tbl>
      <w:tblPr>
        <w:tblLayout w:type="fixed"/>
        <w:tblInd w:w="10" w:type="dxa"/>
        <w:tblCellMar>
          <w:top w:w="0" w:type="dxa"/>
          <w:left w:w="0" w:type="dxa"/>
          <w:bottom w:w="0" w:type="dxa"/>
          <w:right w:w="0" w:type="dxa"/>
        </w:tblCellMar>
      </w:tblPr>
      <w:tr>
        <w:trPr>
          <w:trHeight w:val="281"/>
        </w:trPr>
        <w:tc>
          <w:tcPr>
            <w:tcW w:w="356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Scientific name</w:t>
            </w:r>
          </w:p>
        </w:tc>
        <w:tc>
          <w:tcPr>
            <w:tcW w:w="312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Common Name</w:t>
            </w:r>
          </w:p>
        </w:tc>
        <w:tc>
          <w:tcPr>
            <w:tcW w:w="240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Nomination status</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(December 2019)</w:t>
            </w:r>
          </w:p>
        </w:tc>
      </w:tr>
      <w:tr>
        <w:trPr>
          <w:trHeight w:val="40"/>
        </w:trPr>
        <w:tc>
          <w:tcPr>
            <w:tcW w:w="3560" w:type="dxa"/>
            <w:vAlign w:val="bottom"/>
            <w:tcBorders>
              <w:left w:val="single" w:sz="8" w:color="auto"/>
              <w:bottom w:val="single" w:sz="8" w:color="auto"/>
              <w:right w:val="single" w:sz="8" w:color="auto"/>
            </w:tcBorders>
          </w:tcPr>
          <w:p>
            <w:pPr>
              <w:spacing w:after="0"/>
              <w:rPr>
                <w:sz w:val="3"/>
                <w:szCs w:val="3"/>
                <w:color w:val="auto"/>
              </w:rPr>
            </w:pPr>
          </w:p>
        </w:tc>
        <w:tc>
          <w:tcPr>
            <w:tcW w:w="3120" w:type="dxa"/>
            <w:vAlign w:val="bottom"/>
            <w:tcBorders>
              <w:bottom w:val="single" w:sz="8" w:color="auto"/>
              <w:right w:val="single" w:sz="8" w:color="auto"/>
            </w:tcBorders>
          </w:tcPr>
          <w:p>
            <w:pPr>
              <w:spacing w:after="0"/>
              <w:rPr>
                <w:sz w:val="3"/>
                <w:szCs w:val="3"/>
                <w:color w:val="auto"/>
              </w:rPr>
            </w:pPr>
          </w:p>
        </w:tc>
        <w:tc>
          <w:tcPr>
            <w:tcW w:w="2400" w:type="dxa"/>
            <w:vAlign w:val="bottom"/>
            <w:tcBorders>
              <w:bottom w:val="single" w:sz="8" w:color="auto"/>
              <w:right w:val="single" w:sz="8" w:color="auto"/>
            </w:tcBorders>
          </w:tcPr>
          <w:p>
            <w:pPr>
              <w:spacing w:after="0"/>
              <w:rPr>
                <w:sz w:val="3"/>
                <w:szCs w:val="3"/>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Mastacomys fuscus mordicus</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Broad-toothed Rat (mainland)</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August 2011;</w:t>
            </w:r>
          </w:p>
        </w:tc>
      </w:tr>
      <w:tr>
        <w:trPr>
          <w:trHeight w:val="293"/>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r>
      <w:tr>
        <w:trPr>
          <w:trHeight w:val="245"/>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Myotis macropus</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Large-footed Myotis</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Pseudomys fumeus</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Smoky Mouse</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July 1996;</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Accipiter novaehollandiae</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Grey Goshawk</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August 2003;</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Eucalyptus strzeleckii</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Strzelecki Gum</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Nominated May 2004;</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Huperzia varia</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Long Clubmoss</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Hypsela tridens</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Hypsella</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Persoonia arborea</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Tree Geebung</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Originally nominated in</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July 1992; not eligible for</w:t>
            </w:r>
          </w:p>
        </w:tc>
      </w:tr>
      <w:tr>
        <w:trPr>
          <w:trHeight w:val="48"/>
        </w:trPr>
        <w:tc>
          <w:tcPr>
            <w:tcW w:w="3560" w:type="dxa"/>
            <w:vAlign w:val="bottom"/>
            <w:tcBorders>
              <w:left w:val="single" w:sz="8" w:color="auto"/>
              <w:bottom w:val="single" w:sz="8" w:color="auto"/>
              <w:right w:val="single" w:sz="8" w:color="auto"/>
            </w:tcBorders>
          </w:tcPr>
          <w:p>
            <w:pPr>
              <w:spacing w:after="0"/>
              <w:rPr>
                <w:sz w:val="4"/>
                <w:szCs w:val="4"/>
                <w:color w:val="auto"/>
              </w:rPr>
            </w:pPr>
          </w:p>
        </w:tc>
        <w:tc>
          <w:tcPr>
            <w:tcW w:w="3120" w:type="dxa"/>
            <w:vAlign w:val="bottom"/>
            <w:tcBorders>
              <w:bottom w:val="single" w:sz="8" w:color="auto"/>
              <w:right w:val="single" w:sz="8" w:color="auto"/>
            </w:tcBorders>
          </w:tcPr>
          <w:p>
            <w:pPr>
              <w:spacing w:after="0"/>
              <w:rPr>
                <w:sz w:val="4"/>
                <w:szCs w:val="4"/>
                <w:color w:val="auto"/>
              </w:rPr>
            </w:pPr>
          </w:p>
        </w:tc>
        <w:tc>
          <w:tcPr>
            <w:tcW w:w="2400" w:type="dxa"/>
            <w:vAlign w:val="bottom"/>
            <w:tcBorders>
              <w:bottom w:val="single" w:sz="8" w:color="auto"/>
              <w:right w:val="single" w:sz="8" w:color="auto"/>
            </w:tcBorders>
          </w:tcPr>
          <w:p>
            <w:pPr>
              <w:spacing w:after="0"/>
              <w:rPr>
                <w:sz w:val="4"/>
                <w:szCs w:val="4"/>
                <w:color w:val="auto"/>
              </w:rPr>
            </w:pPr>
          </w:p>
        </w:tc>
      </w:tr>
      <w:tr>
        <w:trPr>
          <w:trHeight w:val="363"/>
        </w:trPr>
        <w:tc>
          <w:tcPr>
            <w:tcW w:w="3560" w:type="dxa"/>
            <w:vAlign w:val="bottom"/>
          </w:tcPr>
          <w:p>
            <w:pPr>
              <w:spacing w:after="0"/>
              <w:rPr>
                <w:sz w:val="24"/>
                <w:szCs w:val="24"/>
                <w:color w:val="auto"/>
              </w:rPr>
            </w:pPr>
          </w:p>
        </w:tc>
        <w:tc>
          <w:tcPr>
            <w:tcW w:w="3120" w:type="dxa"/>
            <w:vAlign w:val="bottom"/>
          </w:tcPr>
          <w:p>
            <w:pPr>
              <w:ind w:left="840"/>
              <w:spacing w:after="0"/>
              <w:rPr>
                <w:sz w:val="20"/>
                <w:szCs w:val="20"/>
                <w:color w:val="auto"/>
              </w:rPr>
            </w:pPr>
            <w:r>
              <w:rPr>
                <w:rFonts w:ascii="Calibri" w:cs="Calibri" w:eastAsia="Calibri" w:hAnsi="Calibri"/>
                <w:sz w:val="22"/>
                <w:szCs w:val="22"/>
                <w:color w:val="auto"/>
              </w:rPr>
              <w:t>67</w:t>
            </w:r>
          </w:p>
        </w:tc>
        <w:tc>
          <w:tcPr>
            <w:tcW w:w="2400" w:type="dxa"/>
            <w:vAlign w:val="bottom"/>
          </w:tcPr>
          <w:p>
            <w:pPr>
              <w:spacing w:after="0"/>
              <w:rPr>
                <w:sz w:val="24"/>
                <w:szCs w:val="24"/>
                <w:color w:val="auto"/>
              </w:rPr>
            </w:pPr>
          </w:p>
        </w:tc>
      </w:tr>
      <w:tr>
        <w:trPr>
          <w:trHeight w:val="466"/>
        </w:trPr>
        <w:tc>
          <w:tcPr>
            <w:tcW w:w="3560" w:type="dxa"/>
            <w:vAlign w:val="bottom"/>
          </w:tcPr>
          <w:p>
            <w:pPr>
              <w:spacing w:after="0"/>
              <w:rPr>
                <w:sz w:val="20"/>
                <w:szCs w:val="20"/>
                <w:color w:val="auto"/>
              </w:rPr>
            </w:pPr>
            <w:r>
              <w:rPr>
                <w:rFonts w:ascii="Calibri" w:cs="Calibri" w:eastAsia="Calibri" w:hAnsi="Calibri"/>
                <w:sz w:val="16"/>
                <w:szCs w:val="16"/>
                <w:color w:val="auto"/>
              </w:rPr>
              <w:t>36270240</w:t>
            </w:r>
          </w:p>
        </w:tc>
        <w:tc>
          <w:tcPr>
            <w:tcW w:w="3120" w:type="dxa"/>
            <w:vAlign w:val="bottom"/>
          </w:tcPr>
          <w:p>
            <w:pPr>
              <w:spacing w:after="0"/>
              <w:rPr>
                <w:sz w:val="24"/>
                <w:szCs w:val="24"/>
                <w:color w:val="auto"/>
              </w:rPr>
            </w:pPr>
          </w:p>
        </w:tc>
        <w:tc>
          <w:tcPr>
            <w:tcW w:w="2400" w:type="dxa"/>
            <w:vAlign w:val="bottom"/>
          </w:tcPr>
          <w:p>
            <w:pPr>
              <w:spacing w:after="0"/>
              <w:rPr>
                <w:sz w:val="24"/>
                <w:szCs w:val="24"/>
                <w:color w:val="auto"/>
              </w:rPr>
            </w:pPr>
          </w:p>
        </w:tc>
      </w:tr>
    </w:tbl>
    <w:p>
      <w:pPr>
        <w:sectPr>
          <w:pgSz w:w="11900" w:h="16838" w:orient="portrait"/>
          <w:cols w:equalWidth="0" w:num="1">
            <w:col w:w="9080"/>
          </w:cols>
          <w:pgMar w:left="1440" w:top="1427" w:right="1386" w:bottom="147" w:gutter="0" w:footer="0" w:header="0"/>
        </w:sectPr>
      </w:pPr>
    </w:p>
    <w:bookmarkStart w:id="67" w:name="page68"/>
    <w:bookmarkEnd w:id="67"/>
    <w:p>
      <w:pPr>
        <w:spacing w:after="0" w:line="1" w:lineRule="exact"/>
        <w:rPr>
          <w:sz w:val="20"/>
          <w:szCs w:val="20"/>
          <w:color w:val="auto"/>
        </w:rPr>
      </w:pPr>
    </w:p>
    <w:tbl>
      <w:tblPr>
        <w:tblLayout w:type="fixed"/>
        <w:tblInd w:w="10" w:type="dxa"/>
        <w:tblCellMar>
          <w:top w:w="0" w:type="dxa"/>
          <w:left w:w="0" w:type="dxa"/>
          <w:bottom w:w="0" w:type="dxa"/>
          <w:right w:w="0" w:type="dxa"/>
        </w:tblCellMar>
      </w:tblPr>
      <w:tr>
        <w:trPr>
          <w:trHeight w:val="260"/>
        </w:trPr>
        <w:tc>
          <w:tcPr>
            <w:tcW w:w="3560" w:type="dxa"/>
            <w:vAlign w:val="bottom"/>
            <w:tcBorders>
              <w:top w:val="single" w:sz="8" w:color="auto"/>
              <w:left w:val="single" w:sz="8" w:color="auto"/>
              <w:right w:val="single" w:sz="8" w:color="auto"/>
            </w:tcBorders>
          </w:tcPr>
          <w:p>
            <w:pPr>
              <w:spacing w:after="0"/>
              <w:rPr>
                <w:sz w:val="22"/>
                <w:szCs w:val="22"/>
                <w:color w:val="auto"/>
              </w:rPr>
            </w:pPr>
          </w:p>
        </w:tc>
        <w:tc>
          <w:tcPr>
            <w:tcW w:w="3120" w:type="dxa"/>
            <w:vAlign w:val="bottom"/>
            <w:tcBorders>
              <w:top w:val="single" w:sz="8" w:color="auto"/>
              <w:right w:val="single" w:sz="8" w:color="auto"/>
            </w:tcBorders>
          </w:tcPr>
          <w:p>
            <w:pPr>
              <w:spacing w:after="0"/>
              <w:rPr>
                <w:sz w:val="22"/>
                <w:szCs w:val="22"/>
                <w:color w:val="auto"/>
              </w:rPr>
            </w:pPr>
          </w:p>
        </w:tc>
        <w:tc>
          <w:tcPr>
            <w:tcW w:w="240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listing; not yet re-</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Senecio laticostatus</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Fin-fruit Fireweed</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Thelymitra circumsepta</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Bog Sun-orchid</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Tmesipteris elongata ssp. elongata</w:t>
            </w: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Slender Fork-fern</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44"/>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2"/>
        </w:trPr>
        <w:tc>
          <w:tcPr>
            <w:tcW w:w="3560" w:type="dxa"/>
            <w:vAlign w:val="bottom"/>
            <w:tcBorders>
              <w:left w:val="single" w:sz="8" w:color="auto"/>
              <w:right w:val="single" w:sz="8" w:color="auto"/>
            </w:tcBorders>
          </w:tcPr>
          <w:p>
            <w:pPr>
              <w:ind w:left="40"/>
              <w:spacing w:after="0" w:line="242" w:lineRule="exact"/>
              <w:rPr>
                <w:sz w:val="20"/>
                <w:szCs w:val="20"/>
                <w:color w:val="auto"/>
              </w:rPr>
            </w:pPr>
            <w:r>
              <w:rPr>
                <w:rFonts w:ascii="Times New Roman" w:cs="Times New Roman" w:eastAsia="Times New Roman" w:hAnsi="Times New Roman"/>
                <w:sz w:val="22"/>
                <w:szCs w:val="22"/>
                <w:i w:val="1"/>
                <w:iCs w:val="1"/>
                <w:color w:val="auto"/>
              </w:rPr>
              <w:t>Treubia tasmanica</w:t>
            </w:r>
          </w:p>
        </w:tc>
        <w:tc>
          <w:tcPr>
            <w:tcW w:w="312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Liverwort</w:t>
            </w:r>
          </w:p>
        </w:tc>
        <w:tc>
          <w:tcPr>
            <w:tcW w:w="240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Nominated in March</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2008; Listed</w:t>
            </w:r>
          </w:p>
        </w:tc>
      </w:tr>
      <w:tr>
        <w:trPr>
          <w:trHeight w:val="244"/>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3"/>
        </w:trPr>
        <w:tc>
          <w:tcPr>
            <w:tcW w:w="3560" w:type="dxa"/>
            <w:vAlign w:val="bottom"/>
            <w:tcBorders>
              <w:left w:val="single" w:sz="8" w:color="auto"/>
              <w:right w:val="single" w:sz="8" w:color="auto"/>
            </w:tcBorders>
          </w:tcPr>
          <w:p>
            <w:pPr>
              <w:spacing w:after="0"/>
              <w:rPr>
                <w:sz w:val="21"/>
                <w:szCs w:val="21"/>
                <w:color w:val="auto"/>
              </w:rPr>
            </w:pPr>
          </w:p>
        </w:tc>
        <w:tc>
          <w:tcPr>
            <w:tcW w:w="3120" w:type="dxa"/>
            <w:vAlign w:val="bottom"/>
            <w:tcBorders>
              <w:right w:val="single" w:sz="8" w:color="auto"/>
            </w:tcBorders>
          </w:tcPr>
          <w:p>
            <w:pPr>
              <w:ind w:left="20"/>
              <w:spacing w:after="0" w:line="243" w:lineRule="exact"/>
              <w:rPr>
                <w:sz w:val="20"/>
                <w:szCs w:val="20"/>
                <w:color w:val="auto"/>
              </w:rPr>
            </w:pPr>
            <w:r>
              <w:rPr>
                <w:rFonts w:ascii="Times New Roman" w:cs="Times New Roman" w:eastAsia="Times New Roman" w:hAnsi="Times New Roman"/>
                <w:sz w:val="22"/>
                <w:szCs w:val="22"/>
                <w:color w:val="auto"/>
              </w:rPr>
              <w:t>Valley Grassy Forest (or floristic</w:t>
            </w:r>
          </w:p>
        </w:tc>
        <w:tc>
          <w:tcPr>
            <w:tcW w:w="2400" w:type="dxa"/>
            <w:vAlign w:val="bottom"/>
            <w:tcBorders>
              <w:right w:val="single" w:sz="8" w:color="auto"/>
            </w:tcBorders>
          </w:tcPr>
          <w:p>
            <w:pPr>
              <w:ind w:left="20"/>
              <w:spacing w:after="0" w:line="243"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communities thereof)</w:t>
            </w:r>
          </w:p>
        </w:tc>
        <w:tc>
          <w:tcPr>
            <w:tcW w:w="2400" w:type="dxa"/>
            <w:vAlign w:val="bottom"/>
            <w:tcBorders>
              <w:right w:val="single" w:sz="8" w:color="auto"/>
            </w:tcBorders>
          </w:tcPr>
          <w:p>
            <w:pPr>
              <w:spacing w:after="0"/>
              <w:rPr>
                <w:sz w:val="24"/>
                <w:szCs w:val="24"/>
                <w:color w:val="auto"/>
              </w:rPr>
            </w:pPr>
          </w:p>
        </w:tc>
      </w:tr>
      <w:tr>
        <w:trPr>
          <w:trHeight w:val="244"/>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2"/>
        </w:trPr>
        <w:tc>
          <w:tcPr>
            <w:tcW w:w="3560" w:type="dxa"/>
            <w:vAlign w:val="bottom"/>
            <w:tcBorders>
              <w:left w:val="single" w:sz="8" w:color="auto"/>
              <w:right w:val="single" w:sz="8" w:color="auto"/>
            </w:tcBorders>
          </w:tcPr>
          <w:p>
            <w:pPr>
              <w:spacing w:after="0"/>
              <w:rPr>
                <w:sz w:val="21"/>
                <w:szCs w:val="21"/>
                <w:color w:val="auto"/>
              </w:rPr>
            </w:pPr>
          </w:p>
        </w:tc>
        <w:tc>
          <w:tcPr>
            <w:tcW w:w="312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Plains Grassy Woodland (or</w:t>
            </w:r>
          </w:p>
        </w:tc>
        <w:tc>
          <w:tcPr>
            <w:tcW w:w="2400" w:type="dxa"/>
            <w:vAlign w:val="bottom"/>
            <w:tcBorders>
              <w:right w:val="single" w:sz="8" w:color="auto"/>
            </w:tcBorders>
          </w:tcPr>
          <w:p>
            <w:pPr>
              <w:ind w:left="20"/>
              <w:spacing w:after="0" w:line="242" w:lineRule="exact"/>
              <w:rPr>
                <w:sz w:val="20"/>
                <w:szCs w:val="20"/>
                <w:color w:val="auto"/>
              </w:rPr>
            </w:pPr>
            <w:r>
              <w:rPr>
                <w:rFonts w:ascii="Times New Roman" w:cs="Times New Roman" w:eastAsia="Times New Roman" w:hAnsi="Times New Roman"/>
                <w:sz w:val="22"/>
                <w:szCs w:val="22"/>
                <w:color w:val="auto"/>
              </w:rPr>
              <w:t>All floristic communities</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floristic communities thereof)</w:t>
            </w: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have not yet been</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w:t>
            </w: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spacing w:after="0"/>
              <w:rPr>
                <w:sz w:val="20"/>
                <w:szCs w:val="20"/>
                <w:color w:val="auto"/>
              </w:rPr>
            </w:pP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Grey Clay Drainage Line complex</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(or floristic communities thereof)</w:t>
            </w:r>
          </w:p>
        </w:tc>
        <w:tc>
          <w:tcPr>
            <w:tcW w:w="2400" w:type="dxa"/>
            <w:vAlign w:val="bottom"/>
            <w:tcBorders>
              <w:right w:val="single" w:sz="8" w:color="auto"/>
            </w:tcBorders>
          </w:tcPr>
          <w:p>
            <w:pPr>
              <w:spacing w:after="0"/>
              <w:rPr>
                <w:sz w:val="24"/>
                <w:szCs w:val="24"/>
                <w:color w:val="auto"/>
              </w:rPr>
            </w:pPr>
          </w:p>
        </w:tc>
      </w:tr>
      <w:tr>
        <w:trPr>
          <w:trHeight w:val="247"/>
        </w:trPr>
        <w:tc>
          <w:tcPr>
            <w:tcW w:w="3560" w:type="dxa"/>
            <w:vAlign w:val="bottom"/>
            <w:tcBorders>
              <w:left w:val="single" w:sz="8" w:color="auto"/>
              <w:bottom w:val="single" w:sz="8" w:color="auto"/>
              <w:right w:val="single" w:sz="8" w:color="auto"/>
            </w:tcBorders>
          </w:tcPr>
          <w:p>
            <w:pPr>
              <w:spacing w:after="0"/>
              <w:rPr>
                <w:sz w:val="21"/>
                <w:szCs w:val="21"/>
                <w:color w:val="auto"/>
              </w:rPr>
            </w:pPr>
          </w:p>
        </w:tc>
        <w:tc>
          <w:tcPr>
            <w:tcW w:w="3120" w:type="dxa"/>
            <w:vAlign w:val="bottom"/>
            <w:tcBorders>
              <w:bottom w:val="single" w:sz="8" w:color="auto"/>
              <w:right w:val="single" w:sz="8" w:color="auto"/>
            </w:tcBorders>
          </w:tcPr>
          <w:p>
            <w:pPr>
              <w:spacing w:after="0"/>
              <w:rPr>
                <w:sz w:val="21"/>
                <w:szCs w:val="21"/>
                <w:color w:val="auto"/>
              </w:rPr>
            </w:pPr>
          </w:p>
        </w:tc>
        <w:tc>
          <w:tcPr>
            <w:tcW w:w="2400" w:type="dxa"/>
            <w:vAlign w:val="bottom"/>
            <w:tcBorders>
              <w:bottom w:val="single" w:sz="8" w:color="auto"/>
              <w:right w:val="single" w:sz="8" w:color="auto"/>
            </w:tcBorders>
          </w:tcPr>
          <w:p>
            <w:pPr>
              <w:spacing w:after="0"/>
              <w:rPr>
                <w:sz w:val="21"/>
                <w:szCs w:val="21"/>
                <w:color w:val="auto"/>
              </w:rPr>
            </w:pPr>
          </w:p>
        </w:tc>
      </w:tr>
      <w:tr>
        <w:trPr>
          <w:trHeight w:val="240"/>
        </w:trPr>
        <w:tc>
          <w:tcPr>
            <w:tcW w:w="3560" w:type="dxa"/>
            <w:vAlign w:val="bottom"/>
            <w:tcBorders>
              <w:left w:val="single" w:sz="8" w:color="auto"/>
              <w:right w:val="single" w:sz="8" w:color="auto"/>
            </w:tcBorders>
          </w:tcPr>
          <w:p>
            <w:pPr>
              <w:spacing w:after="0"/>
              <w:rPr>
                <w:sz w:val="20"/>
                <w:szCs w:val="20"/>
                <w:color w:val="auto"/>
              </w:rPr>
            </w:pP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Plains Grassy Wetland (or floristic</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All floristic communities</w:t>
            </w:r>
          </w:p>
        </w:tc>
      </w:tr>
      <w:tr>
        <w:trPr>
          <w:trHeight w:val="291"/>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communities thereof)</w:t>
            </w: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have not yet been</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spacing w:after="0"/>
              <w:rPr>
                <w:sz w:val="24"/>
                <w:szCs w:val="24"/>
                <w:color w:val="auto"/>
              </w:rPr>
            </w:pPr>
          </w:p>
        </w:tc>
        <w:tc>
          <w:tcPr>
            <w:tcW w:w="2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nominated</w:t>
            </w:r>
          </w:p>
        </w:tc>
      </w:tr>
      <w:tr>
        <w:trPr>
          <w:trHeight w:val="436"/>
        </w:trPr>
        <w:tc>
          <w:tcPr>
            <w:tcW w:w="3560" w:type="dxa"/>
            <w:vAlign w:val="bottom"/>
            <w:tcBorders>
              <w:left w:val="single" w:sz="8" w:color="auto"/>
              <w:bottom w:val="single" w:sz="8" w:color="auto"/>
              <w:right w:val="single" w:sz="8" w:color="auto"/>
            </w:tcBorders>
          </w:tcPr>
          <w:p>
            <w:pPr>
              <w:spacing w:after="0"/>
              <w:rPr>
                <w:sz w:val="24"/>
                <w:szCs w:val="24"/>
                <w:color w:val="auto"/>
              </w:rPr>
            </w:pPr>
          </w:p>
        </w:tc>
        <w:tc>
          <w:tcPr>
            <w:tcW w:w="3120" w:type="dxa"/>
            <w:vAlign w:val="bottom"/>
            <w:tcBorders>
              <w:bottom w:val="single" w:sz="8" w:color="auto"/>
              <w:right w:val="single" w:sz="8" w:color="auto"/>
            </w:tcBorders>
          </w:tcPr>
          <w:p>
            <w:pPr>
              <w:spacing w:after="0"/>
              <w:rPr>
                <w:sz w:val="24"/>
                <w:szCs w:val="24"/>
                <w:color w:val="auto"/>
              </w:rPr>
            </w:pPr>
          </w:p>
        </w:tc>
        <w:tc>
          <w:tcPr>
            <w:tcW w:w="2400" w:type="dxa"/>
            <w:vAlign w:val="bottom"/>
            <w:tcBorders>
              <w:bottom w:val="single" w:sz="8" w:color="auto"/>
              <w:right w:val="single" w:sz="8" w:color="auto"/>
            </w:tcBorders>
          </w:tcPr>
          <w:p>
            <w:pPr>
              <w:spacing w:after="0"/>
              <w:rPr>
                <w:sz w:val="24"/>
                <w:szCs w:val="24"/>
                <w:color w:val="auto"/>
              </w:rPr>
            </w:pPr>
          </w:p>
        </w:tc>
      </w:tr>
      <w:tr>
        <w:trPr>
          <w:trHeight w:val="240"/>
        </w:trPr>
        <w:tc>
          <w:tcPr>
            <w:tcW w:w="3560" w:type="dxa"/>
            <w:vAlign w:val="bottom"/>
            <w:tcBorders>
              <w:left w:val="single" w:sz="8" w:color="auto"/>
              <w:right w:val="single" w:sz="8" w:color="auto"/>
            </w:tcBorders>
          </w:tcPr>
          <w:p>
            <w:pPr>
              <w:spacing w:after="0"/>
              <w:rPr>
                <w:sz w:val="20"/>
                <w:szCs w:val="20"/>
                <w:color w:val="auto"/>
              </w:rPr>
            </w:pPr>
          </w:p>
        </w:tc>
        <w:tc>
          <w:tcPr>
            <w:tcW w:w="312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Swamp Forest (part of Swampy</w:t>
            </w:r>
          </w:p>
        </w:tc>
        <w:tc>
          <w:tcPr>
            <w:tcW w:w="2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Not yet nominated</w:t>
            </w:r>
          </w:p>
        </w:tc>
      </w:tr>
      <w:tr>
        <w:trPr>
          <w:trHeight w:val="290"/>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Riparian Complex in the Central</w:t>
            </w:r>
          </w:p>
        </w:tc>
        <w:tc>
          <w:tcPr>
            <w:tcW w:w="2400" w:type="dxa"/>
            <w:vAlign w:val="bottom"/>
            <w:tcBorders>
              <w:right w:val="single" w:sz="8" w:color="auto"/>
            </w:tcBorders>
          </w:tcPr>
          <w:p>
            <w:pPr>
              <w:spacing w:after="0"/>
              <w:rPr>
                <w:sz w:val="24"/>
                <w:szCs w:val="24"/>
                <w:color w:val="auto"/>
              </w:rPr>
            </w:pPr>
          </w:p>
        </w:tc>
      </w:tr>
      <w:tr>
        <w:trPr>
          <w:trHeight w:val="293"/>
        </w:trPr>
        <w:tc>
          <w:tcPr>
            <w:tcW w:w="3560" w:type="dxa"/>
            <w:vAlign w:val="bottom"/>
            <w:tcBorders>
              <w:left w:val="single" w:sz="8" w:color="auto"/>
              <w:right w:val="single" w:sz="8" w:color="auto"/>
            </w:tcBorders>
          </w:tcPr>
          <w:p>
            <w:pPr>
              <w:spacing w:after="0"/>
              <w:rPr>
                <w:sz w:val="24"/>
                <w:szCs w:val="24"/>
                <w:color w:val="auto"/>
              </w:rPr>
            </w:pPr>
          </w:p>
        </w:tc>
        <w:tc>
          <w:tcPr>
            <w:tcW w:w="312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Highlands CRA Report)</w:t>
            </w:r>
          </w:p>
        </w:tc>
        <w:tc>
          <w:tcPr>
            <w:tcW w:w="2400" w:type="dxa"/>
            <w:vAlign w:val="bottom"/>
            <w:tcBorders>
              <w:right w:val="single" w:sz="8" w:color="auto"/>
            </w:tcBorders>
          </w:tcPr>
          <w:p>
            <w:pPr>
              <w:spacing w:after="0"/>
              <w:rPr>
                <w:sz w:val="24"/>
                <w:szCs w:val="24"/>
                <w:color w:val="auto"/>
              </w:rPr>
            </w:pPr>
          </w:p>
        </w:tc>
      </w:tr>
      <w:tr>
        <w:trPr>
          <w:trHeight w:val="253"/>
        </w:trPr>
        <w:tc>
          <w:tcPr>
            <w:tcW w:w="3560" w:type="dxa"/>
            <w:vAlign w:val="bottom"/>
            <w:tcBorders>
              <w:left w:val="single" w:sz="8" w:color="auto"/>
              <w:bottom w:val="single" w:sz="8" w:color="auto"/>
              <w:right w:val="single" w:sz="8" w:color="auto"/>
            </w:tcBorders>
          </w:tcPr>
          <w:p>
            <w:pPr>
              <w:spacing w:after="0"/>
              <w:rPr>
                <w:sz w:val="22"/>
                <w:szCs w:val="22"/>
                <w:color w:val="auto"/>
              </w:rPr>
            </w:pPr>
          </w:p>
        </w:tc>
        <w:tc>
          <w:tcPr>
            <w:tcW w:w="3120" w:type="dxa"/>
            <w:vAlign w:val="bottom"/>
            <w:tcBorders>
              <w:bottom w:val="single" w:sz="8" w:color="auto"/>
              <w:right w:val="single" w:sz="8" w:color="auto"/>
            </w:tcBorders>
          </w:tcPr>
          <w:p>
            <w:pPr>
              <w:spacing w:after="0"/>
              <w:rPr>
                <w:sz w:val="22"/>
                <w:szCs w:val="22"/>
                <w:color w:val="auto"/>
              </w:rPr>
            </w:pPr>
          </w:p>
        </w:tc>
        <w:tc>
          <w:tcPr>
            <w:tcW w:w="2400" w:type="dxa"/>
            <w:vAlign w:val="bottom"/>
            <w:tcBorders>
              <w:bottom w:val="single" w:sz="8" w:color="auto"/>
              <w:right w:val="single" w:sz="8" w:color="auto"/>
            </w:tcBorders>
          </w:tcPr>
          <w:p>
            <w:pPr>
              <w:spacing w:after="0"/>
              <w:rPr>
                <w:sz w:val="22"/>
                <w:szCs w:val="22"/>
                <w:color w:val="auto"/>
              </w:rPr>
            </w:pPr>
          </w:p>
        </w:tc>
      </w:tr>
    </w:tbl>
    <w:p>
      <w:pPr>
        <w:spacing w:after="0" w:line="263" w:lineRule="exact"/>
        <w:rPr>
          <w:sz w:val="20"/>
          <w:szCs w:val="20"/>
          <w:color w:val="auto"/>
        </w:rPr>
      </w:pPr>
    </w:p>
    <w:p>
      <w:pPr>
        <w:ind w:right="240"/>
        <w:spacing w:after="0" w:line="288" w:lineRule="auto"/>
        <w:tabs>
          <w:tab w:leader="none" w:pos="276" w:val="left"/>
        </w:tabs>
        <w:numPr>
          <w:ilvl w:val="0"/>
          <w:numId w:val="156"/>
        </w:numPr>
        <w:rPr>
          <w:rFonts w:ascii="Times New Roman" w:cs="Times New Roman" w:eastAsia="Times New Roman" w:hAnsi="Times New Roman"/>
          <w:sz w:val="21"/>
          <w:szCs w:val="21"/>
          <w:b w:val="1"/>
          <w:bCs w:val="1"/>
          <w:color w:val="auto"/>
        </w:rPr>
      </w:pPr>
      <w:r>
        <w:rPr>
          <w:rFonts w:ascii="Times New Roman" w:cs="Times New Roman" w:eastAsia="Times New Roman" w:hAnsi="Times New Roman"/>
          <w:sz w:val="21"/>
          <w:szCs w:val="21"/>
          <w:b w:val="1"/>
          <w:bCs w:val="1"/>
          <w:color w:val="auto"/>
        </w:rPr>
        <w:t xml:space="preserve">Priority potentially Threatening Processes as at 1998 under the </w:t>
      </w:r>
      <w:r>
        <w:rPr>
          <w:rFonts w:ascii="Times New Roman" w:cs="Times New Roman" w:eastAsia="Times New Roman" w:hAnsi="Times New Roman"/>
          <w:sz w:val="21"/>
          <w:szCs w:val="21"/>
          <w:b w:val="1"/>
          <w:bCs w:val="1"/>
          <w:i w:val="1"/>
          <w:iCs w:val="1"/>
          <w:color w:val="auto"/>
        </w:rPr>
        <w:t>Flora and Fauna Guarantee</w:t>
      </w:r>
      <w:r>
        <w:rPr>
          <w:rFonts w:ascii="Times New Roman" w:cs="Times New Roman" w:eastAsia="Times New Roman" w:hAnsi="Times New Roman"/>
          <w:sz w:val="21"/>
          <w:szCs w:val="21"/>
          <w:b w:val="1"/>
          <w:bCs w:val="1"/>
          <w:color w:val="auto"/>
        </w:rPr>
        <w:t xml:space="preserve"> </w:t>
      </w:r>
      <w:r>
        <w:rPr>
          <w:rFonts w:ascii="Times New Roman" w:cs="Times New Roman" w:eastAsia="Times New Roman" w:hAnsi="Times New Roman"/>
          <w:sz w:val="21"/>
          <w:szCs w:val="21"/>
          <w:b w:val="1"/>
          <w:bCs w:val="1"/>
          <w:i w:val="1"/>
          <w:iCs w:val="1"/>
          <w:color w:val="auto"/>
        </w:rPr>
        <w:t xml:space="preserve">Act 1988 </w:t>
      </w:r>
      <w:r>
        <w:rPr>
          <w:rFonts w:ascii="Times New Roman" w:cs="Times New Roman" w:eastAsia="Times New Roman" w:hAnsi="Times New Roman"/>
          <w:sz w:val="21"/>
          <w:szCs w:val="21"/>
          <w:b w:val="1"/>
          <w:bCs w:val="1"/>
          <w:color w:val="auto"/>
        </w:rPr>
        <w:t>(Vic) for preparation of Action Statements (showing December 2019 status).</w:t>
      </w:r>
    </w:p>
    <w:p>
      <w:pPr>
        <w:spacing w:after="0" w:line="200" w:lineRule="exact"/>
        <w:rPr>
          <w:sz w:val="20"/>
          <w:szCs w:val="20"/>
          <w:color w:val="auto"/>
        </w:rPr>
      </w:pPr>
    </w:p>
    <w:p>
      <w:pPr>
        <w:spacing w:after="0" w:line="227" w:lineRule="exact"/>
        <w:rPr>
          <w:sz w:val="20"/>
          <w:szCs w:val="20"/>
          <w:color w:val="auto"/>
        </w:rPr>
      </w:pPr>
    </w:p>
    <w:tbl>
      <w:tblPr>
        <w:tblLayout w:type="fixed"/>
        <w:tblInd w:w="10" w:type="dxa"/>
        <w:tblCellMar>
          <w:top w:w="0" w:type="dxa"/>
          <w:left w:w="0" w:type="dxa"/>
          <w:bottom w:w="0" w:type="dxa"/>
          <w:right w:w="0" w:type="dxa"/>
        </w:tblCellMar>
      </w:tblPr>
      <w:tr>
        <w:trPr>
          <w:trHeight w:val="401"/>
        </w:trPr>
        <w:tc>
          <w:tcPr>
            <w:tcW w:w="568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Potentially Threatening Process</w:t>
            </w:r>
          </w:p>
        </w:tc>
        <w:tc>
          <w:tcPr>
            <w:tcW w:w="340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Action Statement status</w:t>
            </w:r>
          </w:p>
        </w:tc>
      </w:tr>
      <w:tr>
        <w:trPr>
          <w:trHeight w:val="410"/>
        </w:trPr>
        <w:tc>
          <w:tcPr>
            <w:tcW w:w="5680" w:type="dxa"/>
            <w:vAlign w:val="bottom"/>
            <w:tcBorders>
              <w:left w:val="single" w:sz="8" w:color="auto"/>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(December 2019)</w:t>
            </w:r>
          </w:p>
        </w:tc>
      </w:tr>
      <w:tr>
        <w:trPr>
          <w:trHeight w:val="40"/>
        </w:trPr>
        <w:tc>
          <w:tcPr>
            <w:tcW w:w="5680" w:type="dxa"/>
            <w:vAlign w:val="bottom"/>
            <w:tcBorders>
              <w:left w:val="single" w:sz="8" w:color="auto"/>
              <w:bottom w:val="single" w:sz="8" w:color="auto"/>
              <w:right w:val="single" w:sz="8" w:color="auto"/>
            </w:tcBorders>
          </w:tcPr>
          <w:p>
            <w:pPr>
              <w:spacing w:after="0"/>
              <w:rPr>
                <w:sz w:val="3"/>
                <w:szCs w:val="3"/>
                <w:color w:val="auto"/>
              </w:rPr>
            </w:pPr>
          </w:p>
        </w:tc>
        <w:tc>
          <w:tcPr>
            <w:tcW w:w="3400" w:type="dxa"/>
            <w:vAlign w:val="bottom"/>
            <w:tcBorders>
              <w:bottom w:val="single" w:sz="8" w:color="auto"/>
              <w:right w:val="single" w:sz="8" w:color="auto"/>
            </w:tcBorders>
          </w:tcPr>
          <w:p>
            <w:pPr>
              <w:spacing w:after="0"/>
              <w:rPr>
                <w:sz w:val="3"/>
                <w:szCs w:val="3"/>
                <w:color w:val="auto"/>
              </w:rPr>
            </w:pPr>
          </w:p>
        </w:tc>
      </w:tr>
      <w:tr>
        <w:trPr>
          <w:trHeight w:val="360"/>
        </w:trPr>
        <w:tc>
          <w:tcPr>
            <w:tcW w:w="5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Loss of hollow-bearing trees from Victorian Native Forests</w:t>
            </w: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2003</w:t>
            </w:r>
          </w:p>
        </w:tc>
      </w:tr>
      <w:tr>
        <w:trPr>
          <w:trHeight w:val="247"/>
        </w:trPr>
        <w:tc>
          <w:tcPr>
            <w:tcW w:w="5680" w:type="dxa"/>
            <w:vAlign w:val="bottom"/>
            <w:tcBorders>
              <w:left w:val="single" w:sz="8" w:color="auto"/>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r>
      <w:tr>
        <w:trPr>
          <w:trHeight w:val="360"/>
        </w:trPr>
        <w:tc>
          <w:tcPr>
            <w:tcW w:w="5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Increase in sediment input into Victorian rivers and streams</w:t>
            </w: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Action Statement approved 2003</w:t>
            </w:r>
          </w:p>
        </w:tc>
      </w:tr>
      <w:tr>
        <w:trPr>
          <w:trHeight w:val="290"/>
        </w:trPr>
        <w:tc>
          <w:tcPr>
            <w:tcW w:w="5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due to human activities</w:t>
            </w:r>
          </w:p>
        </w:tc>
        <w:tc>
          <w:tcPr>
            <w:tcW w:w="3400" w:type="dxa"/>
            <w:vAlign w:val="bottom"/>
            <w:tcBorders>
              <w:right w:val="single" w:sz="8" w:color="auto"/>
            </w:tcBorders>
          </w:tcPr>
          <w:p>
            <w:pPr>
              <w:spacing w:after="0"/>
              <w:rPr>
                <w:sz w:val="24"/>
                <w:szCs w:val="24"/>
                <w:color w:val="auto"/>
              </w:rPr>
            </w:pPr>
          </w:p>
        </w:tc>
      </w:tr>
      <w:tr>
        <w:trPr>
          <w:trHeight w:val="247"/>
        </w:trPr>
        <w:tc>
          <w:tcPr>
            <w:tcW w:w="5680" w:type="dxa"/>
            <w:vAlign w:val="bottom"/>
            <w:tcBorders>
              <w:left w:val="single" w:sz="8" w:color="auto"/>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r>
      <w:tr>
        <w:trPr>
          <w:trHeight w:val="360"/>
        </w:trPr>
        <w:tc>
          <w:tcPr>
            <w:tcW w:w="5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Invasion of native vegetation by environmental weeds</w:t>
            </w: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r>
      <w:tr>
        <w:trPr>
          <w:trHeight w:val="291"/>
        </w:trPr>
        <w:tc>
          <w:tcPr>
            <w:tcW w:w="5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 xml:space="preserve">(including “Spread of </w:t>
            </w:r>
            <w:r>
              <w:rPr>
                <w:rFonts w:ascii="Times New Roman" w:cs="Times New Roman" w:eastAsia="Times New Roman" w:hAnsi="Times New Roman"/>
                <w:sz w:val="22"/>
                <w:szCs w:val="22"/>
                <w:i w:val="1"/>
                <w:iCs w:val="1"/>
                <w:color w:val="auto"/>
              </w:rPr>
              <w:t>Pittosporum undulatum</w:t>
            </w:r>
            <w:r>
              <w:rPr>
                <w:rFonts w:ascii="Times New Roman" w:cs="Times New Roman" w:eastAsia="Times New Roman" w:hAnsi="Times New Roman"/>
                <w:sz w:val="22"/>
                <w:szCs w:val="22"/>
                <w:color w:val="auto"/>
              </w:rPr>
              <w:t xml:space="preserve"> in areas outside</w:t>
            </w:r>
          </w:p>
        </w:tc>
        <w:tc>
          <w:tcPr>
            <w:tcW w:w="3400" w:type="dxa"/>
            <w:vAlign w:val="bottom"/>
            <w:tcBorders>
              <w:right w:val="single" w:sz="8" w:color="auto"/>
            </w:tcBorders>
          </w:tcPr>
          <w:p>
            <w:pPr>
              <w:spacing w:after="0"/>
              <w:rPr>
                <w:sz w:val="24"/>
                <w:szCs w:val="24"/>
                <w:color w:val="auto"/>
              </w:rPr>
            </w:pPr>
          </w:p>
        </w:tc>
      </w:tr>
      <w:tr>
        <w:trPr>
          <w:trHeight w:val="293"/>
        </w:trPr>
        <w:tc>
          <w:tcPr>
            <w:tcW w:w="5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its natural range”)</w:t>
            </w:r>
          </w:p>
        </w:tc>
        <w:tc>
          <w:tcPr>
            <w:tcW w:w="3400" w:type="dxa"/>
            <w:vAlign w:val="bottom"/>
            <w:tcBorders>
              <w:right w:val="single" w:sz="8" w:color="auto"/>
            </w:tcBorders>
          </w:tcPr>
          <w:p>
            <w:pPr>
              <w:spacing w:after="0"/>
              <w:rPr>
                <w:sz w:val="24"/>
                <w:szCs w:val="24"/>
                <w:color w:val="auto"/>
              </w:rPr>
            </w:pPr>
          </w:p>
        </w:tc>
      </w:tr>
      <w:tr>
        <w:trPr>
          <w:trHeight w:val="244"/>
        </w:trPr>
        <w:tc>
          <w:tcPr>
            <w:tcW w:w="5680" w:type="dxa"/>
            <w:vAlign w:val="bottom"/>
            <w:tcBorders>
              <w:left w:val="single" w:sz="8" w:color="auto"/>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r>
      <w:tr>
        <w:trPr>
          <w:trHeight w:val="360"/>
        </w:trPr>
        <w:tc>
          <w:tcPr>
            <w:tcW w:w="568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Collection of native orchids</w:t>
            </w: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No Action Statement</w:t>
            </w:r>
          </w:p>
        </w:tc>
      </w:tr>
      <w:tr>
        <w:trPr>
          <w:trHeight w:val="247"/>
        </w:trPr>
        <w:tc>
          <w:tcPr>
            <w:tcW w:w="5680" w:type="dxa"/>
            <w:vAlign w:val="bottom"/>
            <w:tcBorders>
              <w:left w:val="single" w:sz="8" w:color="auto"/>
              <w:bottom w:val="single" w:sz="8" w:color="auto"/>
              <w:right w:val="single" w:sz="8" w:color="auto"/>
            </w:tcBorders>
          </w:tcPr>
          <w:p>
            <w:pPr>
              <w:spacing w:after="0"/>
              <w:rPr>
                <w:sz w:val="21"/>
                <w:szCs w:val="21"/>
                <w:color w:val="auto"/>
              </w:rPr>
            </w:pPr>
          </w:p>
        </w:tc>
        <w:tc>
          <w:tcPr>
            <w:tcW w:w="3400" w:type="dxa"/>
            <w:vAlign w:val="bottom"/>
            <w:tcBorders>
              <w:bottom w:val="single" w:sz="8" w:color="auto"/>
              <w:right w:val="single" w:sz="8" w:color="auto"/>
            </w:tcBorders>
          </w:tcPr>
          <w:p>
            <w:pPr>
              <w:spacing w:after="0"/>
              <w:rPr>
                <w:sz w:val="21"/>
                <w:szCs w:val="21"/>
                <w:color w:val="auto"/>
              </w:rPr>
            </w:pPr>
          </w:p>
        </w:tc>
      </w:tr>
    </w:tbl>
    <w:p>
      <w:pPr>
        <w:spacing w:after="0" w:line="232" w:lineRule="exact"/>
        <w:rPr>
          <w:sz w:val="20"/>
          <w:szCs w:val="20"/>
          <w:color w:val="auto"/>
        </w:rPr>
      </w:pPr>
    </w:p>
    <w:p>
      <w:pPr>
        <w:jc w:val="center"/>
        <w:ind w:right="40"/>
        <w:spacing w:after="0"/>
        <w:rPr>
          <w:sz w:val="20"/>
          <w:szCs w:val="20"/>
          <w:color w:val="auto"/>
        </w:rPr>
      </w:pPr>
      <w:r>
        <w:rPr>
          <w:rFonts w:ascii="Calibri" w:cs="Calibri" w:eastAsia="Calibri" w:hAnsi="Calibri"/>
          <w:sz w:val="22"/>
          <w:szCs w:val="22"/>
          <w:color w:val="auto"/>
        </w:rPr>
        <w:t>68</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80"/>
          </w:cols>
          <w:pgMar w:left="1440" w:top="1420" w:right="1386" w:bottom="147" w:gutter="0" w:footer="0" w:header="0"/>
        </w:sectPr>
      </w:pPr>
    </w:p>
    <w:bookmarkStart w:id="68" w:name="page69"/>
    <w:bookmarkEnd w:id="68"/>
    <w:p>
      <w:pPr>
        <w:spacing w:after="0" w:line="13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914400</wp:posOffset>
                </wp:positionH>
                <wp:positionV relativeFrom="page">
                  <wp:posOffset>918845</wp:posOffset>
                </wp:positionV>
                <wp:extent cx="577088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7088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2pt,72.35pt" to="526.4pt,72.35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923290</wp:posOffset>
                </wp:positionH>
                <wp:positionV relativeFrom="page">
                  <wp:posOffset>914400</wp:posOffset>
                </wp:positionV>
                <wp:extent cx="0" cy="60007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00075"/>
                        </a:xfrm>
                        <a:prstGeom prst="line">
                          <a:avLst/>
                        </a:prstGeom>
                        <a:solidFill>
                          <a:srgbClr val="FFFFFF"/>
                        </a:solidFill>
                        <a:ln w="18287">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2.7pt,72pt" to="72.7pt,119.25pt" o:allowincell="f" strokecolor="#000000" strokeweight="1.4399pt">
                <w10:wrap anchorx="page" anchory="page"/>
              </v:line>
            </w:pict>
          </mc:Fallback>
        </mc:AlternateContent>
        <mc:AlternateContent>
          <mc:Choice Requires="wps">
            <w:drawing>
              <wp:anchor simplePos="0" relativeHeight="251657728" behindDoc="1" locked="0" layoutInCell="0" allowOverlap="1">
                <wp:simplePos x="0" y="0"/>
                <wp:positionH relativeFrom="page">
                  <wp:posOffset>4512945</wp:posOffset>
                </wp:positionH>
                <wp:positionV relativeFrom="page">
                  <wp:posOffset>914400</wp:posOffset>
                </wp:positionV>
                <wp:extent cx="0" cy="60007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00075"/>
                        </a:xfrm>
                        <a:prstGeom prst="line">
                          <a:avLst/>
                        </a:prstGeom>
                        <a:solidFill>
                          <a:srgbClr val="FFFFFF"/>
                        </a:solidFill>
                        <a:ln w="9144">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35pt,72pt" to="355.35pt,119.25pt" o:allowincell="f" strokecolor="#000000" strokeweight="0.72pt">
                <w10:wrap anchorx="page" anchory="page"/>
              </v:line>
            </w:pict>
          </mc:Fallback>
        </mc:AlternateContent>
        <mc:AlternateContent>
          <mc:Choice Requires="wps">
            <w:drawing>
              <wp:anchor simplePos="0" relativeHeight="251657728" behindDoc="1" locked="0" layoutInCell="0" allowOverlap="1">
                <wp:simplePos x="0" y="0"/>
                <wp:positionH relativeFrom="page">
                  <wp:posOffset>6676390</wp:posOffset>
                </wp:positionH>
                <wp:positionV relativeFrom="page">
                  <wp:posOffset>914400</wp:posOffset>
                </wp:positionV>
                <wp:extent cx="0" cy="60007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00075"/>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5.7pt,72pt" to="525.7pt,119.25pt" o:allowincell="f" strokecolor="#000000" strokeweight="1.44pt">
                <w10:wrap anchorx="page" anchory="page"/>
              </v:line>
            </w:pict>
          </mc:Fallback>
        </mc:AlternateContent>
      </w:r>
    </w:p>
    <w:p>
      <w:pPr>
        <w:ind w:left="40" w:right="1520"/>
        <w:spacing w:after="0" w:line="264" w:lineRule="auto"/>
        <w:rPr>
          <w:sz w:val="20"/>
          <w:szCs w:val="20"/>
          <w:color w:val="auto"/>
        </w:rPr>
      </w:pPr>
      <w:r>
        <w:rPr>
          <w:rFonts w:ascii="Times New Roman" w:cs="Times New Roman" w:eastAsia="Times New Roman" w:hAnsi="Times New Roman"/>
          <w:sz w:val="22"/>
          <w:szCs w:val="22"/>
          <w:color w:val="auto"/>
        </w:rPr>
        <w:t xml:space="preserve">Use of </w:t>
      </w:r>
      <w:r>
        <w:rPr>
          <w:rFonts w:ascii="Times New Roman" w:cs="Times New Roman" w:eastAsia="Times New Roman" w:hAnsi="Times New Roman"/>
          <w:sz w:val="22"/>
          <w:szCs w:val="22"/>
          <w:i w:val="1"/>
          <w:iCs w:val="1"/>
          <w:color w:val="auto"/>
        </w:rPr>
        <w:t>Phytophthora</w:t>
      </w:r>
      <w:r>
        <w:rPr>
          <w:rFonts w:ascii="Times New Roman" w:cs="Times New Roman" w:eastAsia="Times New Roman" w:hAnsi="Times New Roman"/>
          <w:sz w:val="22"/>
          <w:szCs w:val="22"/>
          <w:color w:val="auto"/>
        </w:rPr>
        <w:t>-infected gravel in construction of roads, No Action Statement bridges and reservoirs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149860</wp:posOffset>
                </wp:positionV>
                <wp:extent cx="577088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770880" cy="4763"/>
                        </a:xfrm>
                        <a:prstGeom prst="line">
                          <a:avLst/>
                        </a:prstGeom>
                        <a:solidFill>
                          <a:srgbClr val="FFFFFF"/>
                        </a:solidFill>
                        <a:ln w="18288">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8pt" to="454.4pt,11.8pt" o:allowincell="f" strokecolor="#000000" strokeweight="1.44pt"/>
            </w:pict>
          </mc:Fallback>
        </mc:AlternateContent>
      </w:r>
    </w:p>
    <w:p>
      <w:pPr>
        <w:spacing w:after="0" w:line="200" w:lineRule="exact"/>
        <w:rPr>
          <w:sz w:val="20"/>
          <w:szCs w:val="20"/>
          <w:color w:val="auto"/>
        </w:rPr>
      </w:pPr>
    </w:p>
    <w:p>
      <w:pPr>
        <w:spacing w:after="0" w:line="282" w:lineRule="exact"/>
        <w:rPr>
          <w:sz w:val="20"/>
          <w:szCs w:val="20"/>
          <w:color w:val="auto"/>
        </w:rPr>
      </w:pPr>
    </w:p>
    <w:p>
      <w:pPr>
        <w:ind w:right="40"/>
        <w:spacing w:after="0" w:line="264" w:lineRule="auto"/>
        <w:tabs>
          <w:tab w:leader="none" w:pos="271" w:val="left"/>
        </w:tabs>
        <w:numPr>
          <w:ilvl w:val="0"/>
          <w:numId w:val="157"/>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 xml:space="preserve">Priority for preparation of a Threat Abatement Plan as at 1998 under the </w:t>
      </w:r>
      <w:r>
        <w:rPr>
          <w:rFonts w:ascii="Times New Roman" w:cs="Times New Roman" w:eastAsia="Times New Roman" w:hAnsi="Times New Roman"/>
          <w:sz w:val="22"/>
          <w:szCs w:val="22"/>
          <w:b w:val="1"/>
          <w:bCs w:val="1"/>
          <w:i w:val="1"/>
          <w:iCs w:val="1"/>
          <w:color w:val="auto"/>
        </w:rPr>
        <w:t>Endangered Species</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b w:val="1"/>
          <w:bCs w:val="1"/>
          <w:i w:val="1"/>
          <w:iCs w:val="1"/>
          <w:color w:val="auto"/>
        </w:rPr>
        <w:t xml:space="preserve">Protection Act 1992 </w:t>
      </w:r>
      <w:r>
        <w:rPr>
          <w:rFonts w:ascii="Times New Roman" w:cs="Times New Roman" w:eastAsia="Times New Roman" w:hAnsi="Times New Roman"/>
          <w:sz w:val="22"/>
          <w:szCs w:val="22"/>
          <w:b w:val="1"/>
          <w:bCs w:val="1"/>
          <w:color w:val="auto"/>
        </w:rPr>
        <w:t>(showing December 2019 status under the EPBC Act).</w:t>
      </w:r>
    </w:p>
    <w:p>
      <w:pPr>
        <w:spacing w:after="0" w:line="195" w:lineRule="exact"/>
        <w:rPr>
          <w:sz w:val="20"/>
          <w:szCs w:val="20"/>
          <w:color w:val="auto"/>
        </w:rPr>
      </w:pPr>
    </w:p>
    <w:tbl>
      <w:tblPr>
        <w:tblLayout w:type="fixed"/>
        <w:tblInd w:w="10" w:type="dxa"/>
        <w:tblCellMar>
          <w:top w:w="0" w:type="dxa"/>
          <w:left w:w="0" w:type="dxa"/>
          <w:bottom w:w="0" w:type="dxa"/>
          <w:right w:w="0" w:type="dxa"/>
        </w:tblCellMar>
      </w:tblPr>
      <w:tr>
        <w:trPr>
          <w:trHeight w:val="281"/>
        </w:trPr>
        <w:tc>
          <w:tcPr>
            <w:tcW w:w="568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Key Threatening Processes</w:t>
            </w:r>
          </w:p>
        </w:tc>
        <w:tc>
          <w:tcPr>
            <w:tcW w:w="340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Threat Abatement Plan status</w:t>
            </w:r>
          </w:p>
        </w:tc>
      </w:tr>
      <w:tr>
        <w:trPr>
          <w:trHeight w:val="290"/>
        </w:trPr>
        <w:tc>
          <w:tcPr>
            <w:tcW w:w="5680" w:type="dxa"/>
            <w:vAlign w:val="bottom"/>
            <w:tcBorders>
              <w:left w:val="single" w:sz="8" w:color="auto"/>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(December 2019)</w:t>
            </w:r>
          </w:p>
        </w:tc>
      </w:tr>
      <w:tr>
        <w:trPr>
          <w:trHeight w:val="40"/>
        </w:trPr>
        <w:tc>
          <w:tcPr>
            <w:tcW w:w="5680" w:type="dxa"/>
            <w:vAlign w:val="bottom"/>
            <w:tcBorders>
              <w:left w:val="single" w:sz="8" w:color="auto"/>
              <w:bottom w:val="single" w:sz="8" w:color="auto"/>
              <w:right w:val="single" w:sz="8" w:color="auto"/>
            </w:tcBorders>
          </w:tcPr>
          <w:p>
            <w:pPr>
              <w:spacing w:after="0"/>
              <w:rPr>
                <w:sz w:val="3"/>
                <w:szCs w:val="3"/>
                <w:color w:val="auto"/>
              </w:rPr>
            </w:pPr>
          </w:p>
        </w:tc>
        <w:tc>
          <w:tcPr>
            <w:tcW w:w="3400" w:type="dxa"/>
            <w:vAlign w:val="bottom"/>
            <w:tcBorders>
              <w:bottom w:val="single" w:sz="8" w:color="auto"/>
              <w:right w:val="single" w:sz="8" w:color="auto"/>
            </w:tcBorders>
          </w:tcPr>
          <w:p>
            <w:pPr>
              <w:spacing w:after="0"/>
              <w:rPr>
                <w:sz w:val="3"/>
                <w:szCs w:val="3"/>
                <w:color w:val="auto"/>
              </w:rPr>
            </w:pPr>
          </w:p>
        </w:tc>
      </w:tr>
      <w:tr>
        <w:trPr>
          <w:trHeight w:val="240"/>
        </w:trPr>
        <w:tc>
          <w:tcPr>
            <w:tcW w:w="5680" w:type="dxa"/>
            <w:vAlign w:val="bottom"/>
            <w:tcBorders>
              <w:left w:val="single" w:sz="8" w:color="auto"/>
              <w:right w:val="single" w:sz="8" w:color="auto"/>
            </w:tcBorders>
          </w:tcPr>
          <w:p>
            <w:pPr>
              <w:ind w:left="40"/>
              <w:spacing w:after="0" w:line="240" w:lineRule="exact"/>
              <w:rPr>
                <w:sz w:val="20"/>
                <w:szCs w:val="20"/>
                <w:color w:val="auto"/>
              </w:rPr>
            </w:pPr>
            <w:r>
              <w:rPr>
                <w:rFonts w:ascii="Times New Roman" w:cs="Times New Roman" w:eastAsia="Times New Roman" w:hAnsi="Times New Roman"/>
                <w:sz w:val="22"/>
                <w:szCs w:val="22"/>
                <w:i w:val="1"/>
                <w:iCs w:val="1"/>
                <w:color w:val="auto"/>
              </w:rPr>
              <w:t xml:space="preserve">Phytophthora </w:t>
            </w:r>
            <w:r>
              <w:rPr>
                <w:rFonts w:ascii="Times New Roman" w:cs="Times New Roman" w:eastAsia="Times New Roman" w:hAnsi="Times New Roman"/>
                <w:sz w:val="22"/>
                <w:szCs w:val="22"/>
                <w:color w:val="auto"/>
              </w:rPr>
              <w:t>spp</w:t>
            </w:r>
          </w:p>
        </w:tc>
        <w:tc>
          <w:tcPr>
            <w:tcW w:w="3400" w:type="dxa"/>
            <w:vAlign w:val="bottom"/>
            <w:tcBorders>
              <w:right w:val="single" w:sz="8" w:color="auto"/>
            </w:tcBorders>
          </w:tcPr>
          <w:p>
            <w:pPr>
              <w:ind w:left="20"/>
              <w:spacing w:after="0" w:line="240" w:lineRule="exact"/>
              <w:rPr>
                <w:sz w:val="20"/>
                <w:szCs w:val="20"/>
                <w:color w:val="auto"/>
              </w:rPr>
            </w:pPr>
            <w:r>
              <w:rPr>
                <w:rFonts w:ascii="Times New Roman" w:cs="Times New Roman" w:eastAsia="Times New Roman" w:hAnsi="Times New Roman"/>
                <w:sz w:val="22"/>
                <w:szCs w:val="22"/>
                <w:color w:val="auto"/>
              </w:rPr>
              <w:t>Threat Abatement Plan for Dieback</w:t>
            </w:r>
          </w:p>
        </w:tc>
      </w:tr>
      <w:tr>
        <w:trPr>
          <w:trHeight w:val="293"/>
        </w:trPr>
        <w:tc>
          <w:tcPr>
            <w:tcW w:w="5680" w:type="dxa"/>
            <w:vAlign w:val="bottom"/>
            <w:tcBorders>
              <w:left w:val="single" w:sz="8" w:color="auto"/>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caused by the root-rot fungus</w:t>
            </w:r>
          </w:p>
        </w:tc>
      </w:tr>
      <w:tr>
        <w:trPr>
          <w:trHeight w:val="291"/>
        </w:trPr>
        <w:tc>
          <w:tcPr>
            <w:tcW w:w="5680" w:type="dxa"/>
            <w:vAlign w:val="bottom"/>
            <w:tcBorders>
              <w:left w:val="single" w:sz="8" w:color="auto"/>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w:t>
            </w:r>
            <w:r>
              <w:rPr>
                <w:rFonts w:ascii="Times New Roman" w:cs="Times New Roman" w:eastAsia="Times New Roman" w:hAnsi="Times New Roman"/>
                <w:sz w:val="22"/>
                <w:szCs w:val="22"/>
                <w:i w:val="1"/>
                <w:iCs w:val="1"/>
                <w:color w:val="auto"/>
              </w:rPr>
              <w:t>Phytophthora cinnamomi</w:t>
            </w:r>
            <w:r>
              <w:rPr>
                <w:rFonts w:ascii="Times New Roman" w:cs="Times New Roman" w:eastAsia="Times New Roman" w:hAnsi="Times New Roman"/>
                <w:sz w:val="22"/>
                <w:szCs w:val="22"/>
                <w:color w:val="auto"/>
              </w:rPr>
              <w:t>) approved</w:t>
            </w:r>
          </w:p>
        </w:tc>
      </w:tr>
      <w:tr>
        <w:trPr>
          <w:trHeight w:val="290"/>
        </w:trPr>
        <w:tc>
          <w:tcPr>
            <w:tcW w:w="5680" w:type="dxa"/>
            <w:vAlign w:val="bottom"/>
            <w:tcBorders>
              <w:left w:val="single" w:sz="8" w:color="auto"/>
              <w:right w:val="single" w:sz="8" w:color="auto"/>
            </w:tcBorders>
          </w:tcPr>
          <w:p>
            <w:pPr>
              <w:spacing w:after="0"/>
              <w:rPr>
                <w:sz w:val="24"/>
                <w:szCs w:val="24"/>
                <w:color w:val="auto"/>
              </w:rPr>
            </w:pPr>
          </w:p>
        </w:tc>
        <w:tc>
          <w:tcPr>
            <w:tcW w:w="340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2014</w:t>
            </w:r>
          </w:p>
        </w:tc>
      </w:tr>
      <w:tr>
        <w:trPr>
          <w:trHeight w:val="253"/>
        </w:trPr>
        <w:tc>
          <w:tcPr>
            <w:tcW w:w="5680" w:type="dxa"/>
            <w:vAlign w:val="bottom"/>
            <w:tcBorders>
              <w:left w:val="single" w:sz="8" w:color="auto"/>
              <w:bottom w:val="single" w:sz="8" w:color="auto"/>
              <w:right w:val="single" w:sz="8" w:color="auto"/>
            </w:tcBorders>
          </w:tcPr>
          <w:p>
            <w:pPr>
              <w:spacing w:after="0"/>
              <w:rPr>
                <w:sz w:val="22"/>
                <w:szCs w:val="22"/>
                <w:color w:val="auto"/>
              </w:rPr>
            </w:pPr>
          </w:p>
        </w:tc>
        <w:tc>
          <w:tcPr>
            <w:tcW w:w="3400" w:type="dxa"/>
            <w:vAlign w:val="bottom"/>
            <w:tcBorders>
              <w:bottom w:val="single" w:sz="8" w:color="auto"/>
              <w:right w:val="single" w:sz="8" w:color="auto"/>
            </w:tcBorders>
          </w:tcPr>
          <w:p>
            <w:pPr>
              <w:spacing w:after="0"/>
              <w:rPr>
                <w:sz w:val="22"/>
                <w:szCs w:val="22"/>
                <w:color w:val="auto"/>
              </w:rPr>
            </w:pPr>
          </w:p>
        </w:tc>
      </w:tr>
    </w:tbl>
    <w:p>
      <w:pPr>
        <w:spacing w:after="0" w:line="251" w:lineRule="exact"/>
        <w:rPr>
          <w:sz w:val="20"/>
          <w:szCs w:val="20"/>
          <w:color w:val="auto"/>
        </w:rPr>
      </w:pPr>
    </w:p>
    <w:p>
      <w:pPr>
        <w:ind w:right="220"/>
        <w:spacing w:after="0" w:line="264" w:lineRule="auto"/>
        <w:tabs>
          <w:tab w:leader="none" w:pos="276" w:val="left"/>
        </w:tabs>
        <w:numPr>
          <w:ilvl w:val="0"/>
          <w:numId w:val="158"/>
        </w:numPr>
        <w:rPr>
          <w:rFonts w:ascii="Times New Roman" w:cs="Times New Roman" w:eastAsia="Times New Roman" w:hAnsi="Times New Roman"/>
          <w:sz w:val="22"/>
          <w:szCs w:val="22"/>
          <w:b w:val="1"/>
          <w:bCs w:val="1"/>
          <w:color w:val="auto"/>
        </w:rPr>
      </w:pPr>
      <w:r>
        <w:rPr>
          <w:rFonts w:ascii="Times New Roman" w:cs="Times New Roman" w:eastAsia="Times New Roman" w:hAnsi="Times New Roman"/>
          <w:sz w:val="22"/>
          <w:szCs w:val="22"/>
          <w:b w:val="1"/>
          <w:bCs w:val="1"/>
          <w:color w:val="auto"/>
        </w:rPr>
        <w:t>Priority species as at 1998 for preparation of an Action Statement / Recovery Plan (showing December 2019 status).</w:t>
      </w:r>
    </w:p>
    <w:p>
      <w:pPr>
        <w:spacing w:after="0" w:line="197" w:lineRule="exact"/>
        <w:rPr>
          <w:sz w:val="20"/>
          <w:szCs w:val="20"/>
          <w:color w:val="auto"/>
        </w:rPr>
      </w:pPr>
    </w:p>
    <w:tbl>
      <w:tblPr>
        <w:tblLayout w:type="fixed"/>
        <w:tblInd w:w="10" w:type="dxa"/>
        <w:tblCellMar>
          <w:top w:w="0" w:type="dxa"/>
          <w:left w:w="0" w:type="dxa"/>
          <w:bottom w:w="0" w:type="dxa"/>
          <w:right w:w="0" w:type="dxa"/>
        </w:tblCellMar>
      </w:tblPr>
      <w:tr>
        <w:trPr>
          <w:trHeight w:val="380"/>
        </w:trPr>
        <w:tc>
          <w:tcPr>
            <w:tcW w:w="270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b w:val="1"/>
                <w:bCs w:val="1"/>
                <w:color w:val="auto"/>
              </w:rPr>
              <w:t>Scientific name</w:t>
            </w:r>
          </w:p>
        </w:tc>
        <w:tc>
          <w:tcPr>
            <w:tcW w:w="228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b w:val="1"/>
                <w:bCs w:val="1"/>
                <w:color w:val="auto"/>
              </w:rPr>
              <w:t>Common Name</w:t>
            </w:r>
          </w:p>
        </w:tc>
        <w:tc>
          <w:tcPr>
            <w:tcW w:w="1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Action</w:t>
            </w:r>
          </w:p>
        </w:tc>
        <w:tc>
          <w:tcPr>
            <w:tcW w:w="22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Status of Action</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w w:val="99"/>
              </w:rPr>
              <w:t>Statement / Recovery</w:t>
            </w:r>
          </w:p>
        </w:tc>
        <w:tc>
          <w:tcPr>
            <w:tcW w:w="0" w:type="dxa"/>
            <w:vAlign w:val="bottom"/>
          </w:tcPr>
          <w:p>
            <w:pPr>
              <w:spacing w:after="0"/>
              <w:rPr>
                <w:sz w:val="1"/>
                <w:szCs w:val="1"/>
                <w:color w:val="auto"/>
              </w:rPr>
            </w:pPr>
          </w:p>
        </w:tc>
      </w:tr>
      <w:tr>
        <w:trPr>
          <w:trHeight w:val="293"/>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rPr>
              <w:t>Plan</w:t>
            </w:r>
          </w:p>
        </w:tc>
        <w:tc>
          <w:tcPr>
            <w:tcW w:w="0" w:type="dxa"/>
            <w:vAlign w:val="bottom"/>
          </w:tcPr>
          <w:p>
            <w:pPr>
              <w:spacing w:after="0"/>
              <w:rPr>
                <w:sz w:val="1"/>
                <w:szCs w:val="1"/>
                <w:color w:val="auto"/>
              </w:rPr>
            </w:pPr>
          </w:p>
        </w:tc>
      </w:tr>
      <w:tr>
        <w:trPr>
          <w:trHeight w:val="411"/>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b w:val="1"/>
                <w:bCs w:val="1"/>
                <w:color w:val="auto"/>
              </w:rPr>
              <w:t>(December 2019)</w:t>
            </w:r>
          </w:p>
        </w:tc>
        <w:tc>
          <w:tcPr>
            <w:tcW w:w="0" w:type="dxa"/>
            <w:vAlign w:val="bottom"/>
          </w:tcPr>
          <w:p>
            <w:pPr>
              <w:spacing w:after="0"/>
              <w:rPr>
                <w:sz w:val="1"/>
                <w:szCs w:val="1"/>
                <w:color w:val="auto"/>
              </w:rPr>
            </w:pPr>
          </w:p>
        </w:tc>
      </w:tr>
      <w:tr>
        <w:trPr>
          <w:trHeight w:val="40"/>
        </w:trPr>
        <w:tc>
          <w:tcPr>
            <w:tcW w:w="2700" w:type="dxa"/>
            <w:vAlign w:val="bottom"/>
            <w:tcBorders>
              <w:left w:val="single" w:sz="8" w:color="auto"/>
              <w:bottom w:val="single" w:sz="8" w:color="auto"/>
              <w:right w:val="single" w:sz="8" w:color="auto"/>
            </w:tcBorders>
          </w:tcPr>
          <w:p>
            <w:pPr>
              <w:spacing w:after="0"/>
              <w:rPr>
                <w:sz w:val="3"/>
                <w:szCs w:val="3"/>
                <w:color w:val="auto"/>
              </w:rPr>
            </w:pPr>
          </w:p>
        </w:tc>
        <w:tc>
          <w:tcPr>
            <w:tcW w:w="2280" w:type="dxa"/>
            <w:vAlign w:val="bottom"/>
            <w:tcBorders>
              <w:bottom w:val="single" w:sz="8" w:color="auto"/>
              <w:right w:val="single" w:sz="8" w:color="auto"/>
            </w:tcBorders>
          </w:tcPr>
          <w:p>
            <w:pPr>
              <w:spacing w:after="0"/>
              <w:rPr>
                <w:sz w:val="3"/>
                <w:szCs w:val="3"/>
                <w:color w:val="auto"/>
              </w:rPr>
            </w:pPr>
          </w:p>
        </w:tc>
        <w:tc>
          <w:tcPr>
            <w:tcW w:w="1840" w:type="dxa"/>
            <w:vAlign w:val="bottom"/>
            <w:tcBorders>
              <w:bottom w:val="single" w:sz="8" w:color="auto"/>
              <w:right w:val="single" w:sz="8" w:color="auto"/>
            </w:tcBorders>
          </w:tcPr>
          <w:p>
            <w:pPr>
              <w:spacing w:after="0"/>
              <w:rPr>
                <w:sz w:val="3"/>
                <w:szCs w:val="3"/>
                <w:color w:val="auto"/>
              </w:rPr>
            </w:pPr>
          </w:p>
        </w:tc>
        <w:tc>
          <w:tcPr>
            <w:tcW w:w="2260" w:type="dxa"/>
            <w:vAlign w:val="bottom"/>
            <w:tcBorders>
              <w:bottom w:val="single" w:sz="8" w:color="auto"/>
              <w:right w:val="single" w:sz="8" w:color="auto"/>
            </w:tcBorders>
          </w:tcPr>
          <w:p>
            <w:pPr>
              <w:spacing w:after="0"/>
              <w:rPr>
                <w:sz w:val="3"/>
                <w:szCs w:val="3"/>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Eucalyptus crenulata</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Buxton Gum</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22 December 2006</w:t>
            </w: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Astelia australiana</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Tall Astelia</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16 December 2010</w:t>
            </w: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Phebalium wilsonii </w:t>
            </w:r>
            <w:r>
              <w:rPr>
                <w:rFonts w:ascii="Times New Roman" w:cs="Times New Roman" w:eastAsia="Times New Roman" w:hAnsi="Times New Roman"/>
                <w:sz w:val="22"/>
                <w:szCs w:val="22"/>
                <w:color w:val="auto"/>
              </w:rPr>
              <w:t>(now</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Shiny Phebalium (now</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color w:val="auto"/>
              </w:rPr>
              <w:t xml:space="preserve">listed as </w:t>
            </w:r>
            <w:r>
              <w:rPr>
                <w:rFonts w:ascii="Times New Roman" w:cs="Times New Roman" w:eastAsia="Times New Roman" w:hAnsi="Times New Roman"/>
                <w:sz w:val="22"/>
                <w:szCs w:val="22"/>
                <w:i w:val="1"/>
                <w:iCs w:val="1"/>
                <w:color w:val="auto"/>
              </w:rPr>
              <w:t>Nematolepis</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listed as Shiny</w:t>
            </w: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2008</w:t>
            </w:r>
          </w:p>
        </w:tc>
        <w:tc>
          <w:tcPr>
            <w:tcW w:w="0" w:type="dxa"/>
            <w:vAlign w:val="bottom"/>
          </w:tcPr>
          <w:p>
            <w:pPr>
              <w:spacing w:after="0"/>
              <w:rPr>
                <w:sz w:val="1"/>
                <w:szCs w:val="1"/>
                <w:color w:val="auto"/>
              </w:rPr>
            </w:pPr>
          </w:p>
        </w:tc>
      </w:tr>
      <w:tr>
        <w:trPr>
          <w:trHeight w:val="293"/>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wilsonii</w:t>
            </w:r>
            <w:r>
              <w:rPr>
                <w:rFonts w:ascii="Times New Roman" w:cs="Times New Roman" w:eastAsia="Times New Roman" w:hAnsi="Times New Roman"/>
                <w:sz w:val="22"/>
                <w:szCs w:val="22"/>
                <w:color w:val="auto"/>
              </w:rPr>
              <w:t>)</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Nematolepis)</w:t>
            </w: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5"/>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Thismia rodwayi</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Fairy Lanterns</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No Action statement</w:t>
            </w: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Caladenia concolor</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Crimson Spider orchid</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2003</w:t>
            </w:r>
          </w:p>
        </w:tc>
        <w:tc>
          <w:tcPr>
            <w:tcW w:w="0" w:type="dxa"/>
            <w:vAlign w:val="bottom"/>
          </w:tcPr>
          <w:p>
            <w:pPr>
              <w:spacing w:after="0"/>
              <w:rPr>
                <w:sz w:val="1"/>
                <w:szCs w:val="1"/>
                <w:color w:val="auto"/>
              </w:rPr>
            </w:pPr>
          </w:p>
        </w:tc>
      </w:tr>
      <w:tr>
        <w:trPr>
          <w:trHeight w:val="199"/>
        </w:trPr>
        <w:tc>
          <w:tcPr>
            <w:tcW w:w="2700" w:type="dxa"/>
            <w:vAlign w:val="bottom"/>
            <w:tcBorders>
              <w:left w:val="single" w:sz="8" w:color="auto"/>
              <w:right w:val="single" w:sz="8" w:color="auto"/>
            </w:tcBorders>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1840" w:type="dxa"/>
            <w:vAlign w:val="bottom"/>
            <w:tcBorders>
              <w:right w:val="single" w:sz="8" w:color="auto"/>
            </w:tcBorders>
            <w:vMerge w:val="continue"/>
          </w:tcPr>
          <w:p>
            <w:pPr>
              <w:spacing w:after="0"/>
              <w:rPr>
                <w:sz w:val="17"/>
                <w:szCs w:val="17"/>
                <w:color w:val="auto"/>
              </w:rPr>
            </w:pPr>
          </w:p>
        </w:tc>
        <w:tc>
          <w:tcPr>
            <w:tcW w:w="2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93"/>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18 August 2004</w:t>
            </w:r>
          </w:p>
        </w:tc>
        <w:tc>
          <w:tcPr>
            <w:tcW w:w="0" w:type="dxa"/>
            <w:vAlign w:val="bottom"/>
          </w:tcPr>
          <w:p>
            <w:pPr>
              <w:spacing w:after="0"/>
              <w:rPr>
                <w:sz w:val="1"/>
                <w:szCs w:val="1"/>
                <w:color w:val="auto"/>
              </w:rPr>
            </w:pP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7"/>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Caladenia rosella</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Rosella Spider-orchid</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"Twelve-threatened</w:t>
            </w:r>
          </w:p>
        </w:tc>
        <w:tc>
          <w:tcPr>
            <w:tcW w:w="0" w:type="dxa"/>
            <w:vAlign w:val="bottom"/>
          </w:tcPr>
          <w:p>
            <w:pPr>
              <w:spacing w:after="0"/>
              <w:rPr>
                <w:sz w:val="1"/>
                <w:szCs w:val="1"/>
                <w:color w:val="auto"/>
              </w:rPr>
            </w:pPr>
          </w:p>
        </w:tc>
      </w:tr>
      <w:tr>
        <w:trPr>
          <w:trHeight w:val="291"/>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Spider-orchids</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Caladenia species"</w:t>
            </w:r>
          </w:p>
        </w:tc>
        <w:tc>
          <w:tcPr>
            <w:tcW w:w="0" w:type="dxa"/>
            <w:vAlign w:val="bottom"/>
          </w:tcPr>
          <w:p>
            <w:pPr>
              <w:spacing w:after="0"/>
              <w:rPr>
                <w:sz w:val="1"/>
                <w:szCs w:val="1"/>
                <w:color w:val="auto"/>
              </w:rPr>
            </w:pPr>
          </w:p>
        </w:tc>
      </w:tr>
      <w:tr>
        <w:trPr>
          <w:trHeight w:val="293"/>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2000</w:t>
            </w:r>
          </w:p>
        </w:tc>
        <w:tc>
          <w:tcPr>
            <w:tcW w:w="0" w:type="dxa"/>
            <w:vAlign w:val="bottom"/>
          </w:tcPr>
          <w:p>
            <w:pPr>
              <w:spacing w:after="0"/>
              <w:rPr>
                <w:sz w:val="1"/>
                <w:szCs w:val="1"/>
                <w:color w:val="auto"/>
              </w:rPr>
            </w:pP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bl>
    <w:p>
      <w:pPr>
        <w:spacing w:after="0" w:line="390" w:lineRule="exact"/>
        <w:rPr>
          <w:sz w:val="20"/>
          <w:szCs w:val="20"/>
          <w:color w:val="auto"/>
        </w:rPr>
      </w:pPr>
    </w:p>
    <w:p>
      <w:pPr>
        <w:jc w:val="center"/>
        <w:ind w:right="40"/>
        <w:spacing w:after="0"/>
        <w:rPr>
          <w:sz w:val="20"/>
          <w:szCs w:val="20"/>
          <w:color w:val="auto"/>
        </w:rPr>
      </w:pPr>
      <w:r>
        <w:rPr>
          <w:rFonts w:ascii="Calibri" w:cs="Calibri" w:eastAsia="Calibri" w:hAnsi="Calibri"/>
          <w:sz w:val="22"/>
          <w:szCs w:val="22"/>
          <w:color w:val="auto"/>
        </w:rPr>
        <w:t>69</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80"/>
          </w:cols>
          <w:pgMar w:left="1440" w:top="1440" w:right="1386" w:bottom="147" w:gutter="0" w:footer="0" w:header="0"/>
        </w:sectPr>
      </w:pPr>
    </w:p>
    <w:bookmarkStart w:id="69" w:name="page70"/>
    <w:bookmarkEnd w:id="69"/>
    <w:tbl>
      <w:tblPr>
        <w:tblLayout w:type="fixed"/>
        <w:tblInd w:w="10" w:type="dxa"/>
        <w:tblCellMar>
          <w:top w:w="0" w:type="dxa"/>
          <w:left w:w="0" w:type="dxa"/>
          <w:bottom w:w="0" w:type="dxa"/>
          <w:right w:w="0" w:type="dxa"/>
        </w:tblCellMar>
      </w:tblPr>
      <w:tr>
        <w:trPr>
          <w:trHeight w:val="375"/>
        </w:trPr>
        <w:tc>
          <w:tcPr>
            <w:tcW w:w="270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Lepidium hyssopifolium</w:t>
            </w:r>
          </w:p>
        </w:tc>
        <w:tc>
          <w:tcPr>
            <w:tcW w:w="228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Basalt Pepper-cress</w:t>
            </w:r>
          </w:p>
        </w:tc>
        <w:tc>
          <w:tcPr>
            <w:tcW w:w="1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No Action Statement</w:t>
            </w:r>
          </w:p>
        </w:tc>
        <w:tc>
          <w:tcPr>
            <w:tcW w:w="0" w:type="dxa"/>
            <w:vAlign w:val="bottom"/>
          </w:tcPr>
          <w:p>
            <w:pPr>
              <w:spacing w:after="0"/>
              <w:rPr>
                <w:sz w:val="1"/>
                <w:szCs w:val="1"/>
                <w:color w:val="auto"/>
              </w:rPr>
            </w:pPr>
          </w:p>
        </w:tc>
      </w:tr>
      <w:tr>
        <w:trPr>
          <w:trHeight w:val="492"/>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13 August 2010</w:t>
            </w:r>
          </w:p>
        </w:tc>
        <w:tc>
          <w:tcPr>
            <w:tcW w:w="0" w:type="dxa"/>
            <w:vAlign w:val="bottom"/>
          </w:tcPr>
          <w:p>
            <w:pPr>
              <w:spacing w:after="0"/>
              <w:rPr>
                <w:sz w:val="1"/>
                <w:szCs w:val="1"/>
                <w:color w:val="auto"/>
              </w:rPr>
            </w:pP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7"/>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Amphibromus pithogastrus</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Swollen Swamp</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Wallaby-grass</w:t>
            </w: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2000</w:t>
            </w:r>
          </w:p>
        </w:tc>
        <w:tc>
          <w:tcPr>
            <w:tcW w:w="0" w:type="dxa"/>
            <w:vAlign w:val="bottom"/>
          </w:tcPr>
          <w:p>
            <w:pPr>
              <w:spacing w:after="0"/>
              <w:rPr>
                <w:sz w:val="1"/>
                <w:szCs w:val="1"/>
                <w:color w:val="auto"/>
              </w:rPr>
            </w:pP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7"/>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Bracteantha </w:t>
            </w:r>
            <w:r>
              <w:rPr>
                <w:rFonts w:ascii="Times New Roman" w:cs="Times New Roman" w:eastAsia="Times New Roman" w:hAnsi="Times New Roman"/>
                <w:sz w:val="22"/>
                <w:szCs w:val="22"/>
                <w:color w:val="auto"/>
              </w:rPr>
              <w:t>sp. aff</w:t>
            </w:r>
            <w:r>
              <w:rPr>
                <w:rFonts w:ascii="Times New Roman" w:cs="Times New Roman" w:eastAsia="Times New Roman" w:hAnsi="Times New Roman"/>
                <w:sz w:val="22"/>
                <w:szCs w:val="22"/>
                <w:i w:val="1"/>
                <w:iCs w:val="1"/>
                <w:color w:val="auto"/>
              </w:rPr>
              <w:t>.</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Swamp Everlasting</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Subundulata </w:t>
            </w:r>
            <w:r>
              <w:rPr>
                <w:rFonts w:ascii="Times New Roman" w:cs="Times New Roman" w:eastAsia="Times New Roman" w:hAnsi="Times New Roman"/>
                <w:sz w:val="22"/>
                <w:szCs w:val="22"/>
                <w:color w:val="auto"/>
              </w:rPr>
              <w:t>(now listed as</w:t>
            </w: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2008</w:t>
            </w:r>
          </w:p>
        </w:tc>
        <w:tc>
          <w:tcPr>
            <w:tcW w:w="0" w:type="dxa"/>
            <w:vAlign w:val="bottom"/>
          </w:tcPr>
          <w:p>
            <w:pPr>
              <w:spacing w:after="0"/>
              <w:rPr>
                <w:sz w:val="1"/>
                <w:szCs w:val="1"/>
                <w:color w:val="auto"/>
              </w:rPr>
            </w:pPr>
          </w:p>
        </w:tc>
      </w:tr>
      <w:tr>
        <w:trPr>
          <w:trHeight w:val="291"/>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Xerochrysum palustre</w:t>
            </w:r>
            <w:r>
              <w:rPr>
                <w:rFonts w:ascii="Times New Roman" w:cs="Times New Roman" w:eastAsia="Times New Roman" w:hAnsi="Times New Roman"/>
                <w:sz w:val="22"/>
                <w:szCs w:val="22"/>
                <w:color w:val="auto"/>
              </w:rPr>
              <w:t>)</w:t>
            </w: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Carex tasmanica</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Curly Sedge</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2009</w:t>
            </w:r>
          </w:p>
        </w:tc>
        <w:tc>
          <w:tcPr>
            <w:tcW w:w="0" w:type="dxa"/>
            <w:vAlign w:val="bottom"/>
          </w:tcPr>
          <w:p>
            <w:pPr>
              <w:spacing w:after="0"/>
              <w:rPr>
                <w:sz w:val="1"/>
                <w:szCs w:val="1"/>
                <w:color w:val="auto"/>
              </w:rPr>
            </w:pPr>
          </w:p>
        </w:tc>
      </w:tr>
      <w:tr>
        <w:trPr>
          <w:trHeight w:val="199"/>
        </w:trPr>
        <w:tc>
          <w:tcPr>
            <w:tcW w:w="2700" w:type="dxa"/>
            <w:vAlign w:val="bottom"/>
            <w:tcBorders>
              <w:left w:val="single" w:sz="8" w:color="auto"/>
              <w:right w:val="single" w:sz="8" w:color="auto"/>
            </w:tcBorders>
          </w:tcPr>
          <w:p>
            <w:pPr>
              <w:spacing w:after="0"/>
              <w:rPr>
                <w:sz w:val="17"/>
                <w:szCs w:val="17"/>
                <w:color w:val="auto"/>
              </w:rPr>
            </w:pPr>
          </w:p>
        </w:tc>
        <w:tc>
          <w:tcPr>
            <w:tcW w:w="2280" w:type="dxa"/>
            <w:vAlign w:val="bottom"/>
            <w:tcBorders>
              <w:right w:val="single" w:sz="8" w:color="auto"/>
            </w:tcBorders>
          </w:tcPr>
          <w:p>
            <w:pPr>
              <w:spacing w:after="0"/>
              <w:rPr>
                <w:sz w:val="17"/>
                <w:szCs w:val="17"/>
                <w:color w:val="auto"/>
              </w:rPr>
            </w:pPr>
          </w:p>
        </w:tc>
        <w:tc>
          <w:tcPr>
            <w:tcW w:w="1840" w:type="dxa"/>
            <w:vAlign w:val="bottom"/>
            <w:tcBorders>
              <w:right w:val="single" w:sz="8" w:color="auto"/>
            </w:tcBorders>
            <w:vMerge w:val="continue"/>
          </w:tcPr>
          <w:p>
            <w:pPr>
              <w:spacing w:after="0"/>
              <w:rPr>
                <w:sz w:val="17"/>
                <w:szCs w:val="17"/>
                <w:color w:val="auto"/>
              </w:rPr>
            </w:pPr>
          </w:p>
        </w:tc>
        <w:tc>
          <w:tcPr>
            <w:tcW w:w="2260" w:type="dxa"/>
            <w:vAlign w:val="bottom"/>
            <w:tcBorders>
              <w:right w:val="single" w:sz="8" w:color="auto"/>
            </w:tcBorders>
          </w:tcPr>
          <w:p>
            <w:pPr>
              <w:spacing w:after="0"/>
              <w:rPr>
                <w:sz w:val="17"/>
                <w:szCs w:val="17"/>
                <w:color w:val="auto"/>
              </w:rPr>
            </w:pP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Cyathea cunninghamii</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Slender Tree-fern</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No Action statement</w:t>
            </w: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 xml:space="preserve">Grevillea barklyana </w:t>
            </w:r>
            <w:r>
              <w:rPr>
                <w:rFonts w:ascii="Times New Roman" w:cs="Times New Roman" w:eastAsia="Times New Roman" w:hAnsi="Times New Roman"/>
                <w:sz w:val="22"/>
                <w:szCs w:val="22"/>
                <w:color w:val="auto"/>
              </w:rPr>
              <w:t>ssp</w:t>
            </w:r>
            <w:r>
              <w:rPr>
                <w:rFonts w:ascii="Times New Roman" w:cs="Times New Roman" w:eastAsia="Times New Roman" w:hAnsi="Times New Roman"/>
                <w:sz w:val="22"/>
                <w:szCs w:val="22"/>
                <w:i w:val="1"/>
                <w:iCs w:val="1"/>
                <w:color w:val="auto"/>
              </w:rPr>
              <w:t>.</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Gully Grevillea</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barklyana</w:t>
            </w: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1999</w:t>
            </w: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Eucalyptus strzeleckii</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Strzelecki Gum</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22 December 2006</w:t>
            </w:r>
          </w:p>
        </w:tc>
        <w:tc>
          <w:tcPr>
            <w:tcW w:w="0" w:type="dxa"/>
            <w:vAlign w:val="bottom"/>
          </w:tcPr>
          <w:p>
            <w:pPr>
              <w:spacing w:after="0"/>
              <w:rPr>
                <w:sz w:val="1"/>
                <w:szCs w:val="1"/>
                <w:color w:val="auto"/>
              </w:rPr>
            </w:pP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7"/>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Senecio macrocarpus</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Large-fruit Fireweed</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13 August 2010</w:t>
            </w:r>
          </w:p>
        </w:tc>
        <w:tc>
          <w:tcPr>
            <w:tcW w:w="0" w:type="dxa"/>
            <w:vAlign w:val="bottom"/>
          </w:tcPr>
          <w:p>
            <w:pPr>
              <w:spacing w:after="0"/>
              <w:rPr>
                <w:sz w:val="1"/>
                <w:szCs w:val="1"/>
                <w:color w:val="auto"/>
              </w:rPr>
            </w:pP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7"/>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Senecio laticostatus</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Fin-fruit Fireweed</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Delisted</w:t>
            </w:r>
          </w:p>
        </w:tc>
        <w:tc>
          <w:tcPr>
            <w:tcW w:w="0" w:type="dxa"/>
            <w:vAlign w:val="bottom"/>
          </w:tcPr>
          <w:p>
            <w:pPr>
              <w:spacing w:after="0"/>
              <w:rPr>
                <w:sz w:val="1"/>
                <w:szCs w:val="1"/>
                <w:color w:val="auto"/>
              </w:rPr>
            </w:pPr>
          </w:p>
        </w:tc>
      </w:tr>
      <w:tr>
        <w:trPr>
          <w:trHeight w:val="244"/>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Reiekoperla darlingtoni</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Mt Donna Buang</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3"/>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Wingless Stonefly</w:t>
            </w: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2001</w:t>
            </w:r>
          </w:p>
        </w:tc>
        <w:tc>
          <w:tcPr>
            <w:tcW w:w="0" w:type="dxa"/>
            <w:vAlign w:val="bottom"/>
          </w:tcPr>
          <w:p>
            <w:pPr>
              <w:spacing w:after="0"/>
              <w:rPr>
                <w:sz w:val="1"/>
                <w:szCs w:val="1"/>
                <w:color w:val="auto"/>
              </w:rPr>
            </w:pPr>
          </w:p>
        </w:tc>
      </w:tr>
      <w:tr>
        <w:trPr>
          <w:trHeight w:val="245"/>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Austrogammarus haasei</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Amphipod</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2000</w:t>
            </w: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Engaeus phyllocerus</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Narracan Burrowing</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Crayfish</w:t>
            </w: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2001</w:t>
            </w: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Engaeus sternalis</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Warragul Burrowing</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Action 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Crayfish</w:t>
            </w: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1999</w:t>
            </w: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Litoria spenceri</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Spotted Tree Frog</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c>
          <w:tcPr>
            <w:tcW w:w="0" w:type="dxa"/>
            <w:vAlign w:val="bottom"/>
          </w:tcPr>
          <w:p>
            <w:pPr>
              <w:spacing w:after="0"/>
              <w:rPr>
                <w:sz w:val="1"/>
                <w:szCs w:val="1"/>
                <w:color w:val="auto"/>
              </w:rPr>
            </w:pP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9 March 2001</w:t>
            </w:r>
          </w:p>
        </w:tc>
        <w:tc>
          <w:tcPr>
            <w:tcW w:w="0" w:type="dxa"/>
            <w:vAlign w:val="bottom"/>
          </w:tcPr>
          <w:p>
            <w:pPr>
              <w:spacing w:after="0"/>
              <w:rPr>
                <w:sz w:val="1"/>
                <w:szCs w:val="1"/>
                <w:color w:val="auto"/>
              </w:rPr>
            </w:pP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74" w:lineRule="exact"/>
        <w:rPr>
          <w:sz w:val="20"/>
          <w:szCs w:val="20"/>
          <w:color w:val="auto"/>
        </w:rPr>
      </w:pPr>
    </w:p>
    <w:p>
      <w:pPr>
        <w:jc w:val="center"/>
        <w:ind w:right="40"/>
        <w:spacing w:after="0"/>
        <w:rPr>
          <w:sz w:val="20"/>
          <w:szCs w:val="20"/>
          <w:color w:val="auto"/>
        </w:rPr>
      </w:pPr>
      <w:r>
        <w:rPr>
          <w:rFonts w:ascii="Calibri" w:cs="Calibri" w:eastAsia="Calibri" w:hAnsi="Calibri"/>
          <w:sz w:val="22"/>
          <w:szCs w:val="22"/>
          <w:color w:val="auto"/>
        </w:rPr>
        <w:t>70</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80"/>
          </w:cols>
          <w:pgMar w:left="1440" w:top="1420" w:right="1386" w:bottom="147" w:gutter="0" w:footer="0" w:header="0"/>
        </w:sectPr>
      </w:pPr>
    </w:p>
    <w:bookmarkStart w:id="70" w:name="page71"/>
    <w:bookmarkEnd w:id="70"/>
    <w:tbl>
      <w:tblPr>
        <w:tblLayout w:type="fixed"/>
        <w:tblInd w:w="10" w:type="dxa"/>
        <w:tblCellMar>
          <w:top w:w="0" w:type="dxa"/>
          <w:left w:w="0" w:type="dxa"/>
          <w:bottom w:w="0" w:type="dxa"/>
          <w:right w:w="0" w:type="dxa"/>
        </w:tblCellMar>
      </w:tblPr>
      <w:tr>
        <w:trPr>
          <w:trHeight w:val="375"/>
        </w:trPr>
        <w:tc>
          <w:tcPr>
            <w:tcW w:w="2700" w:type="dxa"/>
            <w:vAlign w:val="bottom"/>
            <w:tcBorders>
              <w:top w:val="single" w:sz="8" w:color="auto"/>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Philoria frosti</w:t>
            </w:r>
          </w:p>
        </w:tc>
        <w:tc>
          <w:tcPr>
            <w:tcW w:w="2280" w:type="dxa"/>
            <w:vAlign w:val="bottom"/>
            <w:tcBorders>
              <w:top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Baw Baw Frog</w:t>
            </w:r>
          </w:p>
        </w:tc>
        <w:tc>
          <w:tcPr>
            <w:tcW w:w="184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8"/>
              </w:rPr>
              <w:t>Revise Action</w:t>
            </w:r>
          </w:p>
        </w:tc>
        <w:tc>
          <w:tcPr>
            <w:tcW w:w="226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Action Statement</w:t>
            </w: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Statement</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approved 2004</w:t>
            </w:r>
          </w:p>
        </w:tc>
      </w:tr>
      <w:tr>
        <w:trPr>
          <w:trHeight w:val="492"/>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21 April 2011</w:t>
            </w: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Prototroctes maraena</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Australian Grayling</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r>
      <w:tr>
        <w:trPr>
          <w:trHeight w:val="290"/>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27 March 2008</w:t>
            </w: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r>
      <w:tr>
        <w:trPr>
          <w:trHeight w:val="355"/>
        </w:trPr>
        <w:tc>
          <w:tcPr>
            <w:tcW w:w="2700" w:type="dxa"/>
            <w:vAlign w:val="bottom"/>
            <w:tcBorders>
              <w:left w:val="single" w:sz="8" w:color="auto"/>
              <w:right w:val="single" w:sz="8" w:color="auto"/>
            </w:tcBorders>
          </w:tcPr>
          <w:p>
            <w:pPr>
              <w:ind w:left="40"/>
              <w:spacing w:after="0"/>
              <w:rPr>
                <w:sz w:val="20"/>
                <w:szCs w:val="20"/>
                <w:color w:val="auto"/>
              </w:rPr>
            </w:pPr>
            <w:r>
              <w:rPr>
                <w:rFonts w:ascii="Times New Roman" w:cs="Times New Roman" w:eastAsia="Times New Roman" w:hAnsi="Times New Roman"/>
                <w:sz w:val="22"/>
                <w:szCs w:val="22"/>
                <w:i w:val="1"/>
                <w:iCs w:val="1"/>
                <w:color w:val="auto"/>
              </w:rPr>
              <w:t>Galaxiella pusilla</w:t>
            </w:r>
          </w:p>
        </w:tc>
        <w:tc>
          <w:tcPr>
            <w:tcW w:w="2280" w:type="dxa"/>
            <w:vAlign w:val="bottom"/>
            <w:tcBorders>
              <w:right w:val="single" w:sz="8" w:color="auto"/>
            </w:tcBorders>
          </w:tcPr>
          <w:p>
            <w:pPr>
              <w:ind w:left="20"/>
              <w:spacing w:after="0"/>
              <w:rPr>
                <w:sz w:val="20"/>
                <w:szCs w:val="20"/>
                <w:color w:val="auto"/>
              </w:rPr>
            </w:pPr>
            <w:r>
              <w:rPr>
                <w:rFonts w:ascii="Times New Roman" w:cs="Times New Roman" w:eastAsia="Times New Roman" w:hAnsi="Times New Roman"/>
                <w:sz w:val="22"/>
                <w:szCs w:val="22"/>
                <w:color w:val="auto"/>
              </w:rPr>
              <w:t>Dwarf Galaxias</w:t>
            </w:r>
          </w:p>
        </w:tc>
        <w:tc>
          <w:tcPr>
            <w:tcW w:w="184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w:t>
            </w: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w w:val="99"/>
              </w:rPr>
              <w:t>Recovery Plan approved</w:t>
            </w:r>
          </w:p>
        </w:tc>
      </w:tr>
      <w:tr>
        <w:trPr>
          <w:trHeight w:val="291"/>
        </w:trPr>
        <w:tc>
          <w:tcPr>
            <w:tcW w:w="2700" w:type="dxa"/>
            <w:vAlign w:val="bottom"/>
            <w:tcBorders>
              <w:left w:val="single" w:sz="8" w:color="auto"/>
              <w:right w:val="single" w:sz="8" w:color="auto"/>
            </w:tcBorders>
          </w:tcPr>
          <w:p>
            <w:pPr>
              <w:spacing w:after="0"/>
              <w:rPr>
                <w:sz w:val="24"/>
                <w:szCs w:val="24"/>
                <w:color w:val="auto"/>
              </w:rPr>
            </w:pPr>
          </w:p>
        </w:tc>
        <w:tc>
          <w:tcPr>
            <w:tcW w:w="2280" w:type="dxa"/>
            <w:vAlign w:val="bottom"/>
            <w:tcBorders>
              <w:right w:val="single" w:sz="8" w:color="auto"/>
            </w:tcBorders>
          </w:tcPr>
          <w:p>
            <w:pPr>
              <w:spacing w:after="0"/>
              <w:rPr>
                <w:sz w:val="24"/>
                <w:szCs w:val="24"/>
                <w:color w:val="auto"/>
              </w:rPr>
            </w:pPr>
          </w:p>
        </w:tc>
        <w:tc>
          <w:tcPr>
            <w:tcW w:w="1840" w:type="dxa"/>
            <w:vAlign w:val="bottom"/>
            <w:tcBorders>
              <w:right w:val="single" w:sz="8" w:color="auto"/>
            </w:tcBorders>
          </w:tcPr>
          <w:p>
            <w:pPr>
              <w:spacing w:after="0"/>
              <w:rPr>
                <w:sz w:val="24"/>
                <w:szCs w:val="24"/>
                <w:color w:val="auto"/>
              </w:rPr>
            </w:pPr>
          </w:p>
        </w:tc>
        <w:tc>
          <w:tcPr>
            <w:tcW w:w="2260" w:type="dxa"/>
            <w:vAlign w:val="bottom"/>
            <w:tcBorders>
              <w:right w:val="single" w:sz="8" w:color="auto"/>
            </w:tcBorders>
          </w:tcPr>
          <w:p>
            <w:pPr>
              <w:jc w:val="center"/>
              <w:spacing w:after="0"/>
              <w:rPr>
                <w:sz w:val="20"/>
                <w:szCs w:val="20"/>
                <w:color w:val="auto"/>
              </w:rPr>
            </w:pPr>
            <w:r>
              <w:rPr>
                <w:rFonts w:ascii="Times New Roman" w:cs="Times New Roman" w:eastAsia="Times New Roman" w:hAnsi="Times New Roman"/>
                <w:sz w:val="22"/>
                <w:szCs w:val="22"/>
                <w:color w:val="auto"/>
              </w:rPr>
              <w:t>12 March 2010</w:t>
            </w:r>
          </w:p>
        </w:tc>
      </w:tr>
      <w:tr>
        <w:trPr>
          <w:trHeight w:val="247"/>
        </w:trPr>
        <w:tc>
          <w:tcPr>
            <w:tcW w:w="2700" w:type="dxa"/>
            <w:vAlign w:val="bottom"/>
            <w:tcBorders>
              <w:left w:val="single" w:sz="8" w:color="auto"/>
              <w:bottom w:val="single" w:sz="8" w:color="auto"/>
              <w:right w:val="single" w:sz="8" w:color="auto"/>
            </w:tcBorders>
          </w:tcPr>
          <w:p>
            <w:pPr>
              <w:spacing w:after="0"/>
              <w:rPr>
                <w:sz w:val="21"/>
                <w:szCs w:val="21"/>
                <w:color w:val="auto"/>
              </w:rPr>
            </w:pPr>
          </w:p>
        </w:tc>
        <w:tc>
          <w:tcPr>
            <w:tcW w:w="2280" w:type="dxa"/>
            <w:vAlign w:val="bottom"/>
            <w:tcBorders>
              <w:bottom w:val="single" w:sz="8" w:color="auto"/>
              <w:right w:val="single" w:sz="8" w:color="auto"/>
            </w:tcBorders>
          </w:tcPr>
          <w:p>
            <w:pPr>
              <w:spacing w:after="0"/>
              <w:rPr>
                <w:sz w:val="21"/>
                <w:szCs w:val="21"/>
                <w:color w:val="auto"/>
              </w:rPr>
            </w:pPr>
          </w:p>
        </w:tc>
        <w:tc>
          <w:tcPr>
            <w:tcW w:w="1840" w:type="dxa"/>
            <w:vAlign w:val="bottom"/>
            <w:tcBorders>
              <w:bottom w:val="single" w:sz="8" w:color="auto"/>
              <w:right w:val="single" w:sz="8" w:color="auto"/>
            </w:tcBorders>
          </w:tcPr>
          <w:p>
            <w:pPr>
              <w:spacing w:after="0"/>
              <w:rPr>
                <w:sz w:val="21"/>
                <w:szCs w:val="21"/>
                <w:color w:val="auto"/>
              </w:rPr>
            </w:pPr>
          </w:p>
        </w:tc>
        <w:tc>
          <w:tcPr>
            <w:tcW w:w="2260" w:type="dxa"/>
            <w:vAlign w:val="bottom"/>
            <w:tcBorders>
              <w:bottom w:val="single" w:sz="8" w:color="auto"/>
              <w:right w:val="single" w:sz="8" w:color="auto"/>
            </w:tcBorders>
          </w:tcPr>
          <w:p>
            <w:pPr>
              <w:spacing w:after="0"/>
              <w:rPr>
                <w:sz w:val="21"/>
                <w:szCs w:val="2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jc w:val="center"/>
        <w:ind w:right="40"/>
        <w:spacing w:after="0"/>
        <w:rPr>
          <w:sz w:val="20"/>
          <w:szCs w:val="20"/>
          <w:color w:val="auto"/>
        </w:rPr>
      </w:pPr>
      <w:r>
        <w:rPr>
          <w:rFonts w:ascii="Calibri" w:cs="Calibri" w:eastAsia="Calibri" w:hAnsi="Calibri"/>
          <w:sz w:val="22"/>
          <w:szCs w:val="22"/>
          <w:color w:val="auto"/>
        </w:rPr>
        <w:t>71</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80"/>
          </w:cols>
          <w:pgMar w:left="1440" w:top="1420" w:right="1386" w:bottom="147" w:gutter="0" w:footer="0" w:header="0"/>
        </w:sectPr>
      </w:pPr>
    </w:p>
    <w:bookmarkStart w:id="71" w:name="page72"/>
    <w:bookmarkEnd w:id="71"/>
    <w:p>
      <w:pPr>
        <w:jc w:val="right"/>
        <w:ind w:right="6"/>
        <w:spacing w:after="0"/>
        <w:rPr>
          <w:sz w:val="20"/>
          <w:szCs w:val="20"/>
          <w:color w:val="auto"/>
        </w:rPr>
      </w:pPr>
      <w:r>
        <w:rPr>
          <w:rFonts w:ascii="Times New Roman" w:cs="Times New Roman" w:eastAsia="Times New Roman" w:hAnsi="Times New Roman"/>
          <w:sz w:val="22"/>
          <w:szCs w:val="22"/>
          <w:b w:val="1"/>
          <w:bCs w:val="1"/>
          <w:color w:val="auto"/>
        </w:rPr>
        <w:t>ATTACHMENT 3</w:t>
      </w: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center"/>
        <w:ind w:right="6"/>
        <w:spacing w:after="0"/>
        <w:rPr>
          <w:sz w:val="20"/>
          <w:szCs w:val="20"/>
          <w:color w:val="auto"/>
        </w:rPr>
      </w:pPr>
      <w:r>
        <w:rPr>
          <w:rFonts w:ascii="Calibri" w:cs="Calibri" w:eastAsia="Calibri" w:hAnsi="Calibri"/>
          <w:sz w:val="22"/>
          <w:szCs w:val="22"/>
          <w:color w:val="auto"/>
        </w:rPr>
        <w:t>72</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26"/>
          </w:cols>
          <w:pgMar w:left="1440" w:top="1437" w:right="1440" w:bottom="147" w:gutter="0" w:footer="0" w:header="0"/>
        </w:sectPr>
      </w:pPr>
    </w:p>
    <w:bookmarkStart w:id="72" w:name="page73"/>
    <w:bookmarkEnd w:id="72"/>
    <w:p>
      <w:pPr>
        <w:spacing w:after="0"/>
        <w:rPr>
          <w:sz w:val="20"/>
          <w:szCs w:val="20"/>
          <w:color w:val="auto"/>
        </w:rPr>
      </w:pPr>
      <w:r>
        <w:rPr>
          <w:rFonts w:ascii="Times New Roman" w:cs="Times New Roman" w:eastAsia="Times New Roman" w:hAnsi="Times New Roman"/>
          <w:sz w:val="22"/>
          <w:szCs w:val="22"/>
          <w:b w:val="1"/>
          <w:bCs w:val="1"/>
          <w:color w:val="auto"/>
        </w:rPr>
        <w:t>ATTACHMENT 4</w:t>
      </w: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center"/>
        <w:ind w:right="6"/>
        <w:spacing w:after="0"/>
        <w:rPr>
          <w:sz w:val="20"/>
          <w:szCs w:val="20"/>
          <w:color w:val="auto"/>
        </w:rPr>
      </w:pPr>
      <w:r>
        <w:rPr>
          <w:rFonts w:ascii="Calibri" w:cs="Calibri" w:eastAsia="Calibri" w:hAnsi="Calibri"/>
          <w:sz w:val="21"/>
          <w:szCs w:val="21"/>
          <w:color w:val="auto"/>
        </w:rPr>
        <w:t>73</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26"/>
          </w:cols>
          <w:pgMar w:left="1440" w:top="1437" w:right="1440" w:bottom="147" w:gutter="0" w:footer="0" w:header="0"/>
        </w:sectPr>
      </w:pPr>
    </w:p>
    <w:bookmarkStart w:id="73" w:name="page74"/>
    <w:bookmarkEnd w:id="73"/>
    <w:p>
      <w:pPr>
        <w:jc w:val="right"/>
        <w:ind w:right="6"/>
        <w:spacing w:after="0"/>
        <w:rPr>
          <w:sz w:val="20"/>
          <w:szCs w:val="20"/>
          <w:color w:val="auto"/>
        </w:rPr>
      </w:pPr>
      <w:r>
        <w:rPr>
          <w:rFonts w:ascii="Times New Roman" w:cs="Times New Roman" w:eastAsia="Times New Roman" w:hAnsi="Times New Roman"/>
          <w:sz w:val="22"/>
          <w:szCs w:val="22"/>
          <w:b w:val="1"/>
          <w:bCs w:val="1"/>
          <w:color w:val="auto"/>
        </w:rPr>
        <w:t>ATTACHMENT 5</w:t>
      </w: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NOT USED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p>
      <w:pPr>
        <w:jc w:val="center"/>
        <w:ind w:right="6"/>
        <w:spacing w:after="0"/>
        <w:rPr>
          <w:sz w:val="20"/>
          <w:szCs w:val="20"/>
          <w:color w:val="auto"/>
        </w:rPr>
      </w:pPr>
      <w:r>
        <w:rPr>
          <w:rFonts w:ascii="Calibri" w:cs="Calibri" w:eastAsia="Calibri" w:hAnsi="Calibri"/>
          <w:sz w:val="22"/>
          <w:szCs w:val="22"/>
          <w:color w:val="auto"/>
        </w:rPr>
        <w:t>74</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26"/>
          </w:cols>
          <w:pgMar w:left="1440" w:top="1437" w:right="1440" w:bottom="147" w:gutter="0" w:footer="0" w:header="0"/>
        </w:sectPr>
      </w:pPr>
    </w:p>
    <w:bookmarkStart w:id="74" w:name="page75"/>
    <w:bookmarkEnd w:id="74"/>
    <w:p>
      <w:pPr>
        <w:ind w:left="7260"/>
        <w:spacing w:after="0"/>
        <w:rPr>
          <w:sz w:val="20"/>
          <w:szCs w:val="20"/>
          <w:color w:val="auto"/>
        </w:rPr>
      </w:pPr>
      <w:r>
        <w:rPr>
          <w:rFonts w:ascii="Times New Roman" w:cs="Times New Roman" w:eastAsia="Times New Roman" w:hAnsi="Times New Roman"/>
          <w:sz w:val="22"/>
          <w:szCs w:val="22"/>
          <w:b w:val="1"/>
          <w:bCs w:val="1"/>
          <w:color w:val="auto"/>
        </w:rPr>
        <w:t>ATTACHMENT 6</w:t>
      </w: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RESEARCH</w:t>
      </w:r>
    </w:p>
    <w:p>
      <w:pPr>
        <w:spacing w:after="0" w:line="284" w:lineRule="exact"/>
        <w:rPr>
          <w:sz w:val="20"/>
          <w:szCs w:val="20"/>
          <w:color w:val="auto"/>
        </w:rPr>
      </w:pPr>
    </w:p>
    <w:p>
      <w:pPr>
        <w:jc w:val="both"/>
        <w:ind w:right="40"/>
        <w:spacing w:after="0" w:line="234" w:lineRule="auto"/>
        <w:rPr>
          <w:sz w:val="20"/>
          <w:szCs w:val="20"/>
          <w:color w:val="auto"/>
        </w:rPr>
      </w:pPr>
      <w:r>
        <w:rPr>
          <w:rFonts w:ascii="Times New Roman" w:cs="Times New Roman" w:eastAsia="Times New Roman" w:hAnsi="Times New Roman"/>
          <w:sz w:val="22"/>
          <w:szCs w:val="22"/>
          <w:color w:val="auto"/>
        </w:rPr>
        <w:t>The Parties recognise and value both Traditional Owner Knowledge and best available science for sustainably managing Forests in the Central Highlands RFA Region.</w:t>
      </w:r>
    </w:p>
    <w:p>
      <w:pPr>
        <w:spacing w:after="0" w:line="253" w:lineRule="exact"/>
        <w:rPr>
          <w:sz w:val="20"/>
          <w:szCs w:val="20"/>
          <w:color w:val="auto"/>
        </w:rPr>
      </w:pPr>
    </w:p>
    <w:p>
      <w:pPr>
        <w:jc w:val="both"/>
        <w:ind w:right="60"/>
        <w:spacing w:after="0" w:line="237" w:lineRule="auto"/>
        <w:rPr>
          <w:sz w:val="20"/>
          <w:szCs w:val="20"/>
          <w:color w:val="auto"/>
        </w:rPr>
      </w:pPr>
      <w:r>
        <w:rPr>
          <w:rFonts w:ascii="Times New Roman" w:cs="Times New Roman" w:eastAsia="Times New Roman" w:hAnsi="Times New Roman"/>
          <w:sz w:val="22"/>
          <w:szCs w:val="22"/>
          <w:color w:val="auto"/>
        </w:rPr>
        <w:t>Research priorities to support the holistic (encompassing Biodiversity, fire and water) and adaptive management of Forests must be reviewed regularly to ensure investment and effort is focussed on science and Traditional Owner Knowledge that will deliver the greatest benefits for Victoria’s Forests, industries and communities.</w:t>
      </w:r>
    </w:p>
    <w:p>
      <w:pPr>
        <w:spacing w:after="0" w:line="252" w:lineRule="exact"/>
        <w:rPr>
          <w:sz w:val="20"/>
          <w:szCs w:val="20"/>
          <w:color w:val="auto"/>
        </w:rPr>
      </w:pPr>
    </w:p>
    <w:p>
      <w:pPr>
        <w:jc w:val="both"/>
        <w:ind w:right="60"/>
        <w:spacing w:after="0" w:line="236" w:lineRule="auto"/>
        <w:rPr>
          <w:sz w:val="20"/>
          <w:szCs w:val="20"/>
          <w:color w:val="auto"/>
        </w:rPr>
      </w:pPr>
      <w:r>
        <w:rPr>
          <w:rFonts w:ascii="Times New Roman" w:cs="Times New Roman" w:eastAsia="Times New Roman" w:hAnsi="Times New Roman"/>
          <w:sz w:val="22"/>
          <w:szCs w:val="22"/>
          <w:color w:val="auto"/>
        </w:rPr>
        <w:t>Statewide research priorities, including science and Traditional Owner Knowledge, will be reviewed as part of each Five-yearly Review process and a list of priority projects published on the Department of Environment, Land, Water and Planning website.</w:t>
      </w:r>
    </w:p>
    <w:p>
      <w:pPr>
        <w:spacing w:after="0" w:line="245"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Science</w:t>
      </w:r>
    </w:p>
    <w:p>
      <w:pPr>
        <w:spacing w:after="0" w:line="19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color w:val="auto"/>
        </w:rPr>
        <w:t>Statewide research will continue on the following major themes:</w:t>
      </w:r>
    </w:p>
    <w:p>
      <w:pPr>
        <w:spacing w:after="0" w:line="251" w:lineRule="exact"/>
        <w:rPr>
          <w:sz w:val="20"/>
          <w:szCs w:val="20"/>
          <w:color w:val="auto"/>
        </w:rPr>
      </w:pPr>
    </w:p>
    <w:p>
      <w:pPr>
        <w:jc w:val="both"/>
        <w:ind w:left="420" w:hanging="420"/>
        <w:spacing w:after="0" w:line="183" w:lineRule="auto"/>
        <w:tabs>
          <w:tab w:leader="none" w:pos="420" w:val="left"/>
        </w:tabs>
        <w:numPr>
          <w:ilvl w:val="0"/>
          <w:numId w:val="159"/>
        </w:numPr>
        <w:rPr>
          <w:rFonts w:ascii="Wingdings" w:cs="Wingdings" w:eastAsia="Wingdings" w:hAnsi="Wingdings"/>
          <w:sz w:val="44"/>
          <w:szCs w:val="44"/>
          <w:color w:val="auto"/>
          <w:vertAlign w:val="superscript"/>
        </w:rPr>
      </w:pPr>
      <w:r>
        <w:rPr>
          <w:rFonts w:ascii="Times New Roman" w:cs="Times New Roman" w:eastAsia="Times New Roman" w:hAnsi="Times New Roman"/>
          <w:sz w:val="22"/>
          <w:szCs w:val="22"/>
          <w:b w:val="1"/>
          <w:bCs w:val="1"/>
          <w:color w:val="auto"/>
        </w:rPr>
        <w:t xml:space="preserve">Matters of National Environmental Significance (MNES) </w:t>
      </w:r>
      <w:r>
        <w:rPr>
          <w:rFonts w:ascii="Times New Roman" w:cs="Times New Roman" w:eastAsia="Times New Roman" w:hAnsi="Times New Roman"/>
          <w:sz w:val="22"/>
          <w:szCs w:val="22"/>
          <w:color w:val="auto"/>
        </w:rPr>
        <w:t>and</w:t>
      </w:r>
      <w:r>
        <w:rPr>
          <w:rFonts w:ascii="Times New Roman" w:cs="Times New Roman" w:eastAsia="Times New Roman" w:hAnsi="Times New Roman"/>
          <w:sz w:val="22"/>
          <w:szCs w:val="22"/>
          <w:b w:val="1"/>
          <w:bCs w:val="1"/>
          <w:color w:val="auto"/>
        </w:rPr>
        <w:t xml:space="preserve"> Listed Species and Communities</w:t>
      </w:r>
      <w:r>
        <w:rPr>
          <w:rFonts w:ascii="Times New Roman" w:cs="Times New Roman" w:eastAsia="Times New Roman" w:hAnsi="Times New Roman"/>
          <w:sz w:val="27"/>
          <w:szCs w:val="27"/>
          <w:color w:val="auto"/>
          <w:vertAlign w:val="superscript"/>
        </w:rPr>
        <w:t>1</w:t>
      </w:r>
      <w:r>
        <w:rPr>
          <w:rFonts w:ascii="Times New Roman" w:cs="Times New Roman" w:eastAsia="Times New Roman" w:hAnsi="Times New Roman"/>
          <w:sz w:val="22"/>
          <w:szCs w:val="22"/>
          <w:color w:val="auto"/>
        </w:rPr>
        <w:t>, including the identification of climate refugia, advancements in approaches for</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monitoring trends, threats and impacts, and the effectiveness of protections and management actions;</w:t>
      </w:r>
    </w:p>
    <w:p>
      <w:pPr>
        <w:spacing w:after="0" w:line="215" w:lineRule="exact"/>
        <w:rPr>
          <w:rFonts w:ascii="Wingdings" w:cs="Wingdings" w:eastAsia="Wingdings" w:hAnsi="Wingdings"/>
          <w:sz w:val="44"/>
          <w:szCs w:val="44"/>
          <w:color w:val="auto"/>
          <w:vertAlign w:val="superscript"/>
        </w:rPr>
      </w:pPr>
    </w:p>
    <w:p>
      <w:pPr>
        <w:ind w:left="420" w:right="20" w:hanging="420"/>
        <w:spacing w:after="0" w:line="182" w:lineRule="auto"/>
        <w:tabs>
          <w:tab w:leader="none" w:pos="420" w:val="left"/>
        </w:tabs>
        <w:numPr>
          <w:ilvl w:val="0"/>
          <w:numId w:val="159"/>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b w:val="1"/>
          <w:bCs w:val="1"/>
          <w:color w:val="auto"/>
        </w:rPr>
        <w:t>Climate Change</w:t>
      </w:r>
      <w:r>
        <w:rPr>
          <w:rFonts w:ascii="Times New Roman" w:cs="Times New Roman" w:eastAsia="Times New Roman" w:hAnsi="Times New Roman"/>
          <w:sz w:val="20"/>
          <w:szCs w:val="20"/>
          <w:color w:val="auto"/>
        </w:rPr>
        <w:t>, including current and projected impacts on a wide range of forest values,</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adaptation of Forests and Forest Ecosystems, and the role of Forests in mitigation;</w:t>
      </w:r>
    </w:p>
    <w:p>
      <w:pPr>
        <w:spacing w:after="0" w:line="213" w:lineRule="exact"/>
        <w:rPr>
          <w:rFonts w:ascii="Wingdings" w:cs="Wingdings" w:eastAsia="Wingdings" w:hAnsi="Wingdings"/>
          <w:sz w:val="38"/>
          <w:szCs w:val="38"/>
          <w:color w:val="auto"/>
          <w:vertAlign w:val="superscript"/>
        </w:rPr>
      </w:pPr>
    </w:p>
    <w:p>
      <w:pPr>
        <w:jc w:val="both"/>
        <w:ind w:left="420" w:right="20" w:hanging="420"/>
        <w:spacing w:after="0" w:line="180" w:lineRule="auto"/>
        <w:tabs>
          <w:tab w:leader="none" w:pos="420" w:val="left"/>
        </w:tabs>
        <w:numPr>
          <w:ilvl w:val="0"/>
          <w:numId w:val="159"/>
        </w:numPr>
        <w:rPr>
          <w:rFonts w:ascii="Wingdings" w:cs="Wingdings" w:eastAsia="Wingdings" w:hAnsi="Wingdings"/>
          <w:sz w:val="44"/>
          <w:szCs w:val="44"/>
          <w:color w:val="auto"/>
          <w:vertAlign w:val="superscript"/>
        </w:rPr>
      </w:pPr>
      <w:r>
        <w:rPr>
          <w:rFonts w:ascii="Times New Roman" w:cs="Times New Roman" w:eastAsia="Times New Roman" w:hAnsi="Times New Roman"/>
          <w:sz w:val="22"/>
          <w:szCs w:val="22"/>
          <w:b w:val="1"/>
          <w:bCs w:val="1"/>
          <w:color w:val="auto"/>
        </w:rPr>
        <w:t>Active forest management</w:t>
      </w:r>
      <w:r>
        <w:rPr>
          <w:rFonts w:ascii="Times New Roman" w:cs="Times New Roman" w:eastAsia="Times New Roman" w:hAnsi="Times New Roman"/>
          <w:sz w:val="22"/>
          <w:szCs w:val="22"/>
          <w:color w:val="auto"/>
        </w:rPr>
        <w:t>, through basic research and pilot projects, to test the effects of</w:t>
      </w:r>
      <w:r>
        <w:rPr>
          <w:rFonts w:ascii="Times New Roman" w:cs="Times New Roman" w:eastAsia="Times New Roman" w:hAnsi="Times New Roman"/>
          <w:sz w:val="22"/>
          <w:szCs w:val="22"/>
          <w:b w:val="1"/>
          <w:bCs w:val="1"/>
          <w:color w:val="auto"/>
        </w:rPr>
        <w:t xml:space="preserve"> </w:t>
      </w:r>
      <w:r>
        <w:rPr>
          <w:rFonts w:ascii="Times New Roman" w:cs="Times New Roman" w:eastAsia="Times New Roman" w:hAnsi="Times New Roman"/>
          <w:sz w:val="22"/>
          <w:szCs w:val="22"/>
          <w:color w:val="auto"/>
        </w:rPr>
        <w:t>silviculture, fire, pest and weed management and other management interventions to enhance ESFM outcomes;</w:t>
      </w:r>
    </w:p>
    <w:p>
      <w:pPr>
        <w:spacing w:after="0" w:line="211" w:lineRule="exact"/>
        <w:rPr>
          <w:rFonts w:ascii="Wingdings" w:cs="Wingdings" w:eastAsia="Wingdings" w:hAnsi="Wingdings"/>
          <w:sz w:val="44"/>
          <w:szCs w:val="44"/>
          <w:color w:val="auto"/>
          <w:vertAlign w:val="superscript"/>
        </w:rPr>
      </w:pPr>
    </w:p>
    <w:p>
      <w:pPr>
        <w:ind w:left="420" w:hanging="420"/>
        <w:spacing w:after="0" w:line="182" w:lineRule="auto"/>
        <w:tabs>
          <w:tab w:leader="none" w:pos="420" w:val="left"/>
        </w:tabs>
        <w:numPr>
          <w:ilvl w:val="0"/>
          <w:numId w:val="159"/>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b w:val="1"/>
          <w:bCs w:val="1"/>
          <w:color w:val="auto"/>
        </w:rPr>
        <w:t>Fire</w:t>
      </w:r>
      <w:r>
        <w:rPr>
          <w:rFonts w:ascii="Times New Roman" w:cs="Times New Roman" w:eastAsia="Times New Roman" w:hAnsi="Times New Roman"/>
          <w:sz w:val="20"/>
          <w:szCs w:val="20"/>
          <w:color w:val="auto"/>
        </w:rPr>
        <w:t>, including fire ecology, bushfire behaviour, reducing bushfire risk, Forest recovery and</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resilience, and applying fire as a forest management tool; and</w:t>
      </w:r>
    </w:p>
    <w:p>
      <w:pPr>
        <w:spacing w:after="0" w:line="211" w:lineRule="exact"/>
        <w:rPr>
          <w:rFonts w:ascii="Wingdings" w:cs="Wingdings" w:eastAsia="Wingdings" w:hAnsi="Wingdings"/>
          <w:sz w:val="38"/>
          <w:szCs w:val="38"/>
          <w:color w:val="auto"/>
          <w:vertAlign w:val="superscript"/>
        </w:rPr>
      </w:pPr>
    </w:p>
    <w:p>
      <w:pPr>
        <w:ind w:left="420" w:hanging="420"/>
        <w:spacing w:after="0" w:line="182" w:lineRule="auto"/>
        <w:tabs>
          <w:tab w:leader="none" w:pos="420" w:val="left"/>
        </w:tabs>
        <w:numPr>
          <w:ilvl w:val="0"/>
          <w:numId w:val="159"/>
        </w:numPr>
        <w:rPr>
          <w:rFonts w:ascii="Wingdings" w:cs="Wingdings" w:eastAsia="Wingdings" w:hAnsi="Wingdings"/>
          <w:sz w:val="38"/>
          <w:szCs w:val="38"/>
          <w:color w:val="auto"/>
          <w:vertAlign w:val="superscript"/>
        </w:rPr>
      </w:pPr>
      <w:r>
        <w:rPr>
          <w:rFonts w:ascii="Times New Roman" w:cs="Times New Roman" w:eastAsia="Times New Roman" w:hAnsi="Times New Roman"/>
          <w:sz w:val="20"/>
          <w:szCs w:val="20"/>
          <w:b w:val="1"/>
          <w:bCs w:val="1"/>
          <w:color w:val="auto"/>
        </w:rPr>
        <w:t xml:space="preserve">Technology and innovation, </w:t>
      </w:r>
      <w:r>
        <w:rPr>
          <w:rFonts w:ascii="Times New Roman" w:cs="Times New Roman" w:eastAsia="Times New Roman" w:hAnsi="Times New Roman"/>
          <w:sz w:val="20"/>
          <w:szCs w:val="20"/>
          <w:color w:val="auto"/>
        </w:rPr>
        <w:t>including the development of new or improved technology to</w:t>
      </w:r>
      <w:r>
        <w:rPr>
          <w:rFonts w:ascii="Times New Roman" w:cs="Times New Roman" w:eastAsia="Times New Roman" w:hAnsi="Times New Roman"/>
          <w:sz w:val="20"/>
          <w:szCs w:val="20"/>
          <w:b w:val="1"/>
          <w:bCs w:val="1"/>
          <w:color w:val="auto"/>
        </w:rPr>
        <w:t xml:space="preserve"> </w:t>
      </w:r>
      <w:r>
        <w:rPr>
          <w:rFonts w:ascii="Times New Roman" w:cs="Times New Roman" w:eastAsia="Times New Roman" w:hAnsi="Times New Roman"/>
          <w:sz w:val="20"/>
          <w:szCs w:val="20"/>
          <w:color w:val="auto"/>
        </w:rPr>
        <w:t>maximise the efficient, high-value utilisation of timber.</w:t>
      </w: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Traditional Owner Knowledge</w:t>
      </w:r>
    </w:p>
    <w:p>
      <w:pPr>
        <w:spacing w:after="0" w:line="287" w:lineRule="exact"/>
        <w:rPr>
          <w:sz w:val="20"/>
          <w:szCs w:val="20"/>
          <w:color w:val="auto"/>
        </w:rPr>
      </w:pPr>
    </w:p>
    <w:p>
      <w:pPr>
        <w:jc w:val="both"/>
        <w:ind w:right="60"/>
        <w:spacing w:after="0" w:line="234" w:lineRule="auto"/>
        <w:rPr>
          <w:sz w:val="20"/>
          <w:szCs w:val="20"/>
          <w:color w:val="auto"/>
        </w:rPr>
      </w:pPr>
      <w:r>
        <w:rPr>
          <w:rFonts w:ascii="Times New Roman" w:cs="Times New Roman" w:eastAsia="Times New Roman" w:hAnsi="Times New Roman"/>
          <w:sz w:val="22"/>
          <w:szCs w:val="22"/>
          <w:color w:val="auto"/>
        </w:rPr>
        <w:t>Traditional Owners are custodians of Traditional Owner Knowledge and have the right to shape directions and priorities in its application.</w:t>
      </w:r>
    </w:p>
    <w:p>
      <w:pPr>
        <w:spacing w:after="0" w:line="251" w:lineRule="exact"/>
        <w:rPr>
          <w:sz w:val="20"/>
          <w:szCs w:val="20"/>
          <w:color w:val="auto"/>
        </w:rPr>
      </w:pPr>
    </w:p>
    <w:p>
      <w:pPr>
        <w:jc w:val="both"/>
        <w:ind w:right="60"/>
        <w:spacing w:after="0" w:line="235" w:lineRule="auto"/>
        <w:rPr>
          <w:sz w:val="20"/>
          <w:szCs w:val="20"/>
          <w:color w:val="auto"/>
        </w:rPr>
      </w:pPr>
      <w:r>
        <w:rPr>
          <w:rFonts w:ascii="Times New Roman" w:cs="Times New Roman" w:eastAsia="Times New Roman" w:hAnsi="Times New Roman"/>
          <w:sz w:val="22"/>
          <w:szCs w:val="22"/>
          <w:color w:val="auto"/>
        </w:rPr>
        <w:t>Victoria commits to partnering with Traditional Owners to confirm Traditional Owner Knowledge priorities for ESFM at least once every five years for so long as the Agreement remains in effect.</w:t>
      </w: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22"/>
          <w:szCs w:val="22"/>
          <w:b w:val="1"/>
          <w:bCs w:val="1"/>
          <w:color w:val="auto"/>
        </w:rPr>
        <w:t>Data Sovereignty</w:t>
      </w:r>
    </w:p>
    <w:p>
      <w:pPr>
        <w:spacing w:after="0" w:line="248" w:lineRule="exact"/>
        <w:rPr>
          <w:sz w:val="20"/>
          <w:szCs w:val="20"/>
          <w:color w:val="auto"/>
        </w:rPr>
      </w:pPr>
    </w:p>
    <w:p>
      <w:pPr>
        <w:jc w:val="both"/>
        <w:ind w:right="40"/>
        <w:spacing w:after="0" w:line="237" w:lineRule="auto"/>
        <w:rPr>
          <w:sz w:val="20"/>
          <w:szCs w:val="20"/>
          <w:color w:val="auto"/>
        </w:rPr>
      </w:pPr>
      <w:r>
        <w:rPr>
          <w:rFonts w:ascii="Times New Roman" w:cs="Times New Roman" w:eastAsia="Times New Roman" w:hAnsi="Times New Roman"/>
          <w:sz w:val="22"/>
          <w:szCs w:val="22"/>
          <w:color w:val="auto"/>
        </w:rPr>
        <w:t>The Parties recognise the United Nations Declaration on the Rights of Indigenous Peoples, including those rights associated with Data Sovereignty. The Parties will have regard to these rights when obtaining, using, applying or making publicly available data in respect of which Traditional Owners assert Data Sovereignty.</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107950</wp:posOffset>
                </wp:positionV>
                <wp:extent cx="182880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8.5pt" to="144pt,8.5pt" o:allowincell="f" strokecolor="#000000" strokeweight="0.7199pt"/>
            </w:pict>
          </mc:Fallback>
        </mc:AlternateContent>
      </w:r>
    </w:p>
    <w:p>
      <w:pPr>
        <w:spacing w:after="0" w:line="266" w:lineRule="exact"/>
        <w:rPr>
          <w:sz w:val="20"/>
          <w:szCs w:val="20"/>
          <w:color w:val="auto"/>
        </w:rPr>
      </w:pPr>
    </w:p>
    <w:p>
      <w:pPr>
        <w:ind w:right="200"/>
        <w:spacing w:after="0" w:line="212" w:lineRule="auto"/>
        <w:tabs>
          <w:tab w:leader="none" w:pos="106" w:val="left"/>
        </w:tabs>
        <w:numPr>
          <w:ilvl w:val="0"/>
          <w:numId w:val="160"/>
        </w:numPr>
        <w:rPr>
          <w:rFonts w:ascii="Times New Roman" w:cs="Times New Roman" w:eastAsia="Times New Roman" w:hAnsi="Times New Roman"/>
          <w:sz w:val="24"/>
          <w:szCs w:val="24"/>
          <w:color w:val="auto"/>
          <w:vertAlign w:val="superscript"/>
        </w:rPr>
      </w:pPr>
      <w:r>
        <w:rPr>
          <w:rFonts w:ascii="Times New Roman" w:cs="Times New Roman" w:eastAsia="Times New Roman" w:hAnsi="Times New Roman"/>
          <w:sz w:val="18"/>
          <w:szCs w:val="18"/>
          <w:color w:val="auto"/>
        </w:rPr>
        <w:t xml:space="preserve">Listed Species and Communities has the same meaning as in the RFA, and means a species or community listed under (a) Part 13 of the </w:t>
      </w:r>
      <w:r>
        <w:rPr>
          <w:rFonts w:ascii="Times New Roman" w:cs="Times New Roman" w:eastAsia="Times New Roman" w:hAnsi="Times New Roman"/>
          <w:sz w:val="18"/>
          <w:szCs w:val="18"/>
          <w:i w:val="1"/>
          <w:iCs w:val="1"/>
          <w:color w:val="auto"/>
        </w:rPr>
        <w:t>Environment Protection and Biodiversity Conservation Act 1999</w:t>
      </w:r>
      <w:r>
        <w:rPr>
          <w:rFonts w:ascii="Times New Roman" w:cs="Times New Roman" w:eastAsia="Times New Roman" w:hAnsi="Times New Roman"/>
          <w:sz w:val="18"/>
          <w:szCs w:val="18"/>
          <w:color w:val="auto"/>
        </w:rPr>
        <w:t xml:space="preserve"> (Cth) or (b) Part 3 of the </w:t>
      </w:r>
      <w:r>
        <w:rPr>
          <w:rFonts w:ascii="Times New Roman" w:cs="Times New Roman" w:eastAsia="Times New Roman" w:hAnsi="Times New Roman"/>
          <w:sz w:val="18"/>
          <w:szCs w:val="18"/>
          <w:i w:val="1"/>
          <w:iCs w:val="1"/>
          <w:color w:val="auto"/>
        </w:rPr>
        <w:t>Flora and Fauna</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 xml:space="preserve">Guarantee Act 1988 </w:t>
      </w:r>
      <w:r>
        <w:rPr>
          <w:rFonts w:ascii="Times New Roman" w:cs="Times New Roman" w:eastAsia="Times New Roman" w:hAnsi="Times New Roman"/>
          <w:sz w:val="18"/>
          <w:szCs w:val="18"/>
          <w:color w:val="auto"/>
        </w:rPr>
        <w:t>(Vic), and that is, or has the potential to be, impacted upon by Forestry Operations.</w:t>
      </w:r>
    </w:p>
    <w:p>
      <w:pPr>
        <w:spacing w:after="0" w:line="244" w:lineRule="exact"/>
        <w:rPr>
          <w:sz w:val="20"/>
          <w:szCs w:val="20"/>
          <w:color w:val="auto"/>
        </w:rPr>
      </w:pPr>
    </w:p>
    <w:p>
      <w:pPr>
        <w:jc w:val="center"/>
        <w:ind w:right="40"/>
        <w:spacing w:after="0"/>
        <w:rPr>
          <w:sz w:val="20"/>
          <w:szCs w:val="20"/>
          <w:color w:val="auto"/>
        </w:rPr>
      </w:pPr>
      <w:r>
        <w:rPr>
          <w:rFonts w:ascii="Calibri" w:cs="Calibri" w:eastAsia="Calibri" w:hAnsi="Calibri"/>
          <w:sz w:val="22"/>
          <w:szCs w:val="22"/>
          <w:color w:val="auto"/>
        </w:rPr>
        <w:t>75</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p>
      <w:pPr>
        <w:sectPr>
          <w:pgSz w:w="11900" w:h="16838" w:orient="portrait"/>
          <w:cols w:equalWidth="0" w:num="1">
            <w:col w:w="9080"/>
          </w:cols>
          <w:pgMar w:left="1440" w:top="1437" w:right="1386" w:bottom="147" w:gutter="0" w:footer="0" w:header="0"/>
        </w:sectPr>
      </w:pPr>
    </w:p>
    <w:bookmarkStart w:id="75" w:name="page76"/>
    <w:bookmarkEnd w:id="75"/>
    <w:p>
      <w:pPr>
        <w:spacing w:after="0" w:line="9" w:lineRule="exact"/>
        <w:rPr>
          <w:sz w:val="20"/>
          <w:szCs w:val="20"/>
          <w:color w:val="auto"/>
        </w:rPr>
      </w:pPr>
    </w:p>
    <w:p>
      <w:pPr>
        <w:ind w:left="7260"/>
        <w:spacing w:after="0"/>
        <w:rPr>
          <w:sz w:val="20"/>
          <w:szCs w:val="20"/>
          <w:color w:val="auto"/>
        </w:rPr>
      </w:pPr>
      <w:r>
        <w:rPr>
          <w:rFonts w:ascii="Times New Roman" w:cs="Times New Roman" w:eastAsia="Times New Roman" w:hAnsi="Times New Roman"/>
          <w:sz w:val="21"/>
          <w:szCs w:val="21"/>
          <w:b w:val="1"/>
          <w:bCs w:val="1"/>
          <w:color w:val="auto"/>
        </w:rPr>
        <w:t>ATTACHMENT 7</w:t>
      </w:r>
    </w:p>
    <w:p>
      <w:pPr>
        <w:spacing w:after="0" w:line="251" w:lineRule="exact"/>
        <w:rPr>
          <w:sz w:val="20"/>
          <w:szCs w:val="20"/>
          <w:color w:val="auto"/>
        </w:rPr>
      </w:pPr>
    </w:p>
    <w:p>
      <w:pPr>
        <w:ind w:right="706"/>
        <w:spacing w:after="0" w:line="264" w:lineRule="auto"/>
        <w:rPr>
          <w:sz w:val="20"/>
          <w:szCs w:val="20"/>
          <w:color w:val="auto"/>
        </w:rPr>
      </w:pPr>
      <w:r>
        <w:rPr>
          <w:rFonts w:ascii="Times New Roman" w:cs="Times New Roman" w:eastAsia="Times New Roman" w:hAnsi="Times New Roman"/>
          <w:sz w:val="22"/>
          <w:szCs w:val="22"/>
          <w:b w:val="1"/>
          <w:bCs w:val="1"/>
          <w:color w:val="auto"/>
        </w:rPr>
        <w:t>MONTREAL PROCESS CRITERIA FOR THE CONSERVATION AND SUSTAINABLE MANAGEMENT OF TEMPERATE AND BOREAL FORESTS</w:t>
      </w:r>
    </w:p>
    <w:p>
      <w:pPr>
        <w:spacing w:after="0" w:line="207" w:lineRule="exact"/>
        <w:rPr>
          <w:sz w:val="20"/>
          <w:szCs w:val="20"/>
          <w:color w:val="auto"/>
        </w:rPr>
      </w:pPr>
    </w:p>
    <w:p>
      <w:pPr>
        <w:spacing w:after="0"/>
        <w:tabs>
          <w:tab w:leader="none" w:pos="1420" w:val="left"/>
        </w:tabs>
        <w:rPr>
          <w:sz w:val="20"/>
          <w:szCs w:val="20"/>
          <w:color w:val="auto"/>
        </w:rPr>
      </w:pPr>
      <w:r>
        <w:rPr>
          <w:rFonts w:ascii="Times New Roman" w:cs="Times New Roman" w:eastAsia="Times New Roman" w:hAnsi="Times New Roman"/>
          <w:sz w:val="22"/>
          <w:szCs w:val="22"/>
          <w:color w:val="auto"/>
        </w:rPr>
        <w:t>Criterion 1:</w:t>
      </w:r>
      <w:r>
        <w:rPr>
          <w:sz w:val="20"/>
          <w:szCs w:val="20"/>
          <w:color w:val="auto"/>
        </w:rPr>
        <w:tab/>
      </w:r>
      <w:r>
        <w:rPr>
          <w:rFonts w:ascii="Times New Roman" w:cs="Times New Roman" w:eastAsia="Times New Roman" w:hAnsi="Times New Roman"/>
          <w:sz w:val="22"/>
          <w:szCs w:val="22"/>
          <w:color w:val="auto"/>
        </w:rPr>
        <w:t>Conservation of biological diversity</w:t>
      </w:r>
    </w:p>
    <w:p>
      <w:pPr>
        <w:spacing w:after="0" w:line="238" w:lineRule="exact"/>
        <w:rPr>
          <w:sz w:val="20"/>
          <w:szCs w:val="20"/>
          <w:color w:val="auto"/>
        </w:rPr>
      </w:pPr>
    </w:p>
    <w:p>
      <w:pPr>
        <w:ind w:left="1720" w:right="5526"/>
        <w:spacing w:after="0" w:line="357" w:lineRule="auto"/>
        <w:rPr>
          <w:sz w:val="20"/>
          <w:szCs w:val="20"/>
          <w:color w:val="auto"/>
        </w:rPr>
      </w:pPr>
      <w:r>
        <w:rPr>
          <w:rFonts w:ascii="Times New Roman" w:cs="Times New Roman" w:eastAsia="Times New Roman" w:hAnsi="Times New Roman"/>
          <w:sz w:val="22"/>
          <w:szCs w:val="22"/>
          <w:color w:val="auto"/>
        </w:rPr>
        <w:t>Ecosystem diversity Species diversity</w:t>
      </w:r>
    </w:p>
    <w:p>
      <w:pPr>
        <w:spacing w:after="0" w:line="13" w:lineRule="exact"/>
        <w:rPr>
          <w:sz w:val="20"/>
          <w:szCs w:val="20"/>
          <w:color w:val="auto"/>
        </w:rPr>
      </w:pPr>
    </w:p>
    <w:p>
      <w:pPr>
        <w:ind w:left="1440"/>
        <w:spacing w:after="0"/>
        <w:rPr>
          <w:sz w:val="20"/>
          <w:szCs w:val="20"/>
          <w:color w:val="auto"/>
        </w:rPr>
      </w:pPr>
      <w:r>
        <w:rPr>
          <w:rFonts w:ascii="Times New Roman" w:cs="Times New Roman" w:eastAsia="Times New Roman" w:hAnsi="Times New Roman"/>
          <w:sz w:val="22"/>
          <w:szCs w:val="22"/>
          <w:color w:val="auto"/>
        </w:rPr>
        <w:t>Genetic diversity</w:t>
      </w:r>
    </w:p>
    <w:p>
      <w:pPr>
        <w:spacing w:after="0" w:line="268" w:lineRule="exact"/>
        <w:rPr>
          <w:sz w:val="20"/>
          <w:szCs w:val="20"/>
          <w:color w:val="auto"/>
        </w:rPr>
      </w:pPr>
    </w:p>
    <w:p>
      <w:pPr>
        <w:spacing w:after="0"/>
        <w:tabs>
          <w:tab w:leader="none" w:pos="1420" w:val="left"/>
        </w:tabs>
        <w:rPr>
          <w:sz w:val="20"/>
          <w:szCs w:val="20"/>
          <w:color w:val="auto"/>
        </w:rPr>
      </w:pPr>
      <w:r>
        <w:rPr>
          <w:rFonts w:ascii="Times New Roman" w:cs="Times New Roman" w:eastAsia="Times New Roman" w:hAnsi="Times New Roman"/>
          <w:sz w:val="22"/>
          <w:szCs w:val="22"/>
          <w:color w:val="auto"/>
        </w:rPr>
        <w:t>Criterion 2:</w:t>
      </w:r>
      <w:r>
        <w:rPr>
          <w:sz w:val="20"/>
          <w:szCs w:val="20"/>
          <w:color w:val="auto"/>
        </w:rPr>
        <w:tab/>
      </w:r>
      <w:r>
        <w:rPr>
          <w:rFonts w:ascii="Times New Roman" w:cs="Times New Roman" w:eastAsia="Times New Roman" w:hAnsi="Times New Roman"/>
          <w:sz w:val="21"/>
          <w:szCs w:val="21"/>
          <w:color w:val="auto"/>
        </w:rPr>
        <w:t>Maintenance of productive capacity of forest ecosystems</w:t>
      </w:r>
    </w:p>
    <w:p>
      <w:pPr>
        <w:spacing w:after="0" w:line="237" w:lineRule="exact"/>
        <w:rPr>
          <w:sz w:val="20"/>
          <w:szCs w:val="20"/>
          <w:color w:val="auto"/>
        </w:rPr>
      </w:pPr>
    </w:p>
    <w:p>
      <w:pPr>
        <w:spacing w:after="0"/>
        <w:tabs>
          <w:tab w:leader="none" w:pos="1420" w:val="left"/>
        </w:tabs>
        <w:rPr>
          <w:sz w:val="20"/>
          <w:szCs w:val="20"/>
          <w:color w:val="auto"/>
        </w:rPr>
      </w:pPr>
      <w:r>
        <w:rPr>
          <w:rFonts w:ascii="Times New Roman" w:cs="Times New Roman" w:eastAsia="Times New Roman" w:hAnsi="Times New Roman"/>
          <w:sz w:val="22"/>
          <w:szCs w:val="22"/>
          <w:color w:val="auto"/>
        </w:rPr>
        <w:t>Criterion 3:</w:t>
      </w:r>
      <w:r>
        <w:rPr>
          <w:sz w:val="20"/>
          <w:szCs w:val="20"/>
          <w:color w:val="auto"/>
        </w:rPr>
        <w:tab/>
      </w:r>
      <w:r>
        <w:rPr>
          <w:rFonts w:ascii="Times New Roman" w:cs="Times New Roman" w:eastAsia="Times New Roman" w:hAnsi="Times New Roman"/>
          <w:sz w:val="21"/>
          <w:szCs w:val="21"/>
          <w:color w:val="auto"/>
        </w:rPr>
        <w:t>Maintenance of ecosystem health and vitality</w:t>
      </w:r>
    </w:p>
    <w:p>
      <w:pPr>
        <w:spacing w:after="0" w:line="239" w:lineRule="exact"/>
        <w:rPr>
          <w:sz w:val="20"/>
          <w:szCs w:val="20"/>
          <w:color w:val="auto"/>
        </w:rPr>
      </w:pPr>
    </w:p>
    <w:p>
      <w:pPr>
        <w:spacing w:after="0"/>
        <w:tabs>
          <w:tab w:leader="none" w:pos="1420" w:val="left"/>
        </w:tabs>
        <w:rPr>
          <w:sz w:val="20"/>
          <w:szCs w:val="20"/>
          <w:color w:val="auto"/>
        </w:rPr>
      </w:pPr>
      <w:r>
        <w:rPr>
          <w:rFonts w:ascii="Times New Roman" w:cs="Times New Roman" w:eastAsia="Times New Roman" w:hAnsi="Times New Roman"/>
          <w:sz w:val="22"/>
          <w:szCs w:val="22"/>
          <w:color w:val="auto"/>
        </w:rPr>
        <w:t>Criterion 4:</w:t>
      </w:r>
      <w:r>
        <w:rPr>
          <w:sz w:val="20"/>
          <w:szCs w:val="20"/>
          <w:color w:val="auto"/>
        </w:rPr>
        <w:tab/>
      </w:r>
      <w:r>
        <w:rPr>
          <w:rFonts w:ascii="Times New Roman" w:cs="Times New Roman" w:eastAsia="Times New Roman" w:hAnsi="Times New Roman"/>
          <w:sz w:val="21"/>
          <w:szCs w:val="21"/>
          <w:color w:val="auto"/>
        </w:rPr>
        <w:t>Conservation and maintenance of soil and water resources</w:t>
      </w:r>
    </w:p>
    <w:p>
      <w:pPr>
        <w:spacing w:after="0" w:line="238" w:lineRule="exact"/>
        <w:rPr>
          <w:sz w:val="20"/>
          <w:szCs w:val="20"/>
          <w:color w:val="auto"/>
        </w:rPr>
      </w:pPr>
    </w:p>
    <w:p>
      <w:pPr>
        <w:ind w:left="1720" w:right="5566"/>
        <w:spacing w:after="0" w:line="355" w:lineRule="auto"/>
        <w:rPr>
          <w:sz w:val="20"/>
          <w:szCs w:val="20"/>
          <w:color w:val="auto"/>
        </w:rPr>
      </w:pPr>
      <w:r>
        <w:rPr>
          <w:rFonts w:ascii="Times New Roman" w:cs="Times New Roman" w:eastAsia="Times New Roman" w:hAnsi="Times New Roman"/>
          <w:sz w:val="22"/>
          <w:szCs w:val="22"/>
          <w:color w:val="auto"/>
        </w:rPr>
        <w:t>Protective Function Soil</w:t>
      </w:r>
    </w:p>
    <w:p>
      <w:pPr>
        <w:spacing w:after="0" w:line="15" w:lineRule="exact"/>
        <w:rPr>
          <w:sz w:val="20"/>
          <w:szCs w:val="20"/>
          <w:color w:val="auto"/>
        </w:rPr>
      </w:pPr>
    </w:p>
    <w:p>
      <w:pPr>
        <w:ind w:left="1440"/>
        <w:spacing w:after="0"/>
        <w:rPr>
          <w:sz w:val="20"/>
          <w:szCs w:val="20"/>
          <w:color w:val="auto"/>
        </w:rPr>
      </w:pPr>
      <w:r>
        <w:rPr>
          <w:rFonts w:ascii="Times New Roman" w:cs="Times New Roman" w:eastAsia="Times New Roman" w:hAnsi="Times New Roman"/>
          <w:sz w:val="22"/>
          <w:szCs w:val="22"/>
          <w:color w:val="auto"/>
        </w:rPr>
        <w:t>Water</w:t>
      </w:r>
    </w:p>
    <w:p>
      <w:pPr>
        <w:spacing w:after="0" w:line="268" w:lineRule="exact"/>
        <w:rPr>
          <w:sz w:val="20"/>
          <w:szCs w:val="20"/>
          <w:color w:val="auto"/>
        </w:rPr>
      </w:pPr>
    </w:p>
    <w:p>
      <w:pPr>
        <w:spacing w:after="0"/>
        <w:tabs>
          <w:tab w:leader="none" w:pos="1420" w:val="left"/>
        </w:tabs>
        <w:rPr>
          <w:sz w:val="20"/>
          <w:szCs w:val="20"/>
          <w:color w:val="auto"/>
        </w:rPr>
      </w:pPr>
      <w:r>
        <w:rPr>
          <w:rFonts w:ascii="Times New Roman" w:cs="Times New Roman" w:eastAsia="Times New Roman" w:hAnsi="Times New Roman"/>
          <w:sz w:val="22"/>
          <w:szCs w:val="22"/>
          <w:color w:val="auto"/>
        </w:rPr>
        <w:t>Criterion 5:</w:t>
      </w:r>
      <w:r>
        <w:rPr>
          <w:sz w:val="20"/>
          <w:szCs w:val="20"/>
          <w:color w:val="auto"/>
        </w:rPr>
        <w:tab/>
      </w:r>
      <w:r>
        <w:rPr>
          <w:rFonts w:ascii="Times New Roman" w:cs="Times New Roman" w:eastAsia="Times New Roman" w:hAnsi="Times New Roman"/>
          <w:sz w:val="22"/>
          <w:szCs w:val="22"/>
          <w:color w:val="auto"/>
        </w:rPr>
        <w:t>Maintenance of forest contribution to global carbon cycles</w:t>
      </w:r>
    </w:p>
    <w:p>
      <w:pPr>
        <w:spacing w:after="0" w:line="251" w:lineRule="exact"/>
        <w:rPr>
          <w:sz w:val="20"/>
          <w:szCs w:val="20"/>
          <w:color w:val="auto"/>
        </w:rPr>
      </w:pPr>
    </w:p>
    <w:p>
      <w:pPr>
        <w:ind w:left="1440" w:right="1486" w:hanging="1439"/>
        <w:spacing w:after="0" w:line="264" w:lineRule="auto"/>
        <w:tabs>
          <w:tab w:leader="none" w:pos="1420" w:val="left"/>
        </w:tabs>
        <w:rPr>
          <w:sz w:val="20"/>
          <w:szCs w:val="20"/>
          <w:color w:val="auto"/>
        </w:rPr>
      </w:pPr>
      <w:r>
        <w:rPr>
          <w:rFonts w:ascii="Times New Roman" w:cs="Times New Roman" w:eastAsia="Times New Roman" w:hAnsi="Times New Roman"/>
          <w:sz w:val="22"/>
          <w:szCs w:val="22"/>
          <w:color w:val="auto"/>
        </w:rPr>
        <w:t>Criterion 6:</w:t>
      </w:r>
      <w:r>
        <w:rPr>
          <w:sz w:val="20"/>
          <w:szCs w:val="20"/>
          <w:color w:val="auto"/>
        </w:rPr>
        <w:tab/>
      </w:r>
      <w:r>
        <w:rPr>
          <w:rFonts w:ascii="Times New Roman" w:cs="Times New Roman" w:eastAsia="Times New Roman" w:hAnsi="Times New Roman"/>
          <w:sz w:val="22"/>
          <w:szCs w:val="22"/>
          <w:color w:val="auto"/>
        </w:rPr>
        <w:t>Maintenance and enhancement of long term multiple socio-economic benefits to meet the needs of societies</w:t>
      </w:r>
    </w:p>
    <w:p>
      <w:pPr>
        <w:spacing w:after="0" w:line="214" w:lineRule="exact"/>
        <w:rPr>
          <w:sz w:val="20"/>
          <w:szCs w:val="20"/>
          <w:color w:val="auto"/>
        </w:rPr>
      </w:pPr>
    </w:p>
    <w:p>
      <w:pPr>
        <w:ind w:left="1720" w:right="4766"/>
        <w:spacing w:after="0" w:line="357" w:lineRule="auto"/>
        <w:rPr>
          <w:sz w:val="20"/>
          <w:szCs w:val="20"/>
          <w:color w:val="auto"/>
        </w:rPr>
      </w:pPr>
      <w:r>
        <w:rPr>
          <w:rFonts w:ascii="Times New Roman" w:cs="Times New Roman" w:eastAsia="Times New Roman" w:hAnsi="Times New Roman"/>
          <w:sz w:val="22"/>
          <w:szCs w:val="22"/>
          <w:color w:val="auto"/>
        </w:rPr>
        <w:t>Production and consumption Recreation and tourism</w:t>
      </w:r>
    </w:p>
    <w:p>
      <w:pPr>
        <w:spacing w:after="0" w:line="13" w:lineRule="exact"/>
        <w:rPr>
          <w:sz w:val="20"/>
          <w:szCs w:val="20"/>
          <w:color w:val="auto"/>
        </w:rPr>
      </w:pPr>
    </w:p>
    <w:p>
      <w:pPr>
        <w:ind w:left="1440"/>
        <w:spacing w:after="0"/>
        <w:rPr>
          <w:sz w:val="20"/>
          <w:szCs w:val="20"/>
          <w:color w:val="auto"/>
        </w:rPr>
      </w:pPr>
      <w:r>
        <w:rPr>
          <w:rFonts w:ascii="Times New Roman" w:cs="Times New Roman" w:eastAsia="Times New Roman" w:hAnsi="Times New Roman"/>
          <w:sz w:val="22"/>
          <w:szCs w:val="22"/>
          <w:color w:val="auto"/>
        </w:rPr>
        <w:t>Investment in the forest sector</w:t>
      </w:r>
    </w:p>
    <w:p>
      <w:pPr>
        <w:spacing w:after="0" w:line="147" w:lineRule="exact"/>
        <w:rPr>
          <w:sz w:val="20"/>
          <w:szCs w:val="20"/>
          <w:color w:val="auto"/>
        </w:rPr>
      </w:pPr>
    </w:p>
    <w:p>
      <w:pPr>
        <w:ind w:left="1720" w:right="3266"/>
        <w:spacing w:after="0" w:line="357" w:lineRule="auto"/>
        <w:rPr>
          <w:sz w:val="20"/>
          <w:szCs w:val="20"/>
          <w:color w:val="auto"/>
        </w:rPr>
      </w:pPr>
      <w:r>
        <w:rPr>
          <w:rFonts w:ascii="Times New Roman" w:cs="Times New Roman" w:eastAsia="Times New Roman" w:hAnsi="Times New Roman"/>
          <w:sz w:val="22"/>
          <w:szCs w:val="22"/>
          <w:color w:val="auto"/>
        </w:rPr>
        <w:t>Cultural, social and spiritual needs and values Employment and community needs</w:t>
      </w:r>
    </w:p>
    <w:p>
      <w:pPr>
        <w:spacing w:after="0" w:line="158" w:lineRule="exact"/>
        <w:rPr>
          <w:sz w:val="20"/>
          <w:szCs w:val="20"/>
          <w:color w:val="auto"/>
        </w:rPr>
      </w:pPr>
    </w:p>
    <w:p>
      <w:pPr>
        <w:ind w:left="1440" w:right="6" w:hanging="1439"/>
        <w:spacing w:after="0" w:line="264" w:lineRule="auto"/>
        <w:tabs>
          <w:tab w:leader="none" w:pos="1420" w:val="left"/>
        </w:tabs>
        <w:rPr>
          <w:sz w:val="20"/>
          <w:szCs w:val="20"/>
          <w:color w:val="auto"/>
        </w:rPr>
      </w:pPr>
      <w:r>
        <w:rPr>
          <w:rFonts w:ascii="Times New Roman" w:cs="Times New Roman" w:eastAsia="Times New Roman" w:hAnsi="Times New Roman"/>
          <w:sz w:val="22"/>
          <w:szCs w:val="22"/>
          <w:color w:val="auto"/>
        </w:rPr>
        <w:t>Criterion 7:</w:t>
      </w:r>
      <w:r>
        <w:rPr>
          <w:sz w:val="20"/>
          <w:szCs w:val="20"/>
          <w:color w:val="auto"/>
        </w:rPr>
        <w:tab/>
      </w:r>
      <w:r>
        <w:rPr>
          <w:rFonts w:ascii="Times New Roman" w:cs="Times New Roman" w:eastAsia="Times New Roman" w:hAnsi="Times New Roman"/>
          <w:sz w:val="22"/>
          <w:szCs w:val="22"/>
          <w:color w:val="auto"/>
        </w:rPr>
        <w:t>Legal, institutional and economic framework for forest conservation and sustainable management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jc w:val="center"/>
        <w:ind w:right="6"/>
        <w:spacing w:after="0"/>
        <w:rPr>
          <w:sz w:val="20"/>
          <w:szCs w:val="20"/>
          <w:color w:val="auto"/>
        </w:rPr>
      </w:pPr>
      <w:r>
        <w:rPr>
          <w:rFonts w:ascii="Calibri" w:cs="Calibri" w:eastAsia="Calibri" w:hAnsi="Calibri"/>
          <w:sz w:val="22"/>
          <w:szCs w:val="22"/>
          <w:color w:val="auto"/>
        </w:rPr>
        <w:t>76</w:t>
      </w:r>
    </w:p>
    <w:p>
      <w:pPr>
        <w:spacing w:after="0" w:line="271" w:lineRule="exact"/>
        <w:rPr>
          <w:sz w:val="20"/>
          <w:szCs w:val="20"/>
          <w:color w:val="auto"/>
        </w:rPr>
      </w:pPr>
    </w:p>
    <w:p>
      <w:pPr>
        <w:spacing w:after="0"/>
        <w:rPr>
          <w:sz w:val="20"/>
          <w:szCs w:val="20"/>
          <w:color w:val="auto"/>
        </w:rPr>
      </w:pPr>
      <w:r>
        <w:rPr>
          <w:rFonts w:ascii="Calibri" w:cs="Calibri" w:eastAsia="Calibri" w:hAnsi="Calibri"/>
          <w:sz w:val="16"/>
          <w:szCs w:val="16"/>
          <w:color w:val="auto"/>
        </w:rPr>
        <w:t>36270240</w:t>
      </w:r>
    </w:p>
    <w:sectPr>
      <w:pgSz w:w="11900" w:h="16838" w:orient="portrait"/>
      <w:cols w:equalWidth="0" w:num="1">
        <w:col w:w="9026"/>
      </w:cols>
      <w:pgMar w:left="1440" w:top="1440" w:right="1440" w:bottom="147"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14330624"/>
    <w:multiLevelType w:val="hybridMultilevel"/>
    <w:lvl w:ilvl="0">
      <w:lvlJc w:val="left"/>
      <w:lvlText w:val="%1"/>
      <w:numFmt w:val="upperLetter"/>
      <w:start w:val="1"/>
    </w:lvl>
    <w:lvl w:ilvl="1">
      <w:lvlJc w:val="left"/>
      <w:lvlText w:val=" "/>
      <w:numFmt w:val="bullet"/>
      <w:start w:val="1"/>
    </w:lvl>
  </w:abstractNum>
  <w:abstractNum w:abstractNumId="1">
    <w:nsid w:val="7FFFCA11"/>
    <w:multiLevelType w:val="hybridMultilevel"/>
    <w:lvl w:ilvl="0">
      <w:lvlJc w:val="left"/>
      <w:lvlText w:val=" "/>
      <w:numFmt w:val="bullet"/>
      <w:start w:val="1"/>
    </w:lvl>
    <w:lvl w:ilvl="1">
      <w:lvlJc w:val="left"/>
      <w:lvlText w:val="(%2)"/>
      <w:numFmt w:val="lowerLetter"/>
      <w:start w:val="1"/>
    </w:lvl>
  </w:abstractNum>
  <w:abstractNum w:abstractNumId="2">
    <w:nsid w:val="1A27709E"/>
    <w:multiLevelType w:val="hybridMultilevel"/>
    <w:lvl w:ilvl="0">
      <w:lvlJc w:val="left"/>
      <w:lvlText w:val="%1"/>
      <w:numFmt w:val="upperLetter"/>
      <w:start w:val="3"/>
    </w:lvl>
  </w:abstractNum>
  <w:abstractNum w:abstractNumId="3">
    <w:nsid w:val="71EA1109"/>
    <w:multiLevelType w:val="hybridMultilevel"/>
    <w:lvl w:ilvl="0">
      <w:lvlJc w:val="left"/>
      <w:lvlText w:val="%1."/>
      <w:numFmt w:val="decimal"/>
      <w:start w:val="1"/>
    </w:lvl>
  </w:abstractNum>
  <w:abstractNum w:abstractNumId="4">
    <w:nsid w:val="100F59DC"/>
    <w:multiLevelType w:val="hybridMultilevel"/>
    <w:lvl w:ilvl="0">
      <w:lvlJc w:val="left"/>
      <w:lvlText w:val="%1."/>
      <w:numFmt w:val="decimal"/>
      <w:start w:val="2"/>
    </w:lvl>
    <w:lvl w:ilvl="1">
      <w:lvlJc w:val="left"/>
      <w:lvlText w:val="(%2)"/>
      <w:numFmt w:val="lowerLetter"/>
      <w:start w:val="1"/>
    </w:lvl>
  </w:abstractNum>
  <w:abstractNum w:abstractNumId="5">
    <w:nsid w:val="7FB7E0AA"/>
    <w:multiLevelType w:val="hybridMultilevel"/>
    <w:lvl w:ilvl="0">
      <w:lvlJc w:val="left"/>
      <w:lvlText w:val="(%1)"/>
      <w:numFmt w:val="lowerLetter"/>
      <w:start w:val="1"/>
    </w:lvl>
  </w:abstractNum>
  <w:abstractNum w:abstractNumId="6">
    <w:nsid w:val="6EB5BD4"/>
    <w:multiLevelType w:val="hybridMultilevel"/>
    <w:lvl w:ilvl="0">
      <w:lvlJc w:val="left"/>
      <w:lvlText w:val="(%1)"/>
      <w:numFmt w:val="lowerLetter"/>
      <w:start w:val="1"/>
    </w:lvl>
    <w:lvl w:ilvl="1">
      <w:lvlJc w:val="left"/>
      <w:lvlText w:val="(%2)"/>
      <w:numFmt w:val="lowerRoman"/>
      <w:start w:val="1"/>
    </w:lvl>
  </w:abstractNum>
  <w:abstractNum w:abstractNumId="7">
    <w:nsid w:val="6F6DD9AC"/>
    <w:multiLevelType w:val="hybridMultilevel"/>
    <w:lvl w:ilvl="0">
      <w:lvlJc w:val="left"/>
      <w:lvlText w:val="(%1)"/>
      <w:numFmt w:val="lowerRoman"/>
      <w:start w:val="3"/>
    </w:lvl>
  </w:abstractNum>
  <w:abstractNum w:abstractNumId="8">
    <w:nsid w:val="94211F2"/>
    <w:multiLevelType w:val="hybridMultilevel"/>
    <w:lvl w:ilvl="0">
      <w:lvlJc w:val="left"/>
      <w:lvlText w:val="(%1)"/>
      <w:numFmt w:val="lowerLetter"/>
      <w:start w:val="1"/>
    </w:lvl>
  </w:abstractNum>
  <w:abstractNum w:abstractNumId="9">
    <w:nsid w:val="885E1B"/>
    <w:multiLevelType w:val="hybridMultilevel"/>
    <w:lvl w:ilvl="0">
      <w:lvlJc w:val="left"/>
      <w:lvlText w:val="(%1)"/>
      <w:numFmt w:val="lowerLetter"/>
      <w:start w:val="1"/>
    </w:lvl>
    <w:lvl w:ilvl="1">
      <w:lvlJc w:val="left"/>
      <w:lvlText w:val="(%2)"/>
      <w:numFmt w:val="lowerRoman"/>
      <w:start w:val="1"/>
    </w:lvl>
  </w:abstractNum>
  <w:abstractNum w:abstractNumId="10">
    <w:nsid w:val="76272110"/>
    <w:multiLevelType w:val="hybridMultilevel"/>
    <w:lvl w:ilvl="0">
      <w:lvlJc w:val="left"/>
      <w:lvlText w:val="(%1)"/>
      <w:numFmt w:val="lowerLetter"/>
      <w:start w:val="1"/>
    </w:lvl>
  </w:abstractNum>
  <w:abstractNum w:abstractNumId="11">
    <w:nsid w:val="4C04A8AF"/>
    <w:multiLevelType w:val="hybridMultilevel"/>
    <w:lvl w:ilvl="0">
      <w:lvlJc w:val="left"/>
      <w:lvlText w:val="(%1)"/>
      <w:numFmt w:val="lowerLetter"/>
      <w:start w:val="1"/>
    </w:lvl>
  </w:abstractNum>
  <w:abstractNum w:abstractNumId="12">
    <w:nsid w:val="1716703B"/>
    <w:multiLevelType w:val="hybridMultilevel"/>
    <w:lvl w:ilvl="0">
      <w:lvlJc w:val="left"/>
      <w:lvlText w:val="(%1)"/>
      <w:numFmt w:val="lowerLetter"/>
      <w:start w:val="1"/>
    </w:lvl>
  </w:abstractNum>
  <w:abstractNum w:abstractNumId="13">
    <w:nsid w:val="14E17E33"/>
    <w:multiLevelType w:val="hybridMultilevel"/>
    <w:lvl w:ilvl="0">
      <w:lvlJc w:val="left"/>
      <w:lvlText w:val="(%1)"/>
      <w:numFmt w:val="lowerLetter"/>
      <w:start w:val="1"/>
    </w:lvl>
  </w:abstractNum>
  <w:abstractNum w:abstractNumId="14">
    <w:nsid w:val="3222E7CD"/>
    <w:multiLevelType w:val="hybridMultilevel"/>
    <w:lvl w:ilvl="0">
      <w:lvlJc w:val="left"/>
      <w:lvlText w:val="(%1)"/>
      <w:numFmt w:val="lowerLetter"/>
      <w:start w:val="1"/>
    </w:lvl>
  </w:abstractNum>
  <w:abstractNum w:abstractNumId="15">
    <w:nsid w:val="74DE0EE3"/>
    <w:multiLevelType w:val="hybridMultilevel"/>
    <w:lvl w:ilvl="0">
      <w:lvlJc w:val="left"/>
      <w:lvlText w:val="(%1)"/>
      <w:numFmt w:val="lowerLetter"/>
      <w:start w:val="1"/>
    </w:lvl>
  </w:abstractNum>
  <w:abstractNum w:abstractNumId="16">
    <w:nsid w:val="68EBC550"/>
    <w:multiLevelType w:val="hybridMultilevel"/>
    <w:lvl w:ilvl="0">
      <w:lvlJc w:val="left"/>
      <w:lvlText w:val="(%1)"/>
      <w:numFmt w:val="lowerLetter"/>
      <w:start w:val="1"/>
    </w:lvl>
  </w:abstractNum>
  <w:abstractNum w:abstractNumId="17">
    <w:nsid w:val="2DF6D648"/>
    <w:multiLevelType w:val="hybridMultilevel"/>
    <w:lvl w:ilvl="0">
      <w:lvlJc w:val="left"/>
      <w:lvlText w:val="%1."/>
      <w:numFmt w:val="decimal"/>
      <w:start w:val="3"/>
    </w:lvl>
    <w:lvl w:ilvl="1">
      <w:lvlJc w:val="left"/>
      <w:lvlText w:val="(%2)"/>
      <w:numFmt w:val="lowerLetter"/>
      <w:start w:val="1"/>
    </w:lvl>
  </w:abstractNum>
  <w:abstractNum w:abstractNumId="18">
    <w:nsid w:val="46B7D447"/>
    <w:multiLevelType w:val="hybridMultilevel"/>
    <w:lvl w:ilvl="0">
      <w:lvlJc w:val="left"/>
      <w:lvlText w:val="%1."/>
      <w:numFmt w:val="decimal"/>
      <w:start w:val="4"/>
    </w:lvl>
  </w:abstractNum>
  <w:abstractNum w:abstractNumId="19">
    <w:nsid w:val="4A2AC315"/>
    <w:multiLevelType w:val="hybridMultilevel"/>
    <w:lvl w:ilvl="0">
      <w:lvlJc w:val="left"/>
      <w:lvlText w:val="%1"/>
      <w:numFmt w:val="decimal"/>
      <w:start w:val="1"/>
    </w:lvl>
    <w:lvl w:ilvl="1">
      <w:lvlJc w:val="left"/>
      <w:lvlText w:val="%2."/>
      <w:numFmt w:val="decimal"/>
      <w:start w:val="5"/>
    </w:lvl>
    <w:lvl w:ilvl="2">
      <w:lvlJc w:val="left"/>
      <w:lvlText w:val="(%3)"/>
      <w:numFmt w:val="lowerLetter"/>
      <w:start w:val="1"/>
    </w:lvl>
  </w:abstractNum>
  <w:abstractNum w:abstractNumId="20">
    <w:nsid w:val="39EE015C"/>
    <w:multiLevelType w:val="hybridMultilevel"/>
    <w:lvl w:ilvl="0">
      <w:lvlJc w:val="left"/>
      <w:lvlText w:val="%1."/>
      <w:numFmt w:val="decimal"/>
      <w:start w:val="6"/>
    </w:lvl>
    <w:lvl w:ilvl="1">
      <w:lvlJc w:val="left"/>
      <w:lvlText w:val="%2"/>
      <w:numFmt w:val="decimal"/>
      <w:start w:val="1"/>
    </w:lvl>
    <w:lvl w:ilvl="2">
      <w:lvlJc w:val="left"/>
      <w:lvlText w:val="%3"/>
      <w:numFmt w:val="lowerLetter"/>
      <w:start w:val="1"/>
    </w:lvl>
  </w:abstractNum>
  <w:abstractNum w:abstractNumId="21">
    <w:nsid w:val="57FC4FBB"/>
    <w:multiLevelType w:val="hybridMultilevel"/>
    <w:lvl w:ilvl="0">
      <w:lvlJc w:val="left"/>
      <w:lvlText w:val="(%1)"/>
      <w:numFmt w:val="lowerLetter"/>
      <w:start w:val="1"/>
    </w:lvl>
  </w:abstractNum>
  <w:abstractNum w:abstractNumId="22">
    <w:nsid w:val="CC1016F"/>
    <w:multiLevelType w:val="hybridMultilevel"/>
    <w:lvl w:ilvl="0">
      <w:lvlJc w:val="left"/>
      <w:lvlText w:val="%1."/>
      <w:numFmt w:val="decimal"/>
      <w:start w:val="7"/>
    </w:lvl>
    <w:lvl w:ilvl="1">
      <w:lvlJc w:val="left"/>
      <w:lvlText w:val="(%2)"/>
      <w:numFmt w:val="lowerLetter"/>
      <w:start w:val="1"/>
    </w:lvl>
  </w:abstractNum>
  <w:abstractNum w:abstractNumId="23">
    <w:nsid w:val="43F18422"/>
    <w:multiLevelType w:val="hybridMultilevel"/>
    <w:lvl w:ilvl="0">
      <w:lvlJc w:val="left"/>
      <w:lvlText w:val="%1."/>
      <w:numFmt w:val="decimal"/>
      <w:start w:val="8"/>
    </w:lvl>
  </w:abstractNum>
  <w:abstractNum w:abstractNumId="24">
    <w:nsid w:val="60EF0119"/>
    <w:multiLevelType w:val="hybridMultilevel"/>
    <w:lvl w:ilvl="0">
      <w:lvlJc w:val="left"/>
      <w:lvlText w:val="%1."/>
      <w:numFmt w:val="decimal"/>
      <w:start w:val="9"/>
    </w:lvl>
    <w:lvl w:ilvl="1">
      <w:lvlJc w:val="left"/>
      <w:lvlText w:val="(%2)"/>
      <w:numFmt w:val="lowerLetter"/>
      <w:start w:val="1"/>
    </w:lvl>
  </w:abstractNum>
  <w:abstractNum w:abstractNumId="25">
    <w:nsid w:val="26F324BA"/>
    <w:multiLevelType w:val="hybridMultilevel"/>
    <w:lvl w:ilvl="0">
      <w:lvlJc w:val="left"/>
      <w:lvlText w:val="%1."/>
      <w:numFmt w:val="decimal"/>
      <w:start w:val="15"/>
    </w:lvl>
  </w:abstractNum>
  <w:abstractNum w:abstractNumId="26">
    <w:nsid w:val="7F01579B"/>
    <w:multiLevelType w:val="hybridMultilevel"/>
    <w:lvl w:ilvl="0">
      <w:lvlJc w:val="left"/>
      <w:lvlText w:val="%1."/>
      <w:numFmt w:val="decimal"/>
      <w:start w:val="16"/>
    </w:lvl>
  </w:abstractNum>
  <w:abstractNum w:abstractNumId="27">
    <w:nsid w:val="49DA307D"/>
    <w:multiLevelType w:val="hybridMultilevel"/>
    <w:lvl w:ilvl="0">
      <w:lvlJc w:val="left"/>
      <w:lvlText w:val="%1."/>
      <w:numFmt w:val="decimal"/>
      <w:start w:val="17"/>
    </w:lvl>
  </w:abstractNum>
  <w:abstractNum w:abstractNumId="28">
    <w:nsid w:val="7055A5F5"/>
    <w:multiLevelType w:val="hybridMultilevel"/>
    <w:lvl w:ilvl="0">
      <w:lvlJc w:val="left"/>
      <w:lvlText w:val="%1."/>
      <w:numFmt w:val="decimal"/>
      <w:start w:val="18"/>
    </w:lvl>
  </w:abstractNum>
  <w:abstractNum w:abstractNumId="29">
    <w:nsid w:val="5FB8370B"/>
    <w:multiLevelType w:val="hybridMultilevel"/>
    <w:lvl w:ilvl="0">
      <w:lvlJc w:val="left"/>
      <w:lvlText w:val="(%1)"/>
      <w:numFmt w:val="lowerLetter"/>
      <w:start w:val="1"/>
    </w:lvl>
  </w:abstractNum>
  <w:abstractNum w:abstractNumId="30">
    <w:nsid w:val="50801EE1"/>
    <w:multiLevelType w:val="hybridMultilevel"/>
    <w:lvl w:ilvl="0">
      <w:lvlJc w:val="left"/>
      <w:lvlText w:val="(%1)"/>
      <w:numFmt w:val="lowerLetter"/>
      <w:start w:val="1"/>
    </w:lvl>
  </w:abstractNum>
  <w:abstractNum w:abstractNumId="31">
    <w:nsid w:val="488AC1A"/>
    <w:multiLevelType w:val="hybridMultilevel"/>
    <w:lvl w:ilvl="0">
      <w:lvlJc w:val="left"/>
      <w:lvlText w:val="(%1)"/>
      <w:numFmt w:val="lowerRoman"/>
      <w:start w:val="1"/>
    </w:lvl>
  </w:abstractNum>
  <w:abstractNum w:abstractNumId="32">
    <w:nsid w:val="5FB8011C"/>
    <w:multiLevelType w:val="hybridMultilevel"/>
    <w:lvl w:ilvl="0">
      <w:lvlJc w:val="left"/>
      <w:lvlText w:val="(%1)"/>
      <w:numFmt w:val="lowerLetter"/>
      <w:start w:val="1"/>
    </w:lvl>
  </w:abstractNum>
  <w:abstractNum w:abstractNumId="33">
    <w:nsid w:val="6AA78F7F"/>
    <w:multiLevelType w:val="hybridMultilevel"/>
    <w:lvl w:ilvl="0">
      <w:lvlJc w:val="left"/>
      <w:lvlText w:val="(%1)"/>
      <w:numFmt w:val="lowerRoman"/>
      <w:start w:val="1"/>
    </w:lvl>
  </w:abstractNum>
  <w:abstractNum w:abstractNumId="34">
    <w:nsid w:val="7672BD23"/>
    <w:multiLevelType w:val="hybridMultilevel"/>
    <w:lvl w:ilvl="0">
      <w:lvlJc w:val="left"/>
      <w:lvlText w:val="(%1)"/>
      <w:numFmt w:val="lowerLetter"/>
      <w:start w:val="1"/>
    </w:lvl>
  </w:abstractNum>
  <w:abstractNum w:abstractNumId="35">
    <w:nsid w:val="6FC75AF8"/>
    <w:multiLevelType w:val="hybridMultilevel"/>
    <w:lvl w:ilvl="0">
      <w:lvlJc w:val="left"/>
      <w:lvlText w:val="(%1)"/>
      <w:numFmt w:val="lowerLetter"/>
      <w:start w:val="2"/>
    </w:lvl>
  </w:abstractNum>
  <w:abstractNum w:abstractNumId="36">
    <w:nsid w:val="6A5F7029"/>
    <w:multiLevelType w:val="hybridMultilevel"/>
    <w:lvl w:ilvl="0">
      <w:lvlJc w:val="left"/>
      <w:lvlText w:val="(%1)"/>
      <w:numFmt w:val="lowerLetter"/>
      <w:start w:val="1"/>
    </w:lvl>
    <w:lvl w:ilvl="1">
      <w:lvlJc w:val="left"/>
      <w:lvlText w:val="(%2)"/>
      <w:numFmt w:val="lowerRoman"/>
      <w:start w:val="1"/>
    </w:lvl>
  </w:abstractNum>
  <w:abstractNum w:abstractNumId="37">
    <w:nsid w:val="7D5E18F8"/>
    <w:multiLevelType w:val="hybridMultilevel"/>
    <w:lvl w:ilvl="0">
      <w:lvlJc w:val="left"/>
      <w:lvlText w:val="(%1)"/>
      <w:numFmt w:val="lowerLetter"/>
      <w:start w:val="2"/>
    </w:lvl>
  </w:abstractNum>
  <w:abstractNum w:abstractNumId="38">
    <w:nsid w:val="5F3534A4"/>
    <w:multiLevelType w:val="hybridMultilevel"/>
    <w:lvl w:ilvl="0">
      <w:lvlJc w:val="left"/>
      <w:lvlText w:val="(%1)"/>
      <w:numFmt w:val="lowerLetter"/>
      <w:start w:val="1"/>
    </w:lvl>
  </w:abstractNum>
  <w:abstractNum w:abstractNumId="39">
    <w:nsid w:val="73A1821B"/>
    <w:multiLevelType w:val="hybridMultilevel"/>
    <w:lvl w:ilvl="0">
      <w:lvlJc w:val="left"/>
      <w:lvlText w:val="(%1)"/>
      <w:numFmt w:val="lowerLetter"/>
      <w:start w:val="1"/>
    </w:lvl>
  </w:abstractNum>
  <w:abstractNum w:abstractNumId="40">
    <w:nsid w:val="7DE67713"/>
    <w:multiLevelType w:val="hybridMultilevel"/>
    <w:lvl w:ilvl="0">
      <w:lvlJc w:val="left"/>
      <w:lvlText w:val="(%1)"/>
      <w:numFmt w:val="lowerLetter"/>
      <w:start w:val="1"/>
    </w:lvl>
    <w:lvl w:ilvl="1">
      <w:lvlJc w:val="left"/>
      <w:lvlText w:val="(%2)"/>
      <w:numFmt w:val="lowerRoman"/>
      <w:start w:val="1"/>
    </w:lvl>
  </w:abstractNum>
  <w:abstractNum w:abstractNumId="41">
    <w:nsid w:val="555C55B5"/>
    <w:multiLevelType w:val="hybridMultilevel"/>
    <w:lvl w:ilvl="0">
      <w:lvlJc w:val="left"/>
      <w:lvlText w:val="(%1)"/>
      <w:numFmt w:val="lowerLetter"/>
      <w:start w:val="3"/>
    </w:lvl>
  </w:abstractNum>
  <w:abstractNum w:abstractNumId="42">
    <w:nsid w:val="3FA62ACA"/>
    <w:multiLevelType w:val="hybridMultilevel"/>
    <w:lvl w:ilvl="0">
      <w:lvlJc w:val="left"/>
      <w:lvlText w:val="%1."/>
      <w:numFmt w:val="decimal"/>
      <w:start w:val="26"/>
    </w:lvl>
  </w:abstractNum>
  <w:abstractNum w:abstractNumId="43">
    <w:nsid w:val="14FCE74E"/>
    <w:multiLevelType w:val="hybridMultilevel"/>
    <w:lvl w:ilvl="0">
      <w:lvlJc w:val="left"/>
      <w:lvlText w:val="(%1)"/>
      <w:numFmt w:val="lowerLetter"/>
      <w:start w:val="1"/>
    </w:lvl>
  </w:abstractNum>
  <w:abstractNum w:abstractNumId="44">
    <w:nsid w:val="6A3DD3E8"/>
    <w:multiLevelType w:val="hybridMultilevel"/>
    <w:lvl w:ilvl="0">
      <w:lvlJc w:val="left"/>
      <w:lvlText w:val="%1"/>
      <w:numFmt w:val="decimal"/>
      <w:start w:val="1"/>
    </w:lvl>
    <w:lvl w:ilvl="1">
      <w:lvlJc w:val="left"/>
      <w:lvlText w:val="(%2)"/>
      <w:numFmt w:val="lowerLetter"/>
      <w:start w:val="2"/>
    </w:lvl>
  </w:abstractNum>
  <w:abstractNum w:abstractNumId="45">
    <w:nsid w:val="71C91298"/>
    <w:multiLevelType w:val="hybridMultilevel"/>
    <w:lvl w:ilvl="0">
      <w:lvlJc w:val="left"/>
      <w:lvlText w:val="%1."/>
      <w:numFmt w:val="decimal"/>
      <w:start w:val="27"/>
    </w:lvl>
    <w:lvl w:ilvl="1">
      <w:lvlJc w:val="left"/>
      <w:lvlText w:val="%2"/>
      <w:numFmt w:val="lowerLetter"/>
      <w:start w:val="1"/>
    </w:lvl>
  </w:abstractNum>
  <w:abstractNum w:abstractNumId="46">
    <w:nsid w:val="9DAF632"/>
    <w:multiLevelType w:val="hybridMultilevel"/>
    <w:lvl w:ilvl="0">
      <w:lvlJc w:val="left"/>
      <w:lvlText w:val="%1."/>
      <w:numFmt w:val="decimal"/>
      <w:start w:val="31"/>
    </w:lvl>
    <w:lvl w:ilvl="1">
      <w:lvlJc w:val="left"/>
      <w:lvlText w:val="(%2)"/>
      <w:numFmt w:val="lowerLetter"/>
      <w:start w:val="1"/>
    </w:lvl>
  </w:abstractNum>
  <w:abstractNum w:abstractNumId="47">
    <w:nsid w:val="53299938"/>
    <w:multiLevelType w:val="hybridMultilevel"/>
    <w:lvl w:ilvl="0">
      <w:lvlJc w:val="left"/>
      <w:lvlText w:val="(%1)"/>
      <w:numFmt w:val="lowerLetter"/>
      <w:start w:val="1"/>
    </w:lvl>
  </w:abstractNum>
  <w:abstractNum w:abstractNumId="48">
    <w:nsid w:val="1FBFE8E0"/>
    <w:multiLevelType w:val="hybridMultilevel"/>
    <w:lvl w:ilvl="0">
      <w:lvlJc w:val="left"/>
      <w:lvlText w:val="%1."/>
      <w:numFmt w:val="decimal"/>
      <w:start w:val="35"/>
    </w:lvl>
  </w:abstractNum>
  <w:abstractNum w:abstractNumId="49">
    <w:nsid w:val="5092CA79"/>
    <w:multiLevelType w:val="hybridMultilevel"/>
    <w:lvl w:ilvl="0">
      <w:lvlJc w:val="left"/>
      <w:lvlText w:val="(%1)"/>
      <w:numFmt w:val="lowerLetter"/>
      <w:start w:val="1"/>
    </w:lvl>
  </w:abstractNum>
  <w:abstractNum w:abstractNumId="50">
    <w:nsid w:val="1D545C4D"/>
    <w:multiLevelType w:val="hybridMultilevel"/>
    <w:lvl w:ilvl="0">
      <w:lvlJc w:val="left"/>
      <w:lvlText w:val="%1."/>
      <w:numFmt w:val="decimal"/>
      <w:start w:val="36"/>
    </w:lvl>
    <w:lvl w:ilvl="1">
      <w:lvlJc w:val="left"/>
      <w:lvlText w:val="(%2)"/>
      <w:numFmt w:val="lowerLetter"/>
      <w:start w:val="1"/>
    </w:lvl>
    <w:lvl w:ilvl="2">
      <w:lvlJc w:val="left"/>
      <w:lvlText w:val="(%3)"/>
      <w:numFmt w:val="lowerRoman"/>
      <w:start w:val="1"/>
    </w:lvl>
  </w:abstractNum>
  <w:abstractNum w:abstractNumId="51">
    <w:nsid w:val="59ADEA3D"/>
    <w:multiLevelType w:val="hybridMultilevel"/>
    <w:lvl w:ilvl="0">
      <w:lvlJc w:val="left"/>
      <w:lvlText w:val="%1"/>
      <w:numFmt w:val="lowerLetter"/>
      <w:start w:val="1"/>
    </w:lvl>
    <w:lvl w:ilvl="1">
      <w:lvlJc w:val="left"/>
      <w:lvlText w:val="(%2)"/>
      <w:numFmt w:val="lowerRoman"/>
      <w:start w:val="5"/>
    </w:lvl>
  </w:abstractNum>
  <w:abstractNum w:abstractNumId="52">
    <w:nsid w:val="288F1A34"/>
    <w:multiLevelType w:val="hybridMultilevel"/>
    <w:lvl w:ilvl="0">
      <w:lvlJc w:val="left"/>
      <w:lvlText w:val="(%1)"/>
      <w:numFmt w:val="lowerLetter"/>
      <w:start w:val="2"/>
    </w:lvl>
    <w:lvl w:ilvl="1">
      <w:lvlJc w:val="left"/>
      <w:lvlText w:val="%2"/>
      <w:numFmt w:val="lowerRoman"/>
      <w:start w:val="1"/>
    </w:lvl>
  </w:abstractNum>
  <w:abstractNum w:abstractNumId="53">
    <w:nsid w:val="2A155DBC"/>
    <w:multiLevelType w:val="hybridMultilevel"/>
    <w:lvl w:ilvl="0">
      <w:lvlJc w:val="left"/>
      <w:lvlText w:val="%1."/>
      <w:numFmt w:val="decimal"/>
      <w:start w:val="37"/>
    </w:lvl>
  </w:abstractNum>
  <w:abstractNum w:abstractNumId="54">
    <w:nsid w:val="1D9F6E5F"/>
    <w:multiLevelType w:val="hybridMultilevel"/>
    <w:lvl w:ilvl="0">
      <w:lvlJc w:val="left"/>
      <w:lvlText w:val="(%1)"/>
      <w:numFmt w:val="lowerLetter"/>
      <w:start w:val="1"/>
    </w:lvl>
  </w:abstractNum>
  <w:abstractNum w:abstractNumId="55">
    <w:nsid w:val="97E1B4E"/>
    <w:multiLevelType w:val="hybridMultilevel"/>
    <w:lvl w:ilvl="0">
      <w:lvlJc w:val="left"/>
      <w:lvlText w:val="(%1)"/>
      <w:numFmt w:val="lowerLetter"/>
      <w:start w:val="2"/>
    </w:lvl>
  </w:abstractNum>
  <w:abstractNum w:abstractNumId="56">
    <w:nsid w:val="51088277"/>
    <w:multiLevelType w:val="hybridMultilevel"/>
    <w:lvl w:ilvl="0">
      <w:lvlJc w:val="left"/>
      <w:lvlText w:val="(%1)"/>
      <w:numFmt w:val="lowerLetter"/>
      <w:start w:val="1"/>
    </w:lvl>
  </w:abstractNum>
  <w:abstractNum w:abstractNumId="57">
    <w:nsid w:val="1CA0C5FA"/>
    <w:multiLevelType w:val="hybridMultilevel"/>
    <w:lvl w:ilvl="0">
      <w:lvlJc w:val="left"/>
      <w:lvlText w:val="(%1)"/>
      <w:numFmt w:val="lowerLetter"/>
      <w:start w:val="1"/>
    </w:lvl>
  </w:abstractNum>
  <w:abstractNum w:abstractNumId="58">
    <w:nsid w:val="53584BCB"/>
    <w:multiLevelType w:val="hybridMultilevel"/>
    <w:lvl w:ilvl="0">
      <w:lvlJc w:val="left"/>
      <w:lvlText w:val="(%1)"/>
      <w:numFmt w:val="lowerLetter"/>
      <w:start w:val="1"/>
    </w:lvl>
  </w:abstractNum>
  <w:abstractNum w:abstractNumId="59">
    <w:nsid w:val="415E286C"/>
    <w:multiLevelType w:val="hybridMultilevel"/>
    <w:lvl w:ilvl="0">
      <w:lvlJc w:val="left"/>
      <w:lvlText w:val="(%1)"/>
      <w:numFmt w:val="lowerLetter"/>
      <w:start w:val="1"/>
    </w:lvl>
    <w:lvl w:ilvl="1">
      <w:lvlJc w:val="left"/>
      <w:lvlText w:val="(%2)"/>
      <w:numFmt w:val="lowerRoman"/>
      <w:start w:val="1"/>
    </w:lvl>
  </w:abstractNum>
  <w:abstractNum w:abstractNumId="60">
    <w:nsid w:val="7C58FD05"/>
    <w:multiLevelType w:val="hybridMultilevel"/>
    <w:lvl w:ilvl="0">
      <w:lvlJc w:val="left"/>
      <w:lvlText w:val="%1."/>
      <w:numFmt w:val="decimal"/>
      <w:start w:val="38"/>
    </w:lvl>
  </w:abstractNum>
  <w:abstractNum w:abstractNumId="61">
    <w:nsid w:val="23D86AAC"/>
    <w:multiLevelType w:val="hybridMultilevel"/>
    <w:lvl w:ilvl="0">
      <w:lvlJc w:val="left"/>
      <w:lvlText w:val="(%1)"/>
      <w:numFmt w:val="lowerLetter"/>
      <w:start w:val="1"/>
    </w:lvl>
  </w:abstractNum>
  <w:abstractNum w:abstractNumId="62">
    <w:nsid w:val="45E6D486"/>
    <w:multiLevelType w:val="hybridMultilevel"/>
    <w:lvl w:ilvl="0">
      <w:lvlJc w:val="left"/>
      <w:lvlText w:val="(%1)"/>
      <w:numFmt w:val="lowerLetter"/>
      <w:start w:val="1"/>
    </w:lvl>
  </w:abstractNum>
  <w:abstractNum w:abstractNumId="63">
    <w:nsid w:val="5C10FE21"/>
    <w:multiLevelType w:val="hybridMultilevel"/>
    <w:lvl w:ilvl="0">
      <w:lvlJc w:val="left"/>
      <w:lvlText w:val="(%1)"/>
      <w:numFmt w:val="lowerLetter"/>
      <w:start w:val="1"/>
    </w:lvl>
    <w:lvl w:ilvl="1">
      <w:lvlJc w:val="left"/>
      <w:lvlText w:val="(%2)"/>
      <w:numFmt w:val="lowerRoman"/>
      <w:start w:val="1"/>
    </w:lvl>
  </w:abstractNum>
  <w:abstractNum w:abstractNumId="64">
    <w:nsid w:val="E7FFA2B"/>
    <w:multiLevelType w:val="hybridMultilevel"/>
    <w:lvl w:ilvl="0">
      <w:lvlJc w:val="left"/>
      <w:lvlText w:val="(%1)"/>
      <w:numFmt w:val="lowerLetter"/>
      <w:start w:val="1"/>
    </w:lvl>
  </w:abstractNum>
  <w:abstractNum w:abstractNumId="65">
    <w:nsid w:val="3C5991AA"/>
    <w:multiLevelType w:val="hybridMultilevel"/>
    <w:lvl w:ilvl="0">
      <w:lvlJc w:val="left"/>
      <w:lvlText w:val="(%1)"/>
      <w:numFmt w:val="lowerLetter"/>
      <w:start w:val="3"/>
    </w:lvl>
  </w:abstractNum>
  <w:abstractNum w:abstractNumId="66">
    <w:nsid w:val="4BD8591A"/>
    <w:multiLevelType w:val="hybridMultilevel"/>
    <w:lvl w:ilvl="0">
      <w:lvlJc w:val="left"/>
      <w:lvlText w:val="%1."/>
      <w:numFmt w:val="decimal"/>
      <w:start w:val="39"/>
    </w:lvl>
    <w:lvl w:ilvl="1">
      <w:lvlJc w:val="left"/>
      <w:lvlText w:val=" "/>
      <w:numFmt w:val="bullet"/>
      <w:start w:val="1"/>
    </w:lvl>
  </w:abstractNum>
  <w:abstractNum w:abstractNumId="67">
    <w:nsid w:val="78DF6A55"/>
    <w:multiLevelType w:val="hybridMultilevel"/>
    <w:lvl w:ilvl="0">
      <w:lvlJc w:val="left"/>
      <w:lvlText w:val="(%1)"/>
      <w:numFmt w:val="lowerLetter"/>
      <w:start w:val="1"/>
    </w:lvl>
  </w:abstractNum>
  <w:abstractNum w:abstractNumId="68">
    <w:nsid w:val="39B7AAA2"/>
    <w:multiLevelType w:val="hybridMultilevel"/>
    <w:lvl w:ilvl="0">
      <w:lvlJc w:val="left"/>
      <w:lvlText w:val="%1."/>
      <w:numFmt w:val="decimal"/>
      <w:start w:val="41"/>
    </w:lvl>
  </w:abstractNum>
  <w:abstractNum w:abstractNumId="69">
    <w:nsid w:val="2B0D8DBE"/>
    <w:multiLevelType w:val="hybridMultilevel"/>
    <w:lvl w:ilvl="0">
      <w:lvlJc w:val="left"/>
      <w:lvlText w:val="%1"/>
      <w:numFmt w:val="decimal"/>
      <w:start w:val="1"/>
    </w:lvl>
    <w:lvl w:ilvl="1">
      <w:lvlJc w:val="left"/>
      <w:lvlText w:val="(%2)"/>
      <w:numFmt w:val="lowerLetter"/>
      <w:start w:val="1"/>
    </w:lvl>
  </w:abstractNum>
  <w:abstractNum w:abstractNumId="70">
    <w:nsid w:val="6C80EC70"/>
    <w:multiLevelType w:val="hybridMultilevel"/>
    <w:lvl w:ilvl="0">
      <w:lvlJc w:val="left"/>
      <w:lvlText w:val="%1."/>
      <w:numFmt w:val="decimal"/>
      <w:start w:val="42"/>
    </w:lvl>
    <w:lvl w:ilvl="1">
      <w:lvlJc w:val="left"/>
      <w:lvlText w:val="(%2)"/>
      <w:numFmt w:val="lowerLetter"/>
      <w:start w:val="1"/>
    </w:lvl>
  </w:abstractNum>
  <w:abstractNum w:abstractNumId="71">
    <w:nsid w:val="379E21B5"/>
    <w:multiLevelType w:val="hybridMultilevel"/>
    <w:lvl w:ilvl="0">
      <w:lvlJc w:val="left"/>
      <w:lvlText w:val="(%1)"/>
      <w:numFmt w:val="lowerLetter"/>
      <w:start w:val="3"/>
    </w:lvl>
  </w:abstractNum>
  <w:abstractNum w:abstractNumId="72">
    <w:nsid w:val="69E373"/>
    <w:multiLevelType w:val="hybridMultilevel"/>
    <w:lvl w:ilvl="0">
      <w:lvlJc w:val="left"/>
      <w:lvlText w:val="(%1)"/>
      <w:numFmt w:val="lowerLetter"/>
      <w:start w:val="1"/>
    </w:lvl>
    <w:lvl w:ilvl="1">
      <w:lvlJc w:val="left"/>
      <w:lvlText w:val="(%2)"/>
      <w:numFmt w:val="lowerLetter"/>
      <w:start w:val="2"/>
    </w:lvl>
  </w:abstractNum>
  <w:abstractNum w:abstractNumId="73">
    <w:nsid w:val="2C27173B"/>
    <w:multiLevelType w:val="hybridMultilevel"/>
    <w:lvl w:ilvl="0">
      <w:lvlJc w:val="left"/>
      <w:lvlText w:val="(%1)"/>
      <w:numFmt w:val="lowerLetter"/>
      <w:start w:val="1"/>
    </w:lvl>
  </w:abstractNum>
  <w:abstractNum w:abstractNumId="74">
    <w:nsid w:val="4C9B0904"/>
    <w:multiLevelType w:val="hybridMultilevel"/>
    <w:lvl w:ilvl="0">
      <w:lvlJc w:val="left"/>
      <w:lvlText w:val="(%1)"/>
      <w:numFmt w:val="lowerLetter"/>
      <w:start w:val="1"/>
    </w:lvl>
    <w:lvl w:ilvl="1">
      <w:lvlJc w:val="left"/>
      <w:lvlText w:val="(%2)"/>
      <w:numFmt w:val="lowerRoman"/>
      <w:start w:val="1"/>
    </w:lvl>
  </w:abstractNum>
  <w:abstractNum w:abstractNumId="75">
    <w:nsid w:val="6AA7B75C"/>
    <w:multiLevelType w:val="hybridMultilevel"/>
    <w:lvl w:ilvl="0">
      <w:lvlJc w:val="left"/>
      <w:lvlText w:val="(%1)"/>
      <w:numFmt w:val="lowerLetter"/>
      <w:start w:val="1"/>
    </w:lvl>
  </w:abstractNum>
  <w:abstractNum w:abstractNumId="76">
    <w:nsid w:val="1DF029D3"/>
    <w:multiLevelType w:val="hybridMultilevel"/>
    <w:lvl w:ilvl="0">
      <w:lvlJc w:val="left"/>
      <w:lvlText w:val="%1."/>
      <w:numFmt w:val="decimal"/>
      <w:start w:val="46"/>
    </w:lvl>
    <w:lvl w:ilvl="1">
      <w:lvlJc w:val="left"/>
      <w:lvlText w:val=""/>
      <w:numFmt w:val="bullet"/>
      <w:start w:val="1"/>
    </w:lvl>
  </w:abstractNum>
  <w:abstractNum w:abstractNumId="77">
    <w:nsid w:val="5675FF36"/>
    <w:multiLevelType w:val="hybridMultilevel"/>
    <w:lvl w:ilvl="0">
      <w:lvlJc w:val="left"/>
      <w:lvlText w:val="%1."/>
      <w:numFmt w:val="decimal"/>
      <w:start w:val="48"/>
    </w:lvl>
  </w:abstractNum>
  <w:abstractNum w:abstractNumId="78">
    <w:nsid w:val="3DD15094"/>
    <w:multiLevelType w:val="hybridMultilevel"/>
    <w:lvl w:ilvl="0">
      <w:lvlJc w:val="left"/>
      <w:lvlText w:val="%1."/>
      <w:numFmt w:val="decimal"/>
      <w:start w:val="49"/>
    </w:lvl>
  </w:abstractNum>
  <w:abstractNum w:abstractNumId="79">
    <w:nsid w:val="3DB012B3"/>
    <w:multiLevelType w:val="hybridMultilevel"/>
    <w:lvl w:ilvl="0">
      <w:lvlJc w:val="left"/>
      <w:lvlText w:val="%1"/>
      <w:numFmt w:val="decimal"/>
      <w:start w:val="1"/>
    </w:lvl>
    <w:lvl w:ilvl="1">
      <w:lvlJc w:val="left"/>
      <w:lvlText w:val="(%2)"/>
      <w:numFmt w:val="lowerLetter"/>
      <w:start w:val="1"/>
    </w:lvl>
  </w:abstractNum>
  <w:abstractNum w:abstractNumId="80">
    <w:nsid w:val="2708C9AF"/>
    <w:multiLevelType w:val="hybridMultilevel"/>
    <w:lvl w:ilvl="0">
      <w:lvlJc w:val="left"/>
      <w:lvlText w:val="%1."/>
      <w:numFmt w:val="decimal"/>
      <w:start w:val="50"/>
    </w:lvl>
    <w:lvl w:ilvl="1">
      <w:lvlJc w:val="left"/>
      <w:lvlText w:val="%2"/>
      <w:numFmt w:val="lowerLetter"/>
      <w:start w:val="1"/>
    </w:lvl>
  </w:abstractNum>
  <w:abstractNum w:abstractNumId="81">
    <w:nsid w:val="5B25ACE2"/>
    <w:multiLevelType w:val="hybridMultilevel"/>
    <w:lvl w:ilvl="0">
      <w:lvlJc w:val="left"/>
      <w:lvlText w:val="%1."/>
      <w:numFmt w:val="decimal"/>
      <w:start w:val="51"/>
    </w:lvl>
  </w:abstractNum>
  <w:abstractNum w:abstractNumId="82">
    <w:nsid w:val="175DFCF0"/>
    <w:multiLevelType w:val="hybridMultilevel"/>
    <w:lvl w:ilvl="0">
      <w:lvlJc w:val="left"/>
      <w:lvlText w:val="%1."/>
      <w:numFmt w:val="decimal"/>
      <w:start w:val="54"/>
    </w:lvl>
  </w:abstractNum>
  <w:abstractNum w:abstractNumId="83">
    <w:nsid w:val="4F97E3E4"/>
    <w:multiLevelType w:val="hybridMultilevel"/>
    <w:lvl w:ilvl="0">
      <w:lvlJc w:val="left"/>
      <w:lvlText w:val="%1."/>
      <w:numFmt w:val="decimal"/>
      <w:start w:val="60"/>
    </w:lvl>
  </w:abstractNum>
  <w:abstractNum w:abstractNumId="84">
    <w:nsid w:val="53B0A9E"/>
    <w:multiLevelType w:val="hybridMultilevel"/>
    <w:lvl w:ilvl="0">
      <w:lvlJc w:val="left"/>
      <w:lvlText w:val="%1."/>
      <w:numFmt w:val="decimal"/>
      <w:start w:val="61"/>
    </w:lvl>
  </w:abstractNum>
  <w:abstractNum w:abstractNumId="85">
    <w:nsid w:val="34FD6B4F"/>
    <w:multiLevelType w:val="hybridMultilevel"/>
    <w:lvl w:ilvl="0">
      <w:lvlJc w:val="left"/>
      <w:lvlText w:val="(%1)"/>
      <w:numFmt w:val="lowerLetter"/>
      <w:start w:val="1"/>
    </w:lvl>
  </w:abstractNum>
  <w:abstractNum w:abstractNumId="86">
    <w:nsid w:val="5915FF32"/>
    <w:multiLevelType w:val="hybridMultilevel"/>
    <w:lvl w:ilvl="0">
      <w:lvlJc w:val="left"/>
      <w:lvlText w:val="%1."/>
      <w:numFmt w:val="decimal"/>
      <w:start w:val="62"/>
    </w:lvl>
    <w:lvl w:ilvl="1">
      <w:lvlJc w:val="left"/>
      <w:lvlText w:val="(%2)"/>
      <w:numFmt w:val="lowerLetter"/>
      <w:start w:val="1"/>
    </w:lvl>
  </w:abstractNum>
  <w:abstractNum w:abstractNumId="87">
    <w:nsid w:val="56438D15"/>
    <w:multiLevelType w:val="hybridMultilevel"/>
    <w:lvl w:ilvl="0">
      <w:lvlJc w:val="left"/>
      <w:lvlText w:val="(%1)"/>
      <w:numFmt w:val="lowerLetter"/>
      <w:start w:val="1"/>
    </w:lvl>
  </w:abstractNum>
  <w:abstractNum w:abstractNumId="88">
    <w:nsid w:val="519E3149"/>
    <w:multiLevelType w:val="hybridMultilevel"/>
    <w:lvl w:ilvl="0">
      <w:lvlJc w:val="left"/>
      <w:lvlText w:val="%1."/>
      <w:numFmt w:val="decimal"/>
      <w:start w:val="63"/>
    </w:lvl>
  </w:abstractNum>
  <w:abstractNum w:abstractNumId="89">
    <w:nsid w:val="2C6E4AFD"/>
    <w:multiLevelType w:val="hybridMultilevel"/>
    <w:lvl w:ilvl="0">
      <w:lvlJc w:val="left"/>
      <w:lvlText w:val="(%1)"/>
      <w:numFmt w:val="lowerLetter"/>
      <w:start w:val="1"/>
    </w:lvl>
  </w:abstractNum>
  <w:abstractNum w:abstractNumId="90">
    <w:nsid w:val="17A1B582"/>
    <w:multiLevelType w:val="hybridMultilevel"/>
    <w:lvl w:ilvl="0">
      <w:lvlJc w:val="left"/>
      <w:lvlText w:val="%1"/>
      <w:numFmt w:val="decimal"/>
      <w:start w:val="1"/>
    </w:lvl>
    <w:lvl w:ilvl="1">
      <w:lvlJc w:val="left"/>
      <w:lvlText w:val="(%2)"/>
      <w:numFmt w:val="lowerLetter"/>
      <w:start w:val="3"/>
    </w:lvl>
  </w:abstractNum>
  <w:abstractNum w:abstractNumId="91">
    <w:nsid w:val="4DF72E4E"/>
    <w:multiLevelType w:val="hybridMultilevel"/>
    <w:lvl w:ilvl="0">
      <w:lvlJc w:val="left"/>
      <w:lvlText w:val="%1."/>
      <w:numFmt w:val="decimal"/>
      <w:start w:val="64"/>
    </w:lvl>
    <w:lvl w:ilvl="1">
      <w:lvlJc w:val="left"/>
      <w:lvlText w:val="%2"/>
      <w:numFmt w:val="lowerLetter"/>
      <w:start w:val="1"/>
    </w:lvl>
  </w:abstractNum>
  <w:abstractNum w:abstractNumId="92">
    <w:nsid w:val="5046B5A9"/>
    <w:multiLevelType w:val="hybridMultilevel"/>
    <w:lvl w:ilvl="0">
      <w:lvlJc w:val="left"/>
      <w:lvlText w:val="%1."/>
      <w:numFmt w:val="decimal"/>
      <w:start w:val="65"/>
    </w:lvl>
    <w:lvl w:ilvl="1">
      <w:lvlJc w:val="left"/>
      <w:lvlText w:val="(%2)"/>
      <w:numFmt w:val="lowerLetter"/>
      <w:start w:val="1"/>
    </w:lvl>
  </w:abstractNum>
  <w:abstractNum w:abstractNumId="93">
    <w:nsid w:val="5D888A08"/>
    <w:multiLevelType w:val="hybridMultilevel"/>
    <w:lvl w:ilvl="0">
      <w:lvlJc w:val="left"/>
      <w:lvlText w:val="%1"/>
      <w:numFmt w:val="decimal"/>
      <w:start w:val="1"/>
    </w:lvl>
    <w:lvl w:ilvl="1">
      <w:lvlJc w:val="left"/>
      <w:lvlText w:val="(%2)"/>
      <w:numFmt w:val="lowerLetter"/>
      <w:start w:val="1"/>
    </w:lvl>
  </w:abstractNum>
  <w:abstractNum w:abstractNumId="94">
    <w:nsid w:val="2A082C70"/>
    <w:multiLevelType w:val="hybridMultilevel"/>
    <w:lvl w:ilvl="0">
      <w:lvlJc w:val="left"/>
      <w:lvlText w:val="%1."/>
      <w:numFmt w:val="decimal"/>
      <w:start w:val="66"/>
    </w:lvl>
    <w:lvl w:ilvl="1">
      <w:lvlJc w:val="left"/>
      <w:lvlText w:val="%2"/>
      <w:numFmt w:val="lowerLetter"/>
      <w:start w:val="1"/>
    </w:lvl>
  </w:abstractNum>
  <w:abstractNum w:abstractNumId="95">
    <w:nsid w:val="5EC6AFD4"/>
    <w:multiLevelType w:val="hybridMultilevel"/>
    <w:lvl w:ilvl="0">
      <w:lvlJc w:val="left"/>
      <w:lvlText w:val="(%1)"/>
      <w:numFmt w:val="lowerLetter"/>
      <w:start w:val="1"/>
    </w:lvl>
  </w:abstractNum>
  <w:abstractNum w:abstractNumId="96">
    <w:nsid w:val="19E21BB2"/>
    <w:multiLevelType w:val="hybridMultilevel"/>
    <w:lvl w:ilvl="0">
      <w:lvlJc w:val="left"/>
      <w:lvlText w:val="(%1)"/>
      <w:numFmt w:val="lowerLetter"/>
      <w:start w:val="1"/>
    </w:lvl>
  </w:abstractNum>
  <w:abstractNum w:abstractNumId="97">
    <w:nsid w:val="75E0858A"/>
    <w:multiLevelType w:val="hybridMultilevel"/>
    <w:lvl w:ilvl="0">
      <w:lvlJc w:val="left"/>
      <w:lvlText w:val="%1."/>
      <w:numFmt w:val="decimal"/>
      <w:start w:val="67"/>
    </w:lvl>
  </w:abstractNum>
  <w:abstractNum w:abstractNumId="98">
    <w:nsid w:val="57A61A29"/>
    <w:multiLevelType w:val="hybridMultilevel"/>
    <w:lvl w:ilvl="0">
      <w:lvlJc w:val="left"/>
      <w:lvlText w:val="(%1)"/>
      <w:numFmt w:val="lowerLetter"/>
      <w:start w:val="1"/>
    </w:lvl>
  </w:abstractNum>
  <w:abstractNum w:abstractNumId="99">
    <w:nsid w:val="5399C654"/>
    <w:multiLevelType w:val="hybridMultilevel"/>
    <w:lvl w:ilvl="0">
      <w:lvlJc w:val="left"/>
      <w:lvlText w:val="(%1)"/>
      <w:numFmt w:val="lowerLetter"/>
      <w:start w:val="1"/>
    </w:lvl>
  </w:abstractNum>
  <w:abstractNum w:abstractNumId="100">
    <w:nsid w:val="20EE1348"/>
    <w:multiLevelType w:val="hybridMultilevel"/>
    <w:lvl w:ilvl="0">
      <w:lvlJc w:val="left"/>
      <w:lvlText w:val="(%1)"/>
      <w:numFmt w:val="lowerLetter"/>
      <w:start w:val="1"/>
    </w:lvl>
  </w:abstractNum>
  <w:abstractNum w:abstractNumId="101">
    <w:nsid w:val="4427069A"/>
    <w:multiLevelType w:val="hybridMultilevel"/>
    <w:lvl w:ilvl="0">
      <w:lvlJc w:val="left"/>
      <w:lvlText w:val="(%1)"/>
      <w:numFmt w:val="lowerLetter"/>
      <w:start w:val="1"/>
    </w:lvl>
  </w:abstractNum>
  <w:abstractNum w:abstractNumId="102">
    <w:nsid w:val="B37E80A"/>
    <w:multiLevelType w:val="hybridMultilevel"/>
    <w:lvl w:ilvl="0">
      <w:lvlJc w:val="left"/>
      <w:lvlText w:val="%1"/>
      <w:numFmt w:val="decimal"/>
      <w:start w:val="1"/>
    </w:lvl>
    <w:lvl w:ilvl="1">
      <w:lvlJc w:val="left"/>
      <w:lvlText w:val="(%2)"/>
      <w:numFmt w:val="lowerLetter"/>
      <w:start w:val="1"/>
    </w:lvl>
  </w:abstractNum>
  <w:abstractNum w:abstractNumId="103">
    <w:nsid w:val="2157F6BC"/>
    <w:multiLevelType w:val="hybridMultilevel"/>
    <w:lvl w:ilvl="0">
      <w:lvlJc w:val="left"/>
      <w:lvlText w:val="%1."/>
      <w:numFmt w:val="decimal"/>
      <w:start w:val="70"/>
    </w:lvl>
    <w:lvl w:ilvl="1">
      <w:lvlJc w:val="left"/>
      <w:lvlText w:val="%2"/>
      <w:numFmt w:val="lowerLetter"/>
      <w:start w:val="1"/>
    </w:lvl>
  </w:abstractNum>
  <w:abstractNum w:abstractNumId="104">
    <w:nsid w:val="704E1DD5"/>
    <w:multiLevelType w:val="hybridMultilevel"/>
    <w:lvl w:ilvl="0">
      <w:lvlJc w:val="left"/>
      <w:lvlText w:val="%1."/>
      <w:numFmt w:val="decimal"/>
      <w:start w:val="74"/>
    </w:lvl>
  </w:abstractNum>
  <w:abstractNum w:abstractNumId="105">
    <w:nsid w:val="57D2F10E"/>
    <w:multiLevelType w:val="hybridMultilevel"/>
    <w:lvl w:ilvl="0">
      <w:lvlJc w:val="left"/>
      <w:lvlText w:val="%1."/>
      <w:numFmt w:val="decimal"/>
      <w:start w:val="75"/>
    </w:lvl>
  </w:abstractNum>
  <w:abstractNum w:abstractNumId="106">
    <w:nsid w:val="BFFAE18"/>
    <w:multiLevelType w:val="hybridMultilevel"/>
    <w:lvl w:ilvl="0">
      <w:lvlJc w:val="left"/>
      <w:lvlText w:val="(%1)"/>
      <w:numFmt w:val="lowerLetter"/>
      <w:start w:val="1"/>
    </w:lvl>
  </w:abstractNum>
  <w:abstractNum w:abstractNumId="107">
    <w:nsid w:val="E3E47A8"/>
    <w:multiLevelType w:val="hybridMultilevel"/>
    <w:lvl w:ilvl="0">
      <w:lvlJc w:val="left"/>
      <w:lvlText w:val="(%1)"/>
      <w:numFmt w:val="lowerLetter"/>
      <w:start w:val="1"/>
    </w:lvl>
    <w:lvl w:ilvl="1">
      <w:lvlJc w:val="left"/>
      <w:lvlText w:val="(%2)"/>
      <w:numFmt w:val="lowerRoman"/>
      <w:start w:val="1"/>
    </w:lvl>
  </w:abstractNum>
  <w:abstractNum w:abstractNumId="108">
    <w:nsid w:val="2E48F044"/>
    <w:multiLevelType w:val="hybridMultilevel"/>
    <w:lvl w:ilvl="0">
      <w:lvlJc w:val="left"/>
      <w:lvlText w:val="(%1)"/>
      <w:numFmt w:val="lowerLetter"/>
      <w:start w:val="5"/>
    </w:lvl>
    <w:lvl w:ilvl="1">
      <w:lvlJc w:val="left"/>
      <w:lvlText w:val="(%2)"/>
      <w:numFmt w:val="lowerRoman"/>
      <w:start w:val="1"/>
    </w:lvl>
  </w:abstractNum>
  <w:abstractNum w:abstractNumId="109">
    <w:nsid w:val="49D0FEAC"/>
    <w:multiLevelType w:val="hybridMultilevel"/>
    <w:lvl w:ilvl="0">
      <w:lvlJc w:val="left"/>
      <w:lvlText w:val="(%1)"/>
      <w:numFmt w:val="lowerLetter"/>
      <w:start w:val="7"/>
    </w:lvl>
  </w:abstractNum>
  <w:abstractNum w:abstractNumId="110">
    <w:nsid w:val="4BEE5A5B"/>
    <w:multiLevelType w:val="hybridMultilevel"/>
    <w:lvl w:ilvl="0">
      <w:lvlJc w:val="left"/>
      <w:lvlText w:val="%1."/>
      <w:numFmt w:val="decimal"/>
      <w:start w:val="76"/>
    </w:lvl>
  </w:abstractNum>
  <w:abstractNum w:abstractNumId="111">
    <w:nsid w:val="5551B9F3"/>
    <w:multiLevelType w:val="hybridMultilevel"/>
    <w:lvl w:ilvl="0">
      <w:lvlJc w:val="left"/>
      <w:lvlText w:val="%1."/>
      <w:numFmt w:val="decimal"/>
      <w:start w:val="77"/>
    </w:lvl>
  </w:abstractNum>
  <w:abstractNum w:abstractNumId="112">
    <w:nsid w:val="24F6AB8E"/>
    <w:multiLevelType w:val="hybridMultilevel"/>
    <w:lvl w:ilvl="0">
      <w:lvlJc w:val="left"/>
      <w:lvlText w:val="(%1)"/>
      <w:numFmt w:val="lowerLetter"/>
      <w:start w:val="1"/>
    </w:lvl>
  </w:abstractNum>
  <w:abstractNum w:abstractNumId="113">
    <w:nsid w:val="634C574C"/>
    <w:multiLevelType w:val="hybridMultilevel"/>
    <w:lvl w:ilvl="0">
      <w:lvlJc w:val="left"/>
      <w:lvlText w:val="(%1)"/>
      <w:numFmt w:val="lowerLetter"/>
      <w:start w:val="1"/>
    </w:lvl>
  </w:abstractNum>
  <w:abstractNum w:abstractNumId="114">
    <w:nsid w:val="24E99DD7"/>
    <w:multiLevelType w:val="hybridMultilevel"/>
    <w:lvl w:ilvl="0">
      <w:lvlJc w:val="left"/>
      <w:lvlText w:val="%1."/>
      <w:numFmt w:val="decimal"/>
      <w:start w:val="78"/>
    </w:lvl>
    <w:lvl w:ilvl="1">
      <w:lvlJc w:val="left"/>
      <w:lvlText w:val="%2."/>
      <w:numFmt w:val="decimal"/>
      <w:start w:val="79"/>
    </w:lvl>
  </w:abstractNum>
  <w:abstractNum w:abstractNumId="115">
    <w:nsid w:val="2A31B62D"/>
    <w:multiLevelType w:val="hybridMultilevel"/>
    <w:lvl w:ilvl="0">
      <w:lvlJc w:val="left"/>
      <w:lvlText w:val="%1."/>
      <w:numFmt w:val="decimal"/>
      <w:start w:val="80"/>
    </w:lvl>
    <w:lvl w:ilvl="1">
      <w:lvlJc w:val="left"/>
      <w:lvlText w:val="%2."/>
      <w:numFmt w:val="decimal"/>
      <w:start w:val="81"/>
    </w:lvl>
  </w:abstractNum>
  <w:abstractNum w:abstractNumId="116">
    <w:nsid w:val="1849C29B"/>
    <w:multiLevelType w:val="hybridMultilevel"/>
    <w:lvl w:ilvl="0">
      <w:lvlJc w:val="left"/>
      <w:lvlText w:val="%1."/>
      <w:numFmt w:val="decimal"/>
      <w:start w:val="82"/>
    </w:lvl>
  </w:abstractNum>
  <w:abstractNum w:abstractNumId="117">
    <w:nsid w:val="7DFF9D09"/>
    <w:multiLevelType w:val="hybridMultilevel"/>
    <w:lvl w:ilvl="0">
      <w:lvlJc w:val="left"/>
      <w:lvlText w:val="%1."/>
      <w:numFmt w:val="decimal"/>
      <w:start w:val="83"/>
    </w:lvl>
  </w:abstractNum>
  <w:abstractNum w:abstractNumId="118">
    <w:nsid w:val="754342"/>
    <w:multiLevelType w:val="hybridMultilevel"/>
    <w:lvl w:ilvl="0">
      <w:lvlJc w:val="left"/>
      <w:lvlText w:val="%1."/>
      <w:numFmt w:val="decimal"/>
      <w:start w:val="84"/>
    </w:lvl>
  </w:abstractNum>
  <w:abstractNum w:abstractNumId="119">
    <w:nsid w:val="69E7F3E5"/>
    <w:multiLevelType w:val="hybridMultilevel"/>
    <w:lvl w:ilvl="0">
      <w:lvlJc w:val="left"/>
      <w:lvlText w:val="%1."/>
      <w:numFmt w:val="decimal"/>
      <w:start w:val="86"/>
    </w:lvl>
  </w:abstractNum>
  <w:abstractNum w:abstractNumId="120">
    <w:nsid w:val="2A6DE806"/>
    <w:multiLevelType w:val="hybridMultilevel"/>
    <w:lvl w:ilvl="0">
      <w:lvlJc w:val="left"/>
      <w:lvlText w:val="(%1)"/>
      <w:numFmt w:val="lowerLetter"/>
      <w:start w:val="1"/>
    </w:lvl>
  </w:abstractNum>
  <w:abstractNum w:abstractNumId="121">
    <w:nsid w:val="1816F8C4"/>
    <w:multiLevelType w:val="hybridMultilevel"/>
    <w:lvl w:ilvl="0">
      <w:lvlJc w:val="left"/>
      <w:lvlText w:val="%1."/>
      <w:numFmt w:val="decimal"/>
      <w:start w:val="87"/>
    </w:lvl>
  </w:abstractNum>
  <w:abstractNum w:abstractNumId="122">
    <w:nsid w:val="37DF2233"/>
    <w:multiLevelType w:val="hybridMultilevel"/>
    <w:lvl w:ilvl="0">
      <w:lvlJc w:val="left"/>
      <w:lvlText w:val="%1."/>
      <w:numFmt w:val="decimal"/>
      <w:start w:val="88"/>
    </w:lvl>
  </w:abstractNum>
  <w:abstractNum w:abstractNumId="123">
    <w:nsid w:val="7AB49DAF"/>
    <w:multiLevelType w:val="hybridMultilevel"/>
    <w:lvl w:ilvl="0">
      <w:lvlJc w:val="left"/>
      <w:lvlText w:val="%1."/>
      <w:numFmt w:val="decimal"/>
      <w:start w:val="89"/>
    </w:lvl>
  </w:abstractNum>
  <w:abstractNum w:abstractNumId="124">
    <w:nsid w:val="759F82CD"/>
    <w:multiLevelType w:val="hybridMultilevel"/>
    <w:lvl w:ilvl="0">
      <w:lvlJc w:val="left"/>
      <w:lvlText w:val="%1."/>
      <w:numFmt w:val="decimal"/>
      <w:start w:val="90"/>
    </w:lvl>
    <w:lvl w:ilvl="1">
      <w:lvlJc w:val="left"/>
      <w:lvlText w:val="(%2)"/>
      <w:numFmt w:val="lowerLetter"/>
      <w:start w:val="1"/>
    </w:lvl>
  </w:abstractNum>
  <w:abstractNum w:abstractNumId="125">
    <w:nsid w:val="61E74EA3"/>
    <w:multiLevelType w:val="hybridMultilevel"/>
    <w:lvl w:ilvl="0">
      <w:lvlJc w:val="left"/>
      <w:lvlText w:val="(%1)"/>
      <w:numFmt w:val="lowerLetter"/>
      <w:start w:val="5"/>
    </w:lvl>
  </w:abstractNum>
  <w:abstractNum w:abstractNumId="126">
    <w:nsid w:val="597B4D84"/>
    <w:multiLevelType w:val="hybridMultilevel"/>
    <w:lvl w:ilvl="0">
      <w:lvlJc w:val="left"/>
      <w:lvlText w:val="(%1)"/>
      <w:numFmt w:val="lowerLetter"/>
      <w:start w:val="1"/>
    </w:lvl>
    <w:lvl w:ilvl="1">
      <w:lvlJc w:val="left"/>
      <w:lvlText w:val="(%2)"/>
      <w:numFmt w:val="lowerRoman"/>
      <w:start w:val="1"/>
    </w:lvl>
  </w:abstractNum>
  <w:abstractNum w:abstractNumId="127">
    <w:nsid w:val="F819E7F"/>
    <w:multiLevelType w:val="hybridMultilevel"/>
    <w:lvl w:ilvl="0">
      <w:lvlJc w:val="left"/>
      <w:lvlText w:val="(%1)"/>
      <w:numFmt w:val="lowerLetter"/>
      <w:start w:val="1"/>
    </w:lvl>
  </w:abstractNum>
  <w:abstractNum w:abstractNumId="128">
    <w:nsid w:val="57C7D42D"/>
    <w:multiLevelType w:val="hybridMultilevel"/>
    <w:lvl w:ilvl="0">
      <w:lvlJc w:val="left"/>
      <w:lvlText w:val="(%1)"/>
      <w:numFmt w:val="lowerLetter"/>
      <w:start w:val="1"/>
    </w:lvl>
  </w:abstractNum>
  <w:abstractNum w:abstractNumId="129">
    <w:nsid w:val="312167AD"/>
    <w:multiLevelType w:val="hybridMultilevel"/>
    <w:lvl w:ilvl="0">
      <w:lvlJc w:val="left"/>
      <w:lvlText w:val="(%1)"/>
      <w:numFmt w:val="lowerLetter"/>
      <w:start w:val="1"/>
    </w:lvl>
    <w:lvl w:ilvl="1">
      <w:lvlJc w:val="left"/>
      <w:lvlText w:val="(%2)"/>
      <w:numFmt w:val="lowerRoman"/>
      <w:start w:val="1"/>
    </w:lvl>
    <w:lvl w:ilvl="2">
      <w:lvlJc w:val="left"/>
      <w:lvlText w:val="(%3)"/>
      <w:numFmt w:val="decimal"/>
      <w:start w:val="1"/>
    </w:lvl>
  </w:abstractNum>
  <w:abstractNum w:abstractNumId="130">
    <w:nsid w:val="631B64D4"/>
    <w:multiLevelType w:val="hybridMultilevel"/>
    <w:lvl w:ilvl="0">
      <w:lvlJc w:val="left"/>
      <w:lvlText w:val="(%1)"/>
      <w:numFmt w:val="lowerLetter"/>
      <w:start w:val="1"/>
    </w:lvl>
  </w:abstractNum>
  <w:abstractNum w:abstractNumId="131">
    <w:nsid w:val="78B5E776"/>
    <w:multiLevelType w:val="hybridMultilevel"/>
    <w:lvl w:ilvl="0">
      <w:lvlJc w:val="left"/>
      <w:lvlText w:val="(%1)"/>
      <w:numFmt w:val="lowerLetter"/>
      <w:start w:val="2"/>
    </w:lvl>
    <w:lvl w:ilvl="1">
      <w:lvlJc w:val="left"/>
      <w:lvlText w:val="(%2)"/>
      <w:numFmt w:val="lowerRoman"/>
      <w:start w:val="1"/>
    </w:lvl>
  </w:abstractNum>
  <w:abstractNum w:abstractNumId="132">
    <w:nsid w:val="75486E47"/>
    <w:multiLevelType w:val="hybridMultilevel"/>
    <w:lvl w:ilvl="0">
      <w:lvlJc w:val="left"/>
      <w:lvlText w:val="(%1)"/>
      <w:numFmt w:val="lowerLetter"/>
      <w:start w:val="1"/>
    </w:lvl>
  </w:abstractNum>
  <w:abstractNum w:abstractNumId="133">
    <w:nsid w:val="6E534CDE"/>
    <w:multiLevelType w:val="hybridMultilevel"/>
    <w:lvl w:ilvl="0">
      <w:lvlJc w:val="left"/>
      <w:lvlText w:val="%1"/>
      <w:numFmt w:val="decimal"/>
      <w:start w:val="1"/>
    </w:lvl>
    <w:lvl w:ilvl="1">
      <w:lvlJc w:val="left"/>
      <w:lvlText w:val="(%2)"/>
      <w:numFmt w:val="lowerLetter"/>
      <w:start w:val="1"/>
    </w:lvl>
    <w:lvl w:ilvl="2">
      <w:lvlJc w:val="left"/>
      <w:lvlText w:val="(%3)"/>
      <w:numFmt w:val="lowerRoman"/>
      <w:start w:val="1"/>
    </w:lvl>
    <w:lvl w:ilvl="3">
      <w:lvlJc w:val="left"/>
      <w:lvlText w:val="(%4)"/>
      <w:numFmt w:val="decimal"/>
      <w:start w:val="1"/>
    </w:lvl>
  </w:abstractNum>
  <w:abstractNum w:abstractNumId="134">
    <w:nsid w:val="1A0DDE32"/>
    <w:multiLevelType w:val="hybridMultilevel"/>
    <w:lvl w:ilvl="0">
      <w:lvlJc w:val="left"/>
      <w:lvlText w:val="%1."/>
      <w:numFmt w:val="decimal"/>
      <w:start w:val="91"/>
    </w:lvl>
    <w:lvl w:ilvl="1">
      <w:lvlJc w:val="left"/>
      <w:lvlText w:val="%2"/>
      <w:numFmt w:val="lowerLetter"/>
      <w:start w:val="1"/>
    </w:lvl>
    <w:lvl w:ilvl="2">
      <w:lvlJc w:val="left"/>
      <w:lvlText w:val="%3"/>
      <w:numFmt w:val="lowerRoman"/>
      <w:start w:val="1"/>
    </w:lvl>
    <w:lvl w:ilvl="3">
      <w:lvlJc w:val="left"/>
      <w:lvlText w:val="%4"/>
      <w:numFmt w:val="decimal"/>
      <w:start w:val="1"/>
    </w:lvl>
  </w:abstractNum>
  <w:abstractNum w:abstractNumId="135">
    <w:nsid w:val="65968C1C"/>
    <w:multiLevelType w:val="hybridMultilevel"/>
    <w:lvl w:ilvl="0">
      <w:lvlJc w:val="left"/>
      <w:lvlText w:val="%1."/>
      <w:numFmt w:val="decimal"/>
      <w:start w:val="92"/>
    </w:lvl>
    <w:lvl w:ilvl="1">
      <w:lvlJc w:val="left"/>
      <w:lvlText w:val="(%2)"/>
      <w:numFmt w:val="lowerLetter"/>
      <w:start w:val="1"/>
    </w:lvl>
    <w:lvl w:ilvl="2">
      <w:lvlJc w:val="left"/>
      <w:lvlText w:val="(%3)"/>
      <w:numFmt w:val="lowerRoman"/>
      <w:start w:val="1"/>
    </w:lvl>
  </w:abstractNum>
  <w:abstractNum w:abstractNumId="136">
    <w:nsid w:val="46263DEC"/>
    <w:multiLevelType w:val="hybridMultilevel"/>
    <w:lvl w:ilvl="0">
      <w:lvlJc w:val="left"/>
      <w:lvlText w:val="%1"/>
      <w:numFmt w:val="decimal"/>
      <w:start w:val="1"/>
    </w:lvl>
    <w:lvl w:ilvl="1">
      <w:lvlJc w:val="left"/>
      <w:lvlText w:val="(%2)"/>
      <w:numFmt w:val="lowerLetter"/>
      <w:start w:val="3"/>
    </w:lvl>
  </w:abstractNum>
  <w:abstractNum w:abstractNumId="137">
    <w:nsid w:val="260D8C4A"/>
    <w:multiLevelType w:val="hybridMultilevel"/>
    <w:lvl w:ilvl="0">
      <w:lvlJc w:val="left"/>
      <w:lvlText w:val="%1."/>
      <w:numFmt w:val="decimal"/>
      <w:start w:val="93"/>
    </w:lvl>
    <w:lvl w:ilvl="1">
      <w:lvlJc w:val="left"/>
      <w:lvlText w:val="(%2)"/>
      <w:numFmt w:val="lowerLetter"/>
      <w:start w:val="1"/>
    </w:lvl>
  </w:abstractNum>
  <w:abstractNum w:abstractNumId="138">
    <w:nsid w:val="73D4D3C4"/>
    <w:multiLevelType w:val="hybridMultilevel"/>
    <w:lvl w:ilvl="0">
      <w:lvlJc w:val="left"/>
      <w:lvlText w:val="(%1)"/>
      <w:numFmt w:val="lowerLetter"/>
      <w:start w:val="2"/>
    </w:lvl>
    <w:lvl w:ilvl="1">
      <w:lvlJc w:val="left"/>
      <w:lvlText w:val="(%2)"/>
      <w:numFmt w:val="lowerRoman"/>
      <w:start w:val="1"/>
    </w:lvl>
  </w:abstractNum>
  <w:abstractNum w:abstractNumId="139">
    <w:nsid w:val="746F2E30"/>
    <w:multiLevelType w:val="hybridMultilevel"/>
    <w:lvl w:ilvl="0">
      <w:lvlJc w:val="left"/>
      <w:lvlText w:val="(%1)"/>
      <w:numFmt w:val="lowerLetter"/>
      <w:start w:val="3"/>
    </w:lvl>
    <w:lvl w:ilvl="1">
      <w:lvlJc w:val="left"/>
      <w:lvlText w:val="(%2)"/>
      <w:numFmt w:val="lowerRoman"/>
      <w:start w:val="1"/>
    </w:lvl>
  </w:abstractNum>
  <w:abstractNum w:abstractNumId="140">
    <w:nsid w:val="6FDE8AF6"/>
    <w:multiLevelType w:val="hybridMultilevel"/>
    <w:lvl w:ilvl="0">
      <w:lvlJc w:val="left"/>
      <w:lvlText w:val="%1."/>
      <w:numFmt w:val="upperLetter"/>
      <w:start w:val="1"/>
    </w:lvl>
  </w:abstractNum>
  <w:abstractNum w:abstractNumId="141">
    <w:nsid w:val="3FC32E20"/>
    <w:multiLevelType w:val="hybridMultilevel"/>
    <w:lvl w:ilvl="0">
      <w:lvlJc w:val="left"/>
      <w:lvlText w:val="(%1)"/>
      <w:numFmt w:val="lowerLetter"/>
      <w:start w:val="1"/>
    </w:lvl>
  </w:abstractNum>
  <w:abstractNum w:abstractNumId="142">
    <w:nsid w:val="49C0E823"/>
    <w:multiLevelType w:val="hybridMultilevel"/>
    <w:lvl w:ilvl="0">
      <w:lvlJc w:val="left"/>
      <w:lvlText w:val="(%1)"/>
      <w:numFmt w:val="lowerLetter"/>
      <w:start w:val="1"/>
    </w:lvl>
  </w:abstractNum>
  <w:abstractNum w:abstractNumId="143">
    <w:nsid w:val="14D53685"/>
    <w:multiLevelType w:val="hybridMultilevel"/>
    <w:lvl w:ilvl="0">
      <w:lvlJc w:val="left"/>
      <w:lvlText w:val="%1."/>
      <w:numFmt w:val="lowerRoman"/>
      <w:start w:val="2"/>
    </w:lvl>
  </w:abstractNum>
  <w:abstractNum w:abstractNumId="144">
    <w:nsid w:val="230F856C"/>
    <w:multiLevelType w:val="hybridMultilevel"/>
    <w:lvl w:ilvl="0">
      <w:lvlJc w:val="left"/>
      <w:lvlText w:val="%1."/>
      <w:numFmt w:val="lowerLetter"/>
      <w:start w:val="1"/>
    </w:lvl>
  </w:abstractNum>
  <w:abstractNum w:abstractNumId="145">
    <w:nsid w:val="6EAA85FB"/>
    <w:multiLevelType w:val="hybridMultilevel"/>
    <w:lvl w:ilvl="0">
      <w:lvlJc w:val="left"/>
      <w:lvlText w:val="%1."/>
      <w:numFmt w:val="lowerLetter"/>
      <w:start w:val="4"/>
    </w:lvl>
  </w:abstractNum>
  <w:abstractNum w:abstractNumId="146">
    <w:nsid w:val="3F06ECB2"/>
    <w:multiLevelType w:val="hybridMultilevel"/>
    <w:lvl w:ilvl="0">
      <w:lvlJc w:val="left"/>
      <w:lvlText w:val="%1."/>
      <w:numFmt w:val="lowerLetter"/>
      <w:start w:val="1"/>
    </w:lvl>
  </w:abstractNum>
  <w:abstractNum w:abstractNumId="147">
    <w:nsid w:val="3B594807"/>
    <w:multiLevelType w:val="hybridMultilevel"/>
    <w:lvl w:ilvl="0">
      <w:lvlJc w:val="left"/>
      <w:lvlText w:val="*"/>
      <w:numFmt w:val="bullet"/>
      <w:start w:val="1"/>
    </w:lvl>
  </w:abstractNum>
  <w:abstractNum w:abstractNumId="148">
    <w:nsid w:val="6CAA2304"/>
    <w:multiLevelType w:val="hybridMultilevel"/>
    <w:lvl w:ilvl="0">
      <w:lvlJc w:val="left"/>
      <w:lvlText w:val="%1."/>
      <w:numFmt w:val="lowerLetter"/>
      <w:start w:val="1"/>
    </w:lvl>
  </w:abstractNum>
  <w:abstractNum w:abstractNumId="149">
    <w:nsid w:val="3F7C2FF4"/>
    <w:multiLevelType w:val="hybridMultilevel"/>
    <w:lvl w:ilvl="0">
      <w:lvlJc w:val="left"/>
      <w:lvlText w:val="%1."/>
      <w:numFmt w:val="lowerLetter"/>
      <w:start w:val="3"/>
    </w:lvl>
  </w:abstractNum>
  <w:abstractNum w:abstractNumId="150">
    <w:nsid w:val="25413BEC"/>
    <w:multiLevelType w:val="hybridMultilevel"/>
    <w:lvl w:ilvl="0">
      <w:lvlJc w:val="left"/>
      <w:lvlText w:val="%1."/>
      <w:numFmt w:val="lowerLetter"/>
      <w:start w:val="1"/>
    </w:lvl>
  </w:abstractNum>
  <w:abstractNum w:abstractNumId="151">
    <w:nsid w:val="17180B0B"/>
    <w:multiLevelType w:val="hybridMultilevel"/>
    <w:lvl w:ilvl="0">
      <w:lvlJc w:val="left"/>
      <w:lvlText w:val="%1:"/>
      <w:numFmt w:val="lowerLetter"/>
      <w:start w:val="4"/>
    </w:lvl>
  </w:abstractNum>
  <w:abstractNum w:abstractNumId="152">
    <w:nsid w:val="579328B9"/>
    <w:multiLevelType w:val="hybridMultilevel"/>
    <w:lvl w:ilvl="0">
      <w:lvlJc w:val="left"/>
      <w:lvlText w:val=" "/>
      <w:numFmt w:val="bullet"/>
      <w:start w:val="1"/>
    </w:lvl>
  </w:abstractNum>
  <w:abstractNum w:abstractNumId="153">
    <w:nsid w:val="5D205E20"/>
    <w:multiLevelType w:val="hybridMultilevel"/>
    <w:lvl w:ilvl="0">
      <w:lvlJc w:val="left"/>
      <w:lvlText w:val=" "/>
      <w:numFmt w:val="bullet"/>
      <w:start w:val="1"/>
    </w:lvl>
  </w:abstractNum>
  <w:abstractNum w:abstractNumId="154">
    <w:nsid w:val="11CCA8BA"/>
    <w:multiLevelType w:val="hybridMultilevel"/>
    <w:lvl w:ilvl="0">
      <w:lvlJc w:val="left"/>
      <w:lvlText w:val="%1."/>
      <w:numFmt w:val="decimal"/>
      <w:start w:val="1"/>
    </w:lvl>
  </w:abstractNum>
  <w:abstractNum w:abstractNumId="155">
    <w:nsid w:val="4D32AB86"/>
    <w:multiLevelType w:val="hybridMultilevel"/>
    <w:lvl w:ilvl="0">
      <w:lvlJc w:val="left"/>
      <w:lvlText w:val="%1."/>
      <w:numFmt w:val="decimal"/>
      <w:start w:val="2"/>
    </w:lvl>
  </w:abstractNum>
  <w:abstractNum w:abstractNumId="156">
    <w:nsid w:val="3F07ACC3"/>
    <w:multiLevelType w:val="hybridMultilevel"/>
    <w:lvl w:ilvl="0">
      <w:lvlJc w:val="left"/>
      <w:lvlText w:val="%1."/>
      <w:numFmt w:val="decimal"/>
      <w:start w:val="3"/>
    </w:lvl>
  </w:abstractNum>
  <w:abstractNum w:abstractNumId="157">
    <w:nsid w:val="6B47F63E"/>
    <w:multiLevelType w:val="hybridMultilevel"/>
    <w:lvl w:ilvl="0">
      <w:lvlJc w:val="left"/>
      <w:lvlText w:val="%1."/>
      <w:numFmt w:val="decimal"/>
      <w:start w:val="4"/>
    </w:lvl>
  </w:abstractNum>
  <w:abstractNum w:abstractNumId="158">
    <w:nsid w:val="5CB44A05"/>
    <w:multiLevelType w:val="hybridMultilevel"/>
    <w:lvl w:ilvl="0">
      <w:lvlJc w:val="left"/>
      <w:lvlText w:val=""/>
      <w:numFmt w:val="bullet"/>
      <w:start w:val="1"/>
    </w:lvl>
  </w:abstractNum>
  <w:abstractNum w:abstractNumId="159">
    <w:nsid w:val="16CF80F1"/>
    <w:multiLevelType w:val="hybridMultilevel"/>
    <w:lvl w:ilvl="0">
      <w:lvlJc w:val="left"/>
      <w:lvlText w:val="%1"/>
      <w:numFmt w:val="decimal"/>
      <w:start w:val="1"/>
    </w:lvl>
  </w:abstractNum>
  <w:abstractNum w:abstractNumId="160">
    <w:nsid w:val="1C695DEC"/>
    <w:multiLevelType w:val="hybridMultilevel"/>
    <w:lvl w:ilvl="0">
      <w:lvlJc w:val="left"/>
      <w:lvlText w:val=" "/>
      <w:numFmt w:val="bullet"/>
      <w:start w:val="1"/>
    </w:lvl>
  </w:abstractNum>
  <w:abstractNum w:abstractNumId="161">
    <w:nsid w:val="3FCFAED9"/>
    <w:multiLevelType w:val="hybridMultilevel"/>
    <w:lvl w:ilvl="0">
      <w:lvlJc w:val="left"/>
      <w:lvlText w:val=" "/>
      <w:numFmt w:val="bullet"/>
      <w:start w:val="1"/>
    </w:lvl>
  </w:abstractNum>
  <w:abstractNum w:abstractNumId="162">
    <w:nsid w:val="F856867"/>
    <w:multiLevelType w:val="hybridMultilevel"/>
    <w:lvl w:ilvl="0">
      <w:lvlJc w:val="left"/>
      <w:lvlText w:val=" "/>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https://data.vic.gov.au/"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2020-10-13T03:44:56Z</dcterms:created>
  <dcterms:modified xsi:type="dcterms:W3CDTF">2020-10-13T03:44:56Z</dcterms:modified>
</cp:coreProperties>
</file>