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9904" w:type="dxa"/>
        <w:tblLook w:val="01E0" w:firstRow="1" w:lastRow="1" w:firstColumn="1" w:lastColumn="1" w:noHBand="0" w:noVBand="0"/>
      </w:tblPr>
      <w:tblGrid>
        <w:gridCol w:w="9904"/>
      </w:tblGrid>
      <w:tr w:rsidR="00EA2B53" w:rsidRPr="00F74678" w:rsidTr="00EA2B53">
        <w:trPr>
          <w:trHeight w:hRule="exact" w:val="2683"/>
        </w:trPr>
        <w:tc>
          <w:tcPr>
            <w:tcW w:w="9904" w:type="dxa"/>
            <w:shd w:val="clear" w:color="auto" w:fill="auto"/>
          </w:tcPr>
          <w:p w:rsidR="00EA2B53" w:rsidRDefault="00EA2B53" w:rsidP="00915D5A">
            <w:pPr>
              <w:pStyle w:val="Toptitle"/>
              <w:framePr w:hSpace="0" w:wrap="auto" w:vAnchor="margin" w:hAnchor="text" w:yAlign="inline"/>
            </w:pPr>
            <w:bookmarkStart w:id="0" w:name="Here"/>
            <w:bookmarkStart w:id="1" w:name="_GoBack"/>
            <w:bookmarkEnd w:id="0"/>
            <w:bookmarkEnd w:id="1"/>
            <w:r w:rsidRPr="003F3A22">
              <w:t>Dispute Resolution</w:t>
            </w:r>
          </w:p>
          <w:p w:rsidR="00EA2B53" w:rsidRPr="003F3A22" w:rsidRDefault="00EA2B53" w:rsidP="00915D5A">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10FD165A" wp14:editId="584F39A2">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9215FF" w:rsidP="00DF494B">
                                  <w:pPr>
                                    <w:pStyle w:val="CertHDWhite"/>
                                    <w:rPr>
                                      <w:sz w:val="32"/>
                                      <w:szCs w:val="32"/>
                                    </w:rPr>
                                  </w:pPr>
                                  <w:r>
                                    <w:rPr>
                                      <w:sz w:val="32"/>
                                      <w:szCs w:val="32"/>
                                    </w:rPr>
                                    <w:t>T</w:t>
                                  </w:r>
                                  <w:r w:rsidR="00FA73B6">
                                    <w:rPr>
                                      <w:sz w:val="32"/>
                                      <w:szCs w:val="32"/>
                                    </w:rPr>
                                    <w:t xml:space="preserve">emplate </w:t>
                                  </w:r>
                                  <w:r w:rsidR="00EA2B53" w:rsidRPr="00DF494B">
                                    <w:rPr>
                                      <w:sz w:val="32"/>
                                      <w:szCs w:val="32"/>
                                    </w:rPr>
                                    <w:t>for 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9215FF" w:rsidP="00DF494B">
                            <w:pPr>
                              <w:pStyle w:val="CertHDWhite"/>
                              <w:rPr>
                                <w:sz w:val="32"/>
                                <w:szCs w:val="32"/>
                              </w:rPr>
                            </w:pPr>
                            <w:r>
                              <w:rPr>
                                <w:sz w:val="32"/>
                                <w:szCs w:val="32"/>
                              </w:rPr>
                              <w:t>T</w:t>
                            </w:r>
                            <w:r w:rsidR="00FA73B6">
                              <w:rPr>
                                <w:sz w:val="32"/>
                                <w:szCs w:val="32"/>
                              </w:rPr>
                              <w:t xml:space="preserve">emplate </w:t>
                            </w:r>
                            <w:r w:rsidR="00EA2B53" w:rsidRPr="00DF494B">
                              <w:rPr>
                                <w:sz w:val="32"/>
                                <w:szCs w:val="32"/>
                              </w:rPr>
                              <w:t>for boards of major DELWP agencies</w:t>
                            </w:r>
                          </w:p>
                        </w:txbxContent>
                      </v:textbox>
                    </v:shape>
                  </w:pict>
                </mc:Fallback>
              </mc:AlternateContent>
            </w:r>
            <w:r>
              <w:t>(</w:t>
            </w:r>
            <w:r w:rsidR="006767CB">
              <w:t xml:space="preserve">1)  </w:t>
            </w:r>
            <w:r w:rsidRPr="003F3A22">
              <w:t>Model policy</w:t>
            </w:r>
            <w:r w:rsidR="009215FF">
              <w:t xml:space="preserve"> - standard</w:t>
            </w:r>
          </w:p>
        </w:tc>
      </w:tr>
    </w:tbl>
    <w:p w:rsidR="002C12AF" w:rsidRDefault="002C12AF" w:rsidP="00EA2B53">
      <w:pPr>
        <w:spacing w:before="400"/>
      </w:pPr>
    </w:p>
    <w:p w:rsidR="00EA2B53" w:rsidRDefault="00EA2B53" w:rsidP="001855F2"/>
    <w:p w:rsidR="00FB788F" w:rsidRDefault="00FB788F" w:rsidP="00FB788F">
      <w:r>
        <w:t>This model policy is for use by</w:t>
      </w:r>
      <w:r w:rsidRPr="00D01A78">
        <w:t xml:space="preserve"> </w:t>
      </w:r>
      <w:r w:rsidRPr="001100DC">
        <w:t>board members</w:t>
      </w:r>
      <w:r w:rsidRPr="00D01A78">
        <w:t xml:space="preserve"> of </w:t>
      </w:r>
      <w:r>
        <w:t xml:space="preserve">the over 100 major </w:t>
      </w:r>
      <w:r w:rsidRPr="00D01A78">
        <w:t xml:space="preserve">public entities and other statutory boards, committees, councils, panels, etc.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rsidR="009E5E93">
        <w:t xml:space="preserve"> of C</w:t>
      </w:r>
      <w:r>
        <w:t>rown land reserves</w:t>
      </w:r>
      <w:r w:rsidR="00AD0122">
        <w:t>.</w:t>
      </w:r>
      <w:r>
        <w:t xml:space="preserve">  </w:t>
      </w:r>
    </w:p>
    <w:p w:rsidR="00220902" w:rsidRPr="00A3042C" w:rsidRDefault="00220902" w:rsidP="00220902">
      <w:r>
        <w:t>A separate model policy</w:t>
      </w:r>
      <w:r w:rsidRPr="00A3042C">
        <w:t xml:space="preserve"> </w:t>
      </w:r>
      <w:r>
        <w:t>is</w:t>
      </w:r>
      <w:r w:rsidRPr="00A3042C">
        <w:t xml:space="preserve"> available for </w:t>
      </w:r>
      <w:r w:rsidR="00FB788F">
        <w:t>small (category 3</w:t>
      </w:r>
      <w:r w:rsidRPr="00A3042C">
        <w:t xml:space="preserve">) committees of management.  </w:t>
      </w:r>
    </w:p>
    <w:p w:rsidR="00EA2B53" w:rsidRDefault="00220902" w:rsidP="00220902">
      <w:r w:rsidRPr="00A3042C">
        <w:t>All model policies and guidance notes can be downloaded from the</w:t>
      </w:r>
      <w:r>
        <w:t xml:space="preserve"> </w:t>
      </w:r>
      <w:hyperlink w:history="1">
        <w:r w:rsidRPr="00B65999">
          <w:rPr>
            <w:rStyle w:val="Hyperlink"/>
          </w:rPr>
          <w:t>Dispute resolution</w:t>
        </w:r>
      </w:hyperlink>
      <w:r w:rsidRPr="00A3042C">
        <w:t xml:space="preserve"> </w:t>
      </w:r>
      <w:r>
        <w:t>s</w:t>
      </w:r>
      <w:r w:rsidRPr="00A3042C">
        <w:t>upport module on DELWP’s governance website, On Board (</w:t>
      </w:r>
      <w:hyperlink r:id="rId9" w:history="1">
        <w:r w:rsidRPr="00A3042C">
          <w:rPr>
            <w:rStyle w:val="Hyperlink"/>
          </w:rPr>
          <w:t>www.delwp.vic.gov.au/onboard</w:t>
        </w:r>
      </w:hyperlink>
      <w:r w:rsidRPr="00A3042C">
        <w:t xml:space="preserve">).  </w:t>
      </w:r>
    </w:p>
    <w:p w:rsidR="00EB0EAA" w:rsidRDefault="00EB0EAA" w:rsidP="00EB0EAA">
      <w:pPr>
        <w:rPr>
          <w:i/>
        </w:rPr>
      </w:pPr>
      <w:r w:rsidRPr="00A3042C">
        <w:t>Prior to using this model policy, please read the guidance note</w:t>
      </w:r>
      <w:r w:rsidR="000A352F">
        <w:t>,</w:t>
      </w:r>
      <w:r w:rsidRPr="00A3042C">
        <w:t xml:space="preserve"> </w:t>
      </w:r>
      <w:r w:rsidR="00BF5B4F">
        <w:rPr>
          <w:i/>
        </w:rPr>
        <w:t>A</w:t>
      </w:r>
      <w:r w:rsidRPr="00A3042C">
        <w:rPr>
          <w:i/>
        </w:rPr>
        <w:t>bout the model policy.</w:t>
      </w:r>
    </w:p>
    <w:p w:rsidR="00D45BD0" w:rsidRPr="00A3042C" w:rsidRDefault="00D45BD0" w:rsidP="00EA2B53">
      <w:pPr>
        <w:pStyle w:val="Heading1"/>
        <w:spacing w:before="240" w:after="500"/>
        <w:jc w:val="center"/>
        <w:rPr>
          <w:b/>
          <w:spacing w:val="3"/>
        </w:rPr>
      </w:pPr>
      <w:r w:rsidRPr="00A3042C">
        <w:rPr>
          <w:spacing w:val="3"/>
        </w:rPr>
        <w:t>…………………………………………………………………………</w:t>
      </w:r>
    </w:p>
    <w:p w:rsidR="00D45BD0" w:rsidRPr="001013E9" w:rsidRDefault="00D45BD0" w:rsidP="001013E9">
      <w:pPr>
        <w:pStyle w:val="Heading5"/>
      </w:pPr>
      <w:r w:rsidRPr="001013E9">
        <w:t xml:space="preserve">[insert name of agency] </w:t>
      </w:r>
    </w:p>
    <w:p w:rsidR="00D45BD0" w:rsidRPr="001013E9" w:rsidRDefault="00936BF0" w:rsidP="001013E9">
      <w:pPr>
        <w:pStyle w:val="Heading4"/>
      </w:pPr>
      <w:r w:rsidRPr="001013E9">
        <w:t>Dispute resolution</w:t>
      </w:r>
      <w:r w:rsidR="00D45BD0" w:rsidRPr="001013E9">
        <w:t xml:space="preserve"> – board policy</w:t>
      </w:r>
    </w:p>
    <w:p w:rsidR="00D45BD0" w:rsidRPr="003F3A22" w:rsidRDefault="00D45BD0" w:rsidP="00D45BD0">
      <w:pPr>
        <w:pStyle w:val="Heading1"/>
        <w:rPr>
          <w:szCs w:val="37"/>
        </w:rPr>
      </w:pPr>
      <w:r w:rsidRPr="003F3A22">
        <w:rPr>
          <w:szCs w:val="37"/>
        </w:rPr>
        <w:t>1.</w:t>
      </w:r>
      <w:r w:rsidRPr="003F3A22">
        <w:rPr>
          <w:szCs w:val="37"/>
        </w:rPr>
        <w:tab/>
        <w:t>Scope</w:t>
      </w:r>
    </w:p>
    <w:p w:rsidR="00763884" w:rsidRPr="004E23F5" w:rsidRDefault="00763884" w:rsidP="00763884">
      <w:r>
        <w:t>This policy sets out the board’s procedures for resolving disputes between board members</w:t>
      </w:r>
      <w:r w:rsidRPr="004E23F5">
        <w:t>.</w:t>
      </w:r>
      <w:r>
        <w:t xml:space="preserve"> </w:t>
      </w:r>
    </w:p>
    <w:p w:rsidR="00763884" w:rsidRDefault="00763884" w:rsidP="00763884">
      <w:pPr>
        <w:pStyle w:val="Heading1"/>
      </w:pPr>
      <w:r>
        <w:t>2.</w:t>
      </w:r>
      <w:r>
        <w:tab/>
        <w:t xml:space="preserve">Key </w:t>
      </w:r>
      <w:r w:rsidRPr="004149C0">
        <w:t>principles</w:t>
      </w:r>
    </w:p>
    <w:p w:rsidR="00763884" w:rsidRPr="00EB236F" w:rsidRDefault="00763884" w:rsidP="00FC1E36">
      <w:pPr>
        <w:pStyle w:val="ListBullet"/>
        <w:rPr>
          <w:rStyle w:val="Emphasis-Bold"/>
          <w:rFonts w:asciiTheme="minorHAnsi" w:hAnsiTheme="minorHAnsi"/>
          <w:b w:val="0"/>
          <w:color w:val="1C1C1C"/>
        </w:rPr>
      </w:pPr>
      <w:r w:rsidRPr="00EB236F">
        <w:rPr>
          <w:rStyle w:val="Emphasis-Bold"/>
          <w:rFonts w:asciiTheme="minorHAnsi" w:hAnsiTheme="minorHAnsi"/>
          <w:color w:val="1C1C1C"/>
        </w:rPr>
        <w:t>Obligations:</w:t>
      </w:r>
      <w:r w:rsidRPr="00EB236F">
        <w:rPr>
          <w:rStyle w:val="Emphasis-Bold"/>
          <w:rFonts w:asciiTheme="minorHAnsi" w:hAnsiTheme="minorHAnsi"/>
          <w:b w:val="0"/>
          <w:color w:val="1C1C1C"/>
        </w:rPr>
        <w:t xml:space="preserve"> the board acts in accordance with its obligations and with good governance practice</w:t>
      </w:r>
      <w:r w:rsidR="00862AC7">
        <w:rPr>
          <w:rStyle w:val="Emphasis-Bold"/>
          <w:rFonts w:asciiTheme="minorHAnsi" w:hAnsiTheme="minorHAnsi"/>
          <w:b w:val="0"/>
          <w:color w:val="1C1C1C"/>
        </w:rPr>
        <w:t xml:space="preserve"> </w:t>
      </w:r>
      <w:r w:rsidR="00862AC7">
        <w:rPr>
          <w:rStyle w:val="Emphasis-Bold"/>
          <w:rFonts w:asciiTheme="minorHAnsi" w:hAnsiTheme="minorHAnsi"/>
          <w:b w:val="0"/>
          <w:color w:val="1C1C1C"/>
        </w:rPr>
        <w:br/>
        <w:t>(</w:t>
      </w:r>
      <w:r w:rsidR="00F02321">
        <w:rPr>
          <w:rStyle w:val="Emphasis-Bold"/>
          <w:rFonts w:asciiTheme="minorHAnsi" w:hAnsiTheme="minorHAnsi"/>
          <w:b w:val="0"/>
          <w:color w:val="1C1C1C"/>
        </w:rPr>
        <w:t xml:space="preserve">see </w:t>
      </w:r>
      <w:r w:rsidR="00862AC7">
        <w:rPr>
          <w:rStyle w:val="Emphasis-Bold"/>
          <w:rFonts w:asciiTheme="minorHAnsi" w:hAnsiTheme="minorHAnsi"/>
          <w:b w:val="0"/>
          <w:color w:val="1C1C1C"/>
        </w:rPr>
        <w:t>item 9).</w:t>
      </w:r>
    </w:p>
    <w:p w:rsidR="00763884" w:rsidRPr="00EB236F" w:rsidRDefault="00763884" w:rsidP="00FC1E36">
      <w:pPr>
        <w:pStyle w:val="ListBullet"/>
        <w:rPr>
          <w:rStyle w:val="Emphasis-Bold"/>
          <w:rFonts w:asciiTheme="minorHAnsi" w:hAnsiTheme="minorHAnsi"/>
          <w:b w:val="0"/>
          <w:color w:val="1C1C1C"/>
        </w:rPr>
      </w:pPr>
      <w:r w:rsidRPr="00EB236F">
        <w:rPr>
          <w:rStyle w:val="Emphasis-Bold"/>
          <w:rFonts w:asciiTheme="minorHAnsi" w:hAnsiTheme="minorHAnsi"/>
          <w:color w:val="1C1C1C"/>
        </w:rPr>
        <w:t>Public interest:</w:t>
      </w:r>
      <w:r w:rsidRPr="00EB236F">
        <w:rPr>
          <w:rStyle w:val="Emphasis-Bold"/>
          <w:rFonts w:asciiTheme="minorHAnsi" w:hAnsiTheme="minorHAnsi"/>
          <w:b w:val="0"/>
          <w:color w:val="1C1C1C"/>
        </w:rPr>
        <w:t xml:space="preserve"> </w:t>
      </w:r>
      <w:r w:rsidR="00F02321">
        <w:rPr>
          <w:rStyle w:val="Emphasis-Bold"/>
          <w:rFonts w:asciiTheme="minorHAnsi" w:hAnsiTheme="minorHAnsi"/>
          <w:b w:val="0"/>
          <w:color w:val="1C1C1C"/>
        </w:rPr>
        <w:t>d</w:t>
      </w:r>
      <w:r w:rsidRPr="00EB236F">
        <w:rPr>
          <w:rStyle w:val="Emphasis-Bold"/>
          <w:rFonts w:asciiTheme="minorHAnsi" w:hAnsiTheme="minorHAnsi"/>
          <w:b w:val="0"/>
          <w:color w:val="1C1C1C"/>
        </w:rPr>
        <w:t>isputes are avoided where possible</w:t>
      </w:r>
      <w:r w:rsidR="00F02321">
        <w:rPr>
          <w:rStyle w:val="Emphasis-Bold"/>
          <w:rFonts w:asciiTheme="minorHAnsi" w:hAnsiTheme="minorHAnsi"/>
          <w:b w:val="0"/>
          <w:color w:val="1C1C1C"/>
        </w:rPr>
        <w:t xml:space="preserve">.  All disputes are </w:t>
      </w:r>
      <w:r w:rsidRPr="00EB236F">
        <w:rPr>
          <w:rStyle w:val="Emphasis-Bold"/>
          <w:rFonts w:asciiTheme="minorHAnsi" w:hAnsiTheme="minorHAnsi"/>
          <w:b w:val="0"/>
          <w:color w:val="1C1C1C"/>
        </w:rPr>
        <w:t>resolved in the public interest.</w:t>
      </w:r>
    </w:p>
    <w:p w:rsidR="00763884" w:rsidRPr="00EB236F" w:rsidRDefault="00763884" w:rsidP="00FC1E36">
      <w:pPr>
        <w:pStyle w:val="ListBullet"/>
        <w:rPr>
          <w:b/>
        </w:rPr>
      </w:pPr>
      <w:r w:rsidRPr="00EB236F">
        <w:rPr>
          <w:rStyle w:val="Emphasis-Bold"/>
          <w:rFonts w:asciiTheme="minorHAnsi" w:hAnsiTheme="minorHAnsi"/>
          <w:color w:val="1C1C1C"/>
        </w:rPr>
        <w:t>Respect, courtesy and balance</w:t>
      </w:r>
      <w:r w:rsidRPr="00EB236F">
        <w:t>: board members treat one another with respect and courtesy.  They participate in board discussions in an active and constructive manner. There is a balanced opportunity for each board member to ask questions, express ideas, and offer opinions.</w:t>
      </w:r>
    </w:p>
    <w:p w:rsidR="00BF0552" w:rsidRDefault="00763884" w:rsidP="00FC1E36">
      <w:pPr>
        <w:pStyle w:val="ListBullet"/>
      </w:pPr>
      <w:r w:rsidRPr="00EB236F">
        <w:rPr>
          <w:rStyle w:val="Emphasis-Bold"/>
          <w:rFonts w:asciiTheme="minorHAnsi" w:hAnsiTheme="minorHAnsi"/>
          <w:color w:val="1C1C1C"/>
        </w:rPr>
        <w:t>Good faith</w:t>
      </w:r>
      <w:r w:rsidRPr="00EB236F">
        <w:t xml:space="preserve">: board members </w:t>
      </w:r>
      <w:r w:rsidR="00BF0552">
        <w:t xml:space="preserve">who are in dispute </w:t>
      </w:r>
      <w:r w:rsidR="00FE56FD">
        <w:t>act in</w:t>
      </w:r>
      <w:r w:rsidR="00FE56FD" w:rsidRPr="00EB236F">
        <w:t xml:space="preserve"> good faith </w:t>
      </w:r>
      <w:r w:rsidR="00BF0552">
        <w:t>to resolve the dispute as soon as possible.</w:t>
      </w:r>
    </w:p>
    <w:p w:rsidR="00763884" w:rsidRDefault="00763884" w:rsidP="00763884">
      <w:pPr>
        <w:spacing w:after="0" w:line="264" w:lineRule="auto"/>
        <w:rPr>
          <w:rStyle w:val="Emphasis-Bold"/>
          <w:b w:val="0"/>
          <w:color w:val="1C1C1C"/>
        </w:rPr>
      </w:pPr>
      <w:r>
        <w:rPr>
          <w:rStyle w:val="Emphasis-Bold"/>
          <w:color w:val="1C1C1C"/>
        </w:rPr>
        <w:br w:type="page"/>
      </w:r>
    </w:p>
    <w:p w:rsidR="00763884" w:rsidRPr="006F7419" w:rsidRDefault="009523BC" w:rsidP="00763884">
      <w:pPr>
        <w:pStyle w:val="Heading1"/>
      </w:pPr>
      <w:r>
        <w:lastRenderedPageBreak/>
        <w:t>3</w:t>
      </w:r>
      <w:r w:rsidR="00763884">
        <w:t>.</w:t>
      </w:r>
      <w:r w:rsidR="00763884">
        <w:tab/>
      </w:r>
      <w:r w:rsidR="00763884" w:rsidRPr="004149C0">
        <w:t>Definition</w:t>
      </w:r>
      <w:r w:rsidR="00763884" w:rsidRPr="006F7419">
        <w:t xml:space="preserve"> of a dispute</w:t>
      </w:r>
    </w:p>
    <w:p w:rsidR="0030024A" w:rsidRDefault="0030024A" w:rsidP="0030024A">
      <w:pPr>
        <w:pStyle w:val="Heading2"/>
        <w:spacing w:before="100"/>
      </w:pPr>
      <w:r>
        <w:t>Not included</w:t>
      </w:r>
    </w:p>
    <w:p w:rsidR="0030024A" w:rsidRDefault="0030024A" w:rsidP="0030024A">
      <w:r>
        <w:t xml:space="preserve">A difference of opinion between board members in relation to a proposed decision (e.g. </w:t>
      </w:r>
      <w:r w:rsidRPr="006F7419">
        <w:t>strategic, business,</w:t>
      </w:r>
      <w:r>
        <w:t xml:space="preserve"> </w:t>
      </w:r>
      <w:r w:rsidRPr="006F7419">
        <w:t>policy</w:t>
      </w:r>
      <w:r>
        <w:t xml:space="preserve">, etc.) is </w:t>
      </w:r>
      <w:r w:rsidRPr="00906FAF">
        <w:t xml:space="preserve">not </w:t>
      </w:r>
      <w:r>
        <w:t xml:space="preserve">a ‘dispute’.  It is the normal difference of views that the board talks through together in a considered, courteous and constructive manner before voting to make its decision, in accordance with the board’s policy on </w:t>
      </w:r>
      <w:r w:rsidRPr="0032268E">
        <w:rPr>
          <w:i/>
        </w:rPr>
        <w:t>Meetings and Decisions</w:t>
      </w:r>
      <w:r>
        <w:t xml:space="preserve">. </w:t>
      </w:r>
    </w:p>
    <w:p w:rsidR="009E4BA2" w:rsidRDefault="009E4BA2" w:rsidP="009E4BA2">
      <w:pPr>
        <w:pStyle w:val="Heading2"/>
      </w:pPr>
      <w:r>
        <w:t>Included</w:t>
      </w:r>
    </w:p>
    <w:p w:rsidR="00763884" w:rsidRPr="006F7419" w:rsidRDefault="00763884" w:rsidP="00763884">
      <w:r w:rsidRPr="006F7419">
        <w:t>For the purposes of this policy, a ‘dispute’ exists if:</w:t>
      </w:r>
    </w:p>
    <w:p w:rsidR="00763884" w:rsidRPr="005C7F2B" w:rsidRDefault="00763884" w:rsidP="00763884">
      <w:pPr>
        <w:pStyle w:val="ListBullet"/>
      </w:pPr>
      <w:r w:rsidRPr="005C7F2B">
        <w:t>two or more board members have difficulty working together (e.g. due to a conflict of personalities or ideological differences); and</w:t>
      </w:r>
    </w:p>
    <w:p w:rsidR="00763884" w:rsidRPr="005C7F2B" w:rsidRDefault="00763884" w:rsidP="00763884">
      <w:pPr>
        <w:pStyle w:val="ListBullet"/>
      </w:pPr>
      <w:r w:rsidRPr="005C7F2B">
        <w:t>the situation is unduly affecting the ability of a board member, or the board collectively, to perform their duties in an effective and efficient manner.</w:t>
      </w:r>
    </w:p>
    <w:p w:rsidR="00763884" w:rsidRDefault="00C15172" w:rsidP="00763884">
      <w:r>
        <w:t>Where appropriate, t</w:t>
      </w:r>
      <w:r w:rsidR="00763884" w:rsidRPr="006F7419">
        <w:t xml:space="preserve">he definition of a dispute may be extended to </w:t>
      </w:r>
      <w:r w:rsidR="00453B68">
        <w:t>include</w:t>
      </w:r>
      <w:r w:rsidR="00763884">
        <w:t xml:space="preserve"> </w:t>
      </w:r>
      <w:r w:rsidR="00763884" w:rsidRPr="006F7419">
        <w:t>subcommittee members who are not board members.</w:t>
      </w:r>
    </w:p>
    <w:p w:rsidR="002C18CE" w:rsidRPr="006F7419" w:rsidRDefault="002C18CE" w:rsidP="002C18CE">
      <w:pPr>
        <w:pStyle w:val="Heading1"/>
      </w:pPr>
      <w:r>
        <w:t>4.</w:t>
      </w:r>
      <w:r>
        <w:tab/>
        <w:t>Duty to act in good faith</w:t>
      </w:r>
    </w:p>
    <w:p w:rsidR="002C18CE" w:rsidRDefault="005D2DDD" w:rsidP="002C18CE">
      <w:r>
        <w:t xml:space="preserve">Board members will avoid disputes, </w:t>
      </w:r>
      <w:r w:rsidR="002C18CE" w:rsidRPr="006F7419">
        <w:t xml:space="preserve">where possible. </w:t>
      </w:r>
      <w:r w:rsidR="002C18CE">
        <w:t xml:space="preserve"> </w:t>
      </w:r>
      <w:r w:rsidR="002C18CE" w:rsidRPr="006F7419">
        <w:t>If a</w:t>
      </w:r>
      <w:r w:rsidR="002C18CE">
        <w:t xml:space="preserve"> dispute arises:</w:t>
      </w:r>
      <w:r w:rsidR="002C18CE" w:rsidRPr="006F7419">
        <w:t xml:space="preserve"> </w:t>
      </w:r>
    </w:p>
    <w:p w:rsidR="002C18CE" w:rsidRDefault="002811D7" w:rsidP="002C18CE">
      <w:pPr>
        <w:pStyle w:val="ListBullet"/>
        <w:numPr>
          <w:ilvl w:val="0"/>
          <w:numId w:val="2"/>
        </w:numPr>
      </w:pPr>
      <w:r>
        <w:t>the</w:t>
      </w:r>
      <w:r w:rsidR="002C18CE" w:rsidRPr="006F7419">
        <w:t xml:space="preserve"> </w:t>
      </w:r>
      <w:r w:rsidR="008C2AF7">
        <w:t xml:space="preserve">board </w:t>
      </w:r>
      <w:r w:rsidR="002C18CE">
        <w:t xml:space="preserve">members in dispute (the </w:t>
      </w:r>
      <w:r w:rsidR="002C18CE" w:rsidRPr="006F7419">
        <w:t>parties</w:t>
      </w:r>
      <w:r w:rsidR="002C18CE">
        <w:t>)</w:t>
      </w:r>
      <w:r w:rsidR="002C18CE" w:rsidRPr="006F7419">
        <w:t xml:space="preserve"> </w:t>
      </w:r>
      <w:r w:rsidR="00E04D26">
        <w:t>will</w:t>
      </w:r>
      <w:r w:rsidR="002C18CE">
        <w:t xml:space="preserve"> </w:t>
      </w:r>
      <w:r w:rsidR="002C18CE" w:rsidRPr="006F7419">
        <w:t xml:space="preserve">act in </w:t>
      </w:r>
      <w:r w:rsidR="002C18CE" w:rsidRPr="00447205">
        <w:t>good faith</w:t>
      </w:r>
      <w:r w:rsidR="002C18CE" w:rsidRPr="006F7419">
        <w:t xml:space="preserve"> to resolve </w:t>
      </w:r>
      <w:r w:rsidR="002C18CE">
        <w:t>the dispute</w:t>
      </w:r>
      <w:r w:rsidR="002C18CE" w:rsidRPr="006F7419">
        <w:t xml:space="preserve"> as</w:t>
      </w:r>
      <w:r w:rsidR="002C18CE">
        <w:t xml:space="preserve"> </w:t>
      </w:r>
      <w:r w:rsidR="002C18CE" w:rsidRPr="006F7419">
        <w:t xml:space="preserve">soon as possible in the </w:t>
      </w:r>
      <w:r w:rsidR="002C18CE" w:rsidRPr="00447205">
        <w:t>public interest</w:t>
      </w:r>
      <w:r w:rsidR="002C18CE">
        <w:rPr>
          <w:b/>
        </w:rPr>
        <w:t xml:space="preserve"> </w:t>
      </w:r>
      <w:r w:rsidR="002C18CE">
        <w:t>(</w:t>
      </w:r>
      <w:r w:rsidR="002C18CE" w:rsidRPr="006C74D6">
        <w:t xml:space="preserve">the best interests of the </w:t>
      </w:r>
      <w:r w:rsidR="002C18CE">
        <w:t>agency</w:t>
      </w:r>
      <w:r w:rsidR="002C18CE" w:rsidRPr="006C74D6">
        <w:t>);</w:t>
      </w:r>
    </w:p>
    <w:p w:rsidR="002C18CE" w:rsidRDefault="002C18CE" w:rsidP="002C18CE">
      <w:pPr>
        <w:pStyle w:val="ListBullet"/>
        <w:numPr>
          <w:ilvl w:val="0"/>
          <w:numId w:val="2"/>
        </w:numPr>
      </w:pPr>
      <w:r>
        <w:t>t</w:t>
      </w:r>
      <w:r w:rsidRPr="006F7419">
        <w:t xml:space="preserve">he chair </w:t>
      </w:r>
      <w:r w:rsidR="00AE0AC0">
        <w:t xml:space="preserve">will </w:t>
      </w:r>
      <w:r w:rsidRPr="006F7419">
        <w:t xml:space="preserve">actively guide the parties towards </w:t>
      </w:r>
      <w:r>
        <w:t>resolution of the dispute; and</w:t>
      </w:r>
    </w:p>
    <w:p w:rsidR="002C18CE" w:rsidRPr="006915B1" w:rsidRDefault="002C18CE" w:rsidP="002C18CE">
      <w:pPr>
        <w:pStyle w:val="ListBullet"/>
        <w:numPr>
          <w:ilvl w:val="0"/>
          <w:numId w:val="2"/>
        </w:numPr>
      </w:pPr>
      <w:r>
        <w:t>the o</w:t>
      </w:r>
      <w:r w:rsidRPr="006915B1">
        <w:t xml:space="preserve">ther </w:t>
      </w:r>
      <w:r>
        <w:t>board</w:t>
      </w:r>
      <w:r w:rsidRPr="006915B1">
        <w:t xml:space="preserve"> members </w:t>
      </w:r>
      <w:r w:rsidR="00AE0AC0">
        <w:t xml:space="preserve">will </w:t>
      </w:r>
      <w:r w:rsidRPr="006915B1">
        <w:t>support th</w:t>
      </w:r>
      <w:r>
        <w:t>is</w:t>
      </w:r>
      <w:r w:rsidRPr="006915B1">
        <w:t xml:space="preserve"> process.</w:t>
      </w:r>
      <w:r w:rsidR="002B5236">
        <w:rPr>
          <w:rStyle w:val="FootnoteReference"/>
        </w:rPr>
        <w:footnoteReference w:id="1"/>
      </w:r>
    </w:p>
    <w:p w:rsidR="00763884" w:rsidRPr="006F7419" w:rsidRDefault="009523BC" w:rsidP="00763884">
      <w:pPr>
        <w:pStyle w:val="Heading1"/>
      </w:pPr>
      <w:r>
        <w:t>5</w:t>
      </w:r>
      <w:r w:rsidR="00763884">
        <w:t>.</w:t>
      </w:r>
      <w:r w:rsidR="00763884">
        <w:tab/>
      </w:r>
      <w:r w:rsidR="00763884" w:rsidRPr="006F7419">
        <w:t>In</w:t>
      </w:r>
      <w:r w:rsidR="00763884" w:rsidRPr="004149C0">
        <w:t>f</w:t>
      </w:r>
      <w:r w:rsidR="007B37CB">
        <w:t>ormal resolution</w:t>
      </w:r>
    </w:p>
    <w:p w:rsidR="00626501" w:rsidRDefault="00F72163" w:rsidP="00763884">
      <w:r>
        <w:t xml:space="preserve">It is preferable for disputes to be resolved on an informal basis.  </w:t>
      </w:r>
      <w:r w:rsidR="00DC4E52">
        <w:t>Acting in good faith, t</w:t>
      </w:r>
      <w:r w:rsidR="00C56789">
        <w:t>he parties</w:t>
      </w:r>
      <w:r w:rsidR="00075307">
        <w:t xml:space="preserve"> </w:t>
      </w:r>
      <w:r w:rsidR="00F51326">
        <w:t>will</w:t>
      </w:r>
      <w:r w:rsidR="00487611">
        <w:t xml:space="preserve"> </w:t>
      </w:r>
      <w:r w:rsidR="00DC4E52">
        <w:t>make</w:t>
      </w:r>
      <w:r w:rsidR="00DC4E52" w:rsidRPr="006F7419">
        <w:t xml:space="preserve"> a </w:t>
      </w:r>
      <w:r w:rsidR="00DC4E52">
        <w:t>reasonable, thorough</w:t>
      </w:r>
      <w:r w:rsidR="00DC4E52" w:rsidRPr="00447205">
        <w:t xml:space="preserve"> and conscientious</w:t>
      </w:r>
      <w:r w:rsidR="00DC4E52">
        <w:t xml:space="preserve"> effort to do so, under the guidance of the chair.</w:t>
      </w:r>
      <w:r w:rsidR="00945A38" w:rsidRPr="006915B1">
        <w:t xml:space="preserve"> </w:t>
      </w:r>
      <w:r w:rsidR="00466C4D">
        <w:t xml:space="preserve"> </w:t>
      </w:r>
    </w:p>
    <w:p w:rsidR="00763884" w:rsidRDefault="00466C4D" w:rsidP="00763884">
      <w:r>
        <w:t>D</w:t>
      </w:r>
      <w:r w:rsidR="009D629C">
        <w:t xml:space="preserve">uring </w:t>
      </w:r>
      <w:r>
        <w:t>this</w:t>
      </w:r>
      <w:r w:rsidR="009D629C">
        <w:t xml:space="preserve"> process</w:t>
      </w:r>
      <w:r w:rsidR="003B3AA6">
        <w:t>,</w:t>
      </w:r>
      <w:r w:rsidR="009D629C">
        <w:t xml:space="preserve"> </w:t>
      </w:r>
      <w:r>
        <w:t xml:space="preserve">if </w:t>
      </w:r>
      <w:r w:rsidR="00763884" w:rsidRPr="006F7419">
        <w:t>the chair is of the view that the board should be</w:t>
      </w:r>
      <w:r w:rsidR="00763884">
        <w:t xml:space="preserve"> </w:t>
      </w:r>
      <w:r w:rsidR="007B10CA">
        <w:t xml:space="preserve">formally </w:t>
      </w:r>
      <w:r w:rsidR="00763884" w:rsidRPr="006F7419">
        <w:t>notified of the existence of the dispute (e.g. because it may</w:t>
      </w:r>
      <w:r w:rsidR="00763884">
        <w:t xml:space="preserve"> </w:t>
      </w:r>
      <w:r w:rsidR="00763884" w:rsidRPr="006F7419">
        <w:t xml:space="preserve">pose a major risk to the effective operation of the </w:t>
      </w:r>
      <w:r w:rsidR="00075307">
        <w:t>agency</w:t>
      </w:r>
      <w:r w:rsidR="00763884" w:rsidRPr="006F7419">
        <w:t xml:space="preserve">), </w:t>
      </w:r>
      <w:r w:rsidR="00626501">
        <w:t xml:space="preserve">he or </w:t>
      </w:r>
      <w:r>
        <w:t>she</w:t>
      </w:r>
      <w:r w:rsidR="003B3AA6">
        <w:t xml:space="preserve"> </w:t>
      </w:r>
      <w:r w:rsidR="00447205">
        <w:t>will place</w:t>
      </w:r>
      <w:r>
        <w:t xml:space="preserve"> </w:t>
      </w:r>
      <w:r w:rsidR="003B3AA6">
        <w:t>the matter</w:t>
      </w:r>
      <w:r w:rsidR="00763884" w:rsidRPr="006F7419">
        <w:t xml:space="preserve"> on the agenda of the next board meeting</w:t>
      </w:r>
      <w:r w:rsidR="00763884">
        <w:t xml:space="preserve"> </w:t>
      </w:r>
      <w:r w:rsidR="00763884" w:rsidRPr="006F7419">
        <w:t>for noting and/or monitoring.</w:t>
      </w:r>
      <w:r>
        <w:t xml:space="preserve">  This does not interrupt the informal resolution process.</w:t>
      </w:r>
    </w:p>
    <w:p w:rsidR="00763884" w:rsidRDefault="009523BC" w:rsidP="00A61E04">
      <w:pPr>
        <w:pStyle w:val="Heading1"/>
        <w:spacing w:after="140"/>
      </w:pPr>
      <w:r>
        <w:t>6</w:t>
      </w:r>
      <w:r w:rsidR="00763884">
        <w:t>.</w:t>
      </w:r>
      <w:r w:rsidR="00763884">
        <w:tab/>
      </w:r>
      <w:r w:rsidR="00763884" w:rsidRPr="001E0D13">
        <w:t xml:space="preserve">Notice </w:t>
      </w:r>
      <w:r w:rsidR="00763884" w:rsidRPr="004149C0">
        <w:t>of</w:t>
      </w:r>
      <w:r w:rsidR="00763884" w:rsidRPr="001E0D13">
        <w:t xml:space="preserve"> an unresolved dispute</w:t>
      </w:r>
    </w:p>
    <w:p w:rsidR="00763884" w:rsidRDefault="00763884" w:rsidP="00763884">
      <w:r>
        <w:t xml:space="preserve">If a dispute </w:t>
      </w:r>
      <w:r w:rsidR="001C3D80">
        <w:t xml:space="preserve">cannot be resolved on an informal basis, </w:t>
      </w:r>
      <w:r>
        <w:t xml:space="preserve">the chair </w:t>
      </w:r>
      <w:r w:rsidR="00447205">
        <w:t xml:space="preserve">will </w:t>
      </w:r>
      <w:r>
        <w:t xml:space="preserve">place the matter on the agenda of the next board meeting.  At the meeting, the board </w:t>
      </w:r>
      <w:r w:rsidR="00447205">
        <w:t xml:space="preserve">will </w:t>
      </w:r>
      <w:r>
        <w:t xml:space="preserve">invoke the </w:t>
      </w:r>
      <w:r w:rsidRPr="00075307">
        <w:t>formal</w:t>
      </w:r>
      <w:r>
        <w:t xml:space="preserve"> </w:t>
      </w:r>
      <w:r w:rsidR="001B11D5">
        <w:t>mediation</w:t>
      </w:r>
      <w:r>
        <w:t xml:space="preserve"> process if it is satisfied that:</w:t>
      </w:r>
    </w:p>
    <w:p w:rsidR="00844D8A" w:rsidRDefault="00844D8A" w:rsidP="002C18CE">
      <w:pPr>
        <w:pStyle w:val="ListBullet"/>
      </w:pPr>
      <w:r>
        <w:t xml:space="preserve">a dispute exists </w:t>
      </w:r>
      <w:r w:rsidR="001B11D5">
        <w:t xml:space="preserve">which </w:t>
      </w:r>
      <w:r>
        <w:t>cannot be resolved on an informal basis; and</w:t>
      </w:r>
    </w:p>
    <w:p w:rsidR="00844D8A" w:rsidRDefault="00844D8A" w:rsidP="00844D8A">
      <w:pPr>
        <w:pStyle w:val="ListBullet"/>
      </w:pPr>
      <w:r>
        <w:t>it is in the public interest to do so.</w:t>
      </w:r>
    </w:p>
    <w:p w:rsidR="00763884" w:rsidRPr="001E0D13" w:rsidRDefault="009523BC" w:rsidP="00A61E04">
      <w:pPr>
        <w:pStyle w:val="Heading1"/>
        <w:spacing w:after="140"/>
      </w:pPr>
      <w:r>
        <w:lastRenderedPageBreak/>
        <w:t>7</w:t>
      </w:r>
      <w:r w:rsidR="00763884">
        <w:t>.</w:t>
      </w:r>
      <w:r w:rsidR="00763884">
        <w:tab/>
      </w:r>
      <w:r w:rsidR="00763884" w:rsidRPr="004149C0">
        <w:t>Formal</w:t>
      </w:r>
      <w:r w:rsidR="00763884" w:rsidRPr="001E0D13">
        <w:t xml:space="preserve"> </w:t>
      </w:r>
      <w:r w:rsidR="001B11D5">
        <w:t>mediation</w:t>
      </w:r>
      <w:r w:rsidR="00763884">
        <w:t xml:space="preserve"> </w:t>
      </w:r>
      <w:r w:rsidR="00763884" w:rsidRPr="001E0D13">
        <w:t>process</w:t>
      </w:r>
    </w:p>
    <w:p w:rsidR="00763884" w:rsidRPr="001E0D13" w:rsidRDefault="00763884" w:rsidP="00406463">
      <w:r w:rsidRPr="001E0D13">
        <w:t>Where the board invoke</w:t>
      </w:r>
      <w:r w:rsidR="00F26838">
        <w:t>s</w:t>
      </w:r>
      <w:r w:rsidRPr="001E0D13">
        <w:t xml:space="preserve"> the formal </w:t>
      </w:r>
      <w:r w:rsidR="00AE7772">
        <w:t xml:space="preserve">mediation </w:t>
      </w:r>
      <w:r w:rsidRPr="001E0D13">
        <w:t>process:</w:t>
      </w:r>
    </w:p>
    <w:p w:rsidR="00AC0691" w:rsidRDefault="00763884" w:rsidP="00406463">
      <w:pPr>
        <w:pStyle w:val="ListBullet"/>
      </w:pPr>
      <w:r w:rsidRPr="006915B1">
        <w:t xml:space="preserve">An independent, suitably qualified </w:t>
      </w:r>
      <w:r w:rsidRPr="00AC0691">
        <w:t>mediator</w:t>
      </w:r>
      <w:r w:rsidRPr="00406463">
        <w:rPr>
          <w:b/>
        </w:rPr>
        <w:t xml:space="preserve"> </w:t>
      </w:r>
      <w:r w:rsidR="00447205">
        <w:t>will be</w:t>
      </w:r>
      <w:r w:rsidR="004678D1">
        <w:t xml:space="preserve"> </w:t>
      </w:r>
      <w:r w:rsidRPr="006915B1">
        <w:t xml:space="preserve">appointed who is acceptable to all the parties. </w:t>
      </w:r>
      <w:r>
        <w:t xml:space="preserve"> </w:t>
      </w:r>
    </w:p>
    <w:p w:rsidR="00763884" w:rsidRPr="006915B1" w:rsidRDefault="00763884" w:rsidP="00406463">
      <w:pPr>
        <w:pStyle w:val="ListBullet"/>
      </w:pPr>
      <w:r w:rsidRPr="006915B1">
        <w:t>If the parties cannot agree on a mediator</w:t>
      </w:r>
      <w:r w:rsidRPr="006915B1">
        <w:rPr>
          <w:i/>
        </w:rPr>
        <w:t xml:space="preserve"> </w:t>
      </w:r>
      <w:r w:rsidRPr="006915B1">
        <w:t>[</w:t>
      </w:r>
      <w:r w:rsidRPr="006915B1">
        <w:rPr>
          <w:rStyle w:val="Emphasis-Italics"/>
        </w:rPr>
        <w:t>insert the default process for appointing a mediator, for example</w:t>
      </w:r>
      <w:r w:rsidRPr="006915B1">
        <w:t xml:space="preserve">: </w:t>
      </w:r>
    </w:p>
    <w:p w:rsidR="00763884" w:rsidRPr="001E0D13" w:rsidRDefault="00763884" w:rsidP="00602D4A">
      <w:pPr>
        <w:ind w:left="720"/>
      </w:pPr>
      <w:r>
        <w:t>‘T</w:t>
      </w:r>
      <w:r w:rsidRPr="001E0D13">
        <w:t xml:space="preserve">he dispute </w:t>
      </w:r>
      <w:r w:rsidR="00447205">
        <w:t>will be</w:t>
      </w:r>
      <w:r w:rsidRPr="001E0D13">
        <w:t xml:space="preserve"> referred to the </w:t>
      </w:r>
      <w:hyperlink r:id="rId10" w:history="1">
        <w:r w:rsidRPr="00602D4A">
          <w:rPr>
            <w:rStyle w:val="Hyperlink"/>
          </w:rPr>
          <w:t>Dispute Settlement Centre of Victoria</w:t>
        </w:r>
      </w:hyperlink>
      <w:r w:rsidRPr="001E0D13">
        <w:t xml:space="preserve"> (Department of Justice</w:t>
      </w:r>
      <w:r w:rsidR="00602D4A">
        <w:t xml:space="preserve"> and Regulation</w:t>
      </w:r>
      <w:r w:rsidR="007873C1">
        <w:t xml:space="preserve">).  The Centre </w:t>
      </w:r>
      <w:r w:rsidR="00447205">
        <w:t xml:space="preserve">will </w:t>
      </w:r>
      <w:r w:rsidR="00DF7956">
        <w:t xml:space="preserve">be requested to </w:t>
      </w:r>
      <w:r w:rsidRPr="001E0D13">
        <w:t>organise a mediation using its mediators, in consultation</w:t>
      </w:r>
      <w:r>
        <w:t xml:space="preserve"> </w:t>
      </w:r>
      <w:r w:rsidRPr="001E0D13">
        <w:t>with the parties and the chair.</w:t>
      </w:r>
      <w:r w:rsidR="00602D4A">
        <w:t xml:space="preserve"> </w:t>
      </w:r>
      <w:r w:rsidR="00DF7956">
        <w:t xml:space="preserve"> </w:t>
      </w:r>
      <w:r w:rsidRPr="001E0D13">
        <w:t xml:space="preserve">If the Centre </w:t>
      </w:r>
      <w:r w:rsidR="00C7182C">
        <w:t>advises</w:t>
      </w:r>
      <w:r w:rsidRPr="001E0D13">
        <w:t xml:space="preserve"> </w:t>
      </w:r>
      <w:r w:rsidRPr="006F7419">
        <w:t>that</w:t>
      </w:r>
      <w:r w:rsidRPr="001E0D13">
        <w:t xml:space="preserve"> the matter is not suitable for </w:t>
      </w:r>
      <w:r w:rsidR="006D2D9C">
        <w:t>it</w:t>
      </w:r>
      <w:r w:rsidR="00C7182C">
        <w:t xml:space="preserve">s </w:t>
      </w:r>
      <w:r w:rsidR="008D1E0D">
        <w:t>service</w:t>
      </w:r>
      <w:r w:rsidR="00AD0767">
        <w:t>s</w:t>
      </w:r>
      <w:r w:rsidRPr="001E0D13">
        <w:t xml:space="preserve">, </w:t>
      </w:r>
      <w:r>
        <w:t xml:space="preserve">the Department of </w:t>
      </w:r>
      <w:r w:rsidR="00406463">
        <w:t xml:space="preserve">Environment, Land, Water and Planning (DELWP) </w:t>
      </w:r>
      <w:r w:rsidR="00447205">
        <w:t>will be</w:t>
      </w:r>
      <w:r w:rsidRPr="001E0D13">
        <w:t xml:space="preserve"> contacted for advice.’</w:t>
      </w:r>
      <w:r w:rsidRPr="006915B1">
        <w:rPr>
          <w:i/>
        </w:rPr>
        <w:t>]</w:t>
      </w:r>
    </w:p>
    <w:p w:rsidR="00C4077F" w:rsidRPr="006915B1" w:rsidRDefault="00C4077F" w:rsidP="00C4077F">
      <w:pPr>
        <w:pStyle w:val="ListBullet"/>
        <w:numPr>
          <w:ilvl w:val="0"/>
          <w:numId w:val="2"/>
        </w:numPr>
      </w:pPr>
      <w:r w:rsidRPr="006915B1">
        <w:t>The parties</w:t>
      </w:r>
      <w:r>
        <w:t xml:space="preserve"> </w:t>
      </w:r>
      <w:r w:rsidR="00447205">
        <w:t xml:space="preserve">will </w:t>
      </w:r>
      <w:r>
        <w:t>co-operate with the mediator and</w:t>
      </w:r>
      <w:r w:rsidRPr="006915B1">
        <w:t xml:space="preserve"> p</w:t>
      </w:r>
      <w:r>
        <w:t xml:space="preserve">rovide all reasonable assistance.  </w:t>
      </w:r>
      <w:r w:rsidR="008A44E2">
        <w:t>T</w:t>
      </w:r>
      <w:r>
        <w:t>hey</w:t>
      </w:r>
      <w:r w:rsidRPr="006915B1">
        <w:t xml:space="preserve"> </w:t>
      </w:r>
      <w:r w:rsidR="00447205">
        <w:t xml:space="preserve">will </w:t>
      </w:r>
      <w:r w:rsidRPr="006915B1">
        <w:t xml:space="preserve">actively work in </w:t>
      </w:r>
      <w:r w:rsidRPr="001A70BE">
        <w:t>good faith</w:t>
      </w:r>
      <w:r w:rsidRPr="006915B1">
        <w:t xml:space="preserve"> to resolve the dispute.</w:t>
      </w:r>
    </w:p>
    <w:p w:rsidR="00C4077F" w:rsidRPr="006915B1" w:rsidRDefault="00C4077F" w:rsidP="00C4077F">
      <w:pPr>
        <w:pStyle w:val="ListBullet"/>
        <w:numPr>
          <w:ilvl w:val="0"/>
          <w:numId w:val="2"/>
        </w:numPr>
      </w:pPr>
      <w:r>
        <w:t>If the</w:t>
      </w:r>
      <w:r w:rsidRPr="006915B1">
        <w:t xml:space="preserve"> dispute is resolved, unless good reason exists otherwise, the outcome </w:t>
      </w:r>
      <w:r w:rsidR="00447205">
        <w:t>will be</w:t>
      </w:r>
      <w:r w:rsidRPr="006915B1">
        <w:t xml:space="preserve"> recorded in writing by the mediator and signed by the parties, who </w:t>
      </w:r>
      <w:r w:rsidR="00447205">
        <w:t xml:space="preserve">will </w:t>
      </w:r>
      <w:r w:rsidRPr="006915B1">
        <w:t xml:space="preserve">each receive a copy and consent to the chair receiving </w:t>
      </w:r>
      <w:r>
        <w:t>one</w:t>
      </w:r>
      <w:r w:rsidRPr="006915B1">
        <w:t>.</w:t>
      </w:r>
    </w:p>
    <w:p w:rsidR="00C4077F" w:rsidRDefault="00C4077F" w:rsidP="00C4077F">
      <w:pPr>
        <w:pStyle w:val="ListBullet"/>
        <w:numPr>
          <w:ilvl w:val="0"/>
          <w:numId w:val="2"/>
        </w:numPr>
      </w:pPr>
      <w:r w:rsidRPr="006915B1">
        <w:t xml:space="preserve">If the dispute </w:t>
      </w:r>
      <w:r w:rsidR="00447205">
        <w:t>cannot be</w:t>
      </w:r>
      <w:r>
        <w:t xml:space="preserve"> </w:t>
      </w:r>
      <w:r w:rsidRPr="006915B1">
        <w:t xml:space="preserve">resolved and is continuing to unduly affect the operation of </w:t>
      </w:r>
      <w:r>
        <w:t>the board</w:t>
      </w:r>
      <w:r w:rsidRPr="006915B1">
        <w:t xml:space="preserve">, </w:t>
      </w:r>
      <w:r>
        <w:t xml:space="preserve">DELWP </w:t>
      </w:r>
      <w:r w:rsidR="00447205">
        <w:t>will be</w:t>
      </w:r>
      <w:r w:rsidRPr="006915B1">
        <w:t xml:space="preserve"> contacted for advice.</w:t>
      </w:r>
    </w:p>
    <w:p w:rsidR="00763884" w:rsidRPr="001E0D13" w:rsidRDefault="009523BC" w:rsidP="00A61E04">
      <w:pPr>
        <w:pStyle w:val="Heading1"/>
        <w:spacing w:after="140"/>
      </w:pPr>
      <w:r>
        <w:t>8</w:t>
      </w:r>
      <w:r w:rsidR="00763884">
        <w:t>.</w:t>
      </w:r>
      <w:r w:rsidR="00763884">
        <w:tab/>
      </w:r>
      <w:r w:rsidR="003C0AE2">
        <w:t>Major risk</w:t>
      </w:r>
    </w:p>
    <w:p w:rsidR="00763884" w:rsidRPr="001E0D13" w:rsidRDefault="00385DE1" w:rsidP="00763884">
      <w:r>
        <w:t>I</w:t>
      </w:r>
      <w:r w:rsidR="00763884" w:rsidRPr="001E0D13">
        <w:t>f a</w:t>
      </w:r>
      <w:r w:rsidR="00D8058E">
        <w:t>t any time a</w:t>
      </w:r>
      <w:r w:rsidR="00763884" w:rsidRPr="001E0D13">
        <w:t xml:space="preserve"> dispute poses a</w:t>
      </w:r>
      <w:r w:rsidR="00763884">
        <w:t xml:space="preserve"> </w:t>
      </w:r>
      <w:r w:rsidR="00763884" w:rsidRPr="001E0D13">
        <w:t>major risk (existing or emerging) to the effective operation of the</w:t>
      </w:r>
      <w:r w:rsidR="00763884">
        <w:t xml:space="preserve"> </w:t>
      </w:r>
      <w:r w:rsidR="003621A0">
        <w:t>agency</w:t>
      </w:r>
      <w:r w:rsidR="00763884" w:rsidRPr="001E0D13">
        <w:t xml:space="preserve">, the Minister and the Secretary of </w:t>
      </w:r>
      <w:r w:rsidR="0096491E">
        <w:t>DELWP</w:t>
      </w:r>
      <w:r w:rsidR="00763884" w:rsidRPr="001E0D13">
        <w:t xml:space="preserve"> </w:t>
      </w:r>
      <w:r w:rsidR="00447205">
        <w:t>will be</w:t>
      </w:r>
      <w:r w:rsidR="00763884" w:rsidRPr="001E0D13">
        <w:t xml:space="preserve"> notified.</w:t>
      </w:r>
      <w:r>
        <w:rPr>
          <w:rStyle w:val="FootnoteReference"/>
        </w:rPr>
        <w:footnoteReference w:id="2"/>
      </w:r>
    </w:p>
    <w:p w:rsidR="009523BC" w:rsidRDefault="009523BC" w:rsidP="00A61E04">
      <w:pPr>
        <w:pStyle w:val="Heading1"/>
        <w:spacing w:after="140"/>
      </w:pPr>
      <w:r>
        <w:t>9.</w:t>
      </w:r>
      <w:r>
        <w:tab/>
      </w:r>
      <w:r w:rsidRPr="004149C0">
        <w:t>Obligations</w:t>
      </w:r>
      <w:r>
        <w:t xml:space="preserve"> and good practice</w:t>
      </w:r>
    </w:p>
    <w:p w:rsidR="009523BC" w:rsidRDefault="009523BC" w:rsidP="009523BC">
      <w:r>
        <w:t xml:space="preserve">Disputes between board members </w:t>
      </w:r>
      <w:r w:rsidR="00447205">
        <w:t>will be</w:t>
      </w:r>
      <w:r>
        <w:t xml:space="preserve"> resolved in accordance with the board’s obligations and with good public sector governance practice, including:</w:t>
      </w:r>
    </w:p>
    <w:p w:rsidR="005056F5" w:rsidRDefault="005056F5" w:rsidP="005056F5">
      <w:pPr>
        <w:pStyle w:val="ListBullet"/>
        <w:numPr>
          <w:ilvl w:val="0"/>
          <w:numId w:val="28"/>
        </w:numPr>
        <w:spacing w:before="60" w:after="80" w:line="250" w:lineRule="atLeast"/>
      </w:pPr>
      <w:r>
        <w:t xml:space="preserve">the establishing Act, being </w:t>
      </w:r>
      <w:r>
        <w:rPr>
          <w:rStyle w:val="Emphasis-Italics"/>
        </w:rPr>
        <w:t>[insert];</w:t>
      </w:r>
    </w:p>
    <w:p w:rsidR="005056F5" w:rsidRDefault="005056F5" w:rsidP="005056F5">
      <w:pPr>
        <w:pStyle w:val="ListBullet"/>
        <w:numPr>
          <w:ilvl w:val="0"/>
          <w:numId w:val="28"/>
        </w:numPr>
        <w:spacing w:before="60" w:after="80" w:line="250" w:lineRule="atLeast"/>
      </w:pPr>
      <w:r>
        <w:t xml:space="preserve">the public sector values in section 7 of the </w:t>
      </w:r>
      <w:r>
        <w:rPr>
          <w:i/>
        </w:rPr>
        <w:t>Public Administration Act</w:t>
      </w:r>
      <w:r>
        <w:t xml:space="preserve"> 2004 (</w:t>
      </w:r>
      <w:r w:rsidRPr="003C0AE2">
        <w:t>PAA)</w:t>
      </w:r>
      <w:r>
        <w:t>;</w:t>
      </w:r>
      <w:r>
        <w:rPr>
          <w:rStyle w:val="FootnoteReference"/>
        </w:rPr>
        <w:footnoteReference w:id="3"/>
      </w:r>
    </w:p>
    <w:p w:rsidR="005056F5" w:rsidRDefault="005056F5" w:rsidP="005056F5">
      <w:pPr>
        <w:pStyle w:val="ListBullet"/>
        <w:numPr>
          <w:ilvl w:val="0"/>
          <w:numId w:val="28"/>
        </w:numPr>
      </w:pPr>
      <w:r>
        <w:t>the ‘duties of directors’ (board members) in section 79 of the PAA;</w:t>
      </w:r>
    </w:p>
    <w:p w:rsidR="005056F5" w:rsidRDefault="005056F5" w:rsidP="005056F5">
      <w:pPr>
        <w:pStyle w:val="ListBullet"/>
        <w:numPr>
          <w:ilvl w:val="0"/>
          <w:numId w:val="28"/>
        </w:numPr>
      </w:pPr>
      <w:r>
        <w:t>the requirement in section 81(1)(d)(iii) of the PAA to ensure that adequate procedures are in place for re</w:t>
      </w:r>
      <w:r w:rsidR="00EB2D73">
        <w:t>solving any disputes that arise</w:t>
      </w:r>
      <w:r>
        <w:t xml:space="preserve"> between board members;</w:t>
      </w:r>
    </w:p>
    <w:p w:rsidR="005056F5" w:rsidRDefault="005056F5" w:rsidP="005056F5">
      <w:pPr>
        <w:pStyle w:val="ListBullet"/>
        <w:numPr>
          <w:ilvl w:val="0"/>
          <w:numId w:val="28"/>
        </w:numPr>
        <w:spacing w:before="60" w:after="80" w:line="250" w:lineRule="atLeast"/>
      </w:pPr>
      <w:r>
        <w:t xml:space="preserve">the </w:t>
      </w:r>
      <w:hyperlink r:id="rId11" w:history="1">
        <w:r w:rsidRPr="0043425B">
          <w:rPr>
            <w:rStyle w:val="Hyperlink"/>
          </w:rPr>
          <w:t>Directors’ Code of Conduct</w:t>
        </w:r>
      </w:hyperlink>
      <w:r>
        <w:t xml:space="preserve"> issued by the Victorian Public Sector Commission;</w:t>
      </w:r>
    </w:p>
    <w:p w:rsidR="005056F5" w:rsidRDefault="005056F5" w:rsidP="005056F5">
      <w:pPr>
        <w:pStyle w:val="ListBullet"/>
        <w:numPr>
          <w:ilvl w:val="0"/>
          <w:numId w:val="28"/>
        </w:numPr>
        <w:spacing w:before="60" w:after="80" w:line="250" w:lineRule="atLeast"/>
      </w:pPr>
      <w:r>
        <w:t xml:space="preserve">government policy; </w:t>
      </w:r>
    </w:p>
    <w:p w:rsidR="005056F5" w:rsidRDefault="005056F5" w:rsidP="005056F5">
      <w:pPr>
        <w:pStyle w:val="ListBullet"/>
        <w:numPr>
          <w:ilvl w:val="0"/>
          <w:numId w:val="28"/>
        </w:numPr>
        <w:spacing w:before="60" w:after="80" w:line="250" w:lineRule="atLeast"/>
      </w:pPr>
      <w:r>
        <w:t>any directions, guidelines and/or statements of obligation or expectation issued by the Minister; and</w:t>
      </w:r>
    </w:p>
    <w:p w:rsidR="005056F5" w:rsidRDefault="005056F5" w:rsidP="005056F5">
      <w:pPr>
        <w:pStyle w:val="ListBullet"/>
        <w:numPr>
          <w:ilvl w:val="0"/>
          <w:numId w:val="28"/>
        </w:numPr>
        <w:spacing w:before="60" w:after="80" w:line="250" w:lineRule="atLeast"/>
      </w:pPr>
      <w:r>
        <w:t xml:space="preserve">all other laws and obligations that bind the </w:t>
      </w:r>
      <w:r w:rsidR="003621A0">
        <w:t>agency</w:t>
      </w:r>
      <w:r>
        <w:t>.</w:t>
      </w:r>
    </w:p>
    <w:p w:rsidR="00763884" w:rsidRPr="001E0D13" w:rsidRDefault="00763884" w:rsidP="00A61E04">
      <w:pPr>
        <w:pStyle w:val="Heading1"/>
        <w:spacing w:after="140"/>
      </w:pPr>
      <w:r>
        <w:t>10.</w:t>
      </w:r>
      <w:r>
        <w:tab/>
      </w:r>
      <w:r w:rsidRPr="007E3776">
        <w:t>Regular</w:t>
      </w:r>
      <w:r w:rsidRPr="001E0D13">
        <w:t xml:space="preserve"> review of this policy</w:t>
      </w:r>
    </w:p>
    <w:p w:rsidR="00763884" w:rsidRPr="001E0D13" w:rsidRDefault="00763884" w:rsidP="00763884">
      <w:r w:rsidRPr="001E0D13">
        <w:t xml:space="preserve">The board </w:t>
      </w:r>
      <w:r w:rsidR="00447205">
        <w:t xml:space="preserve">will </w:t>
      </w:r>
      <w:r w:rsidRPr="001E0D13">
        <w:t>review this policy on an annual basis or more</w:t>
      </w:r>
      <w:r>
        <w:t xml:space="preserve"> </w:t>
      </w:r>
      <w:r w:rsidRPr="001E0D13">
        <w:t>frequently, if required, to keep up-to-date with changes to laws,</w:t>
      </w:r>
      <w:r>
        <w:t xml:space="preserve"> </w:t>
      </w:r>
      <w:r w:rsidRPr="001E0D13">
        <w:t xml:space="preserve">government policy, etc. This policy was </w:t>
      </w:r>
      <w:r w:rsidRPr="00AB4D0A">
        <w:t>last reviewed on</w:t>
      </w:r>
      <w:r>
        <w:t xml:space="preserve"> </w:t>
      </w:r>
      <w:r w:rsidRPr="0020715C">
        <w:rPr>
          <w:rStyle w:val="Emphasis-Italics"/>
        </w:rPr>
        <w:t>[insert]</w:t>
      </w:r>
      <w:r w:rsidRPr="001E0D13">
        <w:t>.</w:t>
      </w:r>
    </w:p>
    <w:p w:rsidR="00763884" w:rsidRPr="001E0D13" w:rsidRDefault="00763884" w:rsidP="00A61E04">
      <w:pPr>
        <w:pStyle w:val="Heading1"/>
        <w:spacing w:after="140"/>
      </w:pPr>
      <w:r>
        <w:t>11.</w:t>
      </w:r>
      <w:r>
        <w:tab/>
      </w:r>
      <w:r w:rsidRPr="007E3776">
        <w:t>Related</w:t>
      </w:r>
      <w:r w:rsidRPr="001E0D13">
        <w:t xml:space="preserve"> policies</w:t>
      </w:r>
    </w:p>
    <w:p w:rsidR="00763884" w:rsidRPr="001E0D13" w:rsidRDefault="00763884" w:rsidP="00763884">
      <w:pPr>
        <w:pStyle w:val="ListBullet"/>
      </w:pPr>
      <w:r w:rsidRPr="001E0D13">
        <w:t>Meetings and Decision</w:t>
      </w:r>
      <w:r w:rsidR="00725C38">
        <w:t>s</w:t>
      </w:r>
    </w:p>
    <w:p w:rsidR="00763884" w:rsidRPr="00D550D2" w:rsidRDefault="00763884" w:rsidP="00763884">
      <w:pPr>
        <w:pStyle w:val="ListBullet"/>
      </w:pPr>
      <w:r w:rsidRPr="001E0D13">
        <w:t>Code of Conduct.</w:t>
      </w:r>
    </w:p>
    <w:p w:rsidR="00763884" w:rsidRPr="006B3F59" w:rsidRDefault="00763884" w:rsidP="00A61E04">
      <w:pPr>
        <w:pStyle w:val="Heading1"/>
        <w:spacing w:after="140"/>
      </w:pPr>
      <w:r>
        <w:t>12.</w:t>
      </w:r>
      <w:r>
        <w:tab/>
      </w:r>
      <w:r w:rsidRPr="007E3776">
        <w:t>Further</w:t>
      </w:r>
      <w:r w:rsidRPr="006B3F59">
        <w:t xml:space="preserve"> information</w:t>
      </w:r>
    </w:p>
    <w:p w:rsidR="00AA13BD" w:rsidRDefault="00482508" w:rsidP="00A61E04">
      <w:r w:rsidRPr="00A66B72">
        <w:t>On Board</w:t>
      </w:r>
      <w:r w:rsidRPr="00A66B72">
        <w:rPr>
          <w:rStyle w:val="Emphasis-Bold"/>
          <w:rFonts w:eastAsiaTheme="majorEastAsia"/>
        </w:rPr>
        <w:t xml:space="preserve"> </w:t>
      </w:r>
      <w:r w:rsidRPr="00A66B72">
        <w:rPr>
          <w:rStyle w:val="Emphasis-Bold"/>
          <w:rFonts w:eastAsiaTheme="majorEastAsia"/>
          <w:b w:val="0"/>
        </w:rPr>
        <w:t>(</w:t>
      </w:r>
      <w:hyperlink r:id="rId12" w:history="1">
        <w:r w:rsidRPr="00A3042C">
          <w:rPr>
            <w:rStyle w:val="Hyperlink"/>
            <w:rFonts w:eastAsiaTheme="majorEastAsia"/>
          </w:rPr>
          <w:t>www.delwp.vic.gov.au/onboard</w:t>
        </w:r>
      </w:hyperlink>
      <w:r w:rsidRPr="00A66B72">
        <w:rPr>
          <w:rStyle w:val="Emphasis-Bold"/>
          <w:rFonts w:eastAsiaTheme="majorEastAsia"/>
          <w:b w:val="0"/>
        </w:rPr>
        <w:t>)</w:t>
      </w:r>
      <w:r w:rsidRPr="00A3042C">
        <w:t>, in particular, the</w:t>
      </w:r>
      <w:r w:rsidR="00763884">
        <w:t xml:space="preserve"> </w:t>
      </w:r>
      <w:hyperlink w:history="1">
        <w:r w:rsidR="00763884" w:rsidRPr="00B65999">
          <w:rPr>
            <w:rStyle w:val="Hyperlink"/>
          </w:rPr>
          <w:t>Dispute resolution</w:t>
        </w:r>
      </w:hyperlink>
      <w:r w:rsidRPr="00A3042C">
        <w:t xml:space="preserve"> support module</w:t>
      </w:r>
      <w:r w:rsidR="00F01965">
        <w:t xml:space="preserve">, which </w:t>
      </w:r>
      <w:r w:rsidR="003E319C">
        <w:t xml:space="preserve">has a range of resources, including </w:t>
      </w:r>
      <w:r>
        <w:t xml:space="preserve">guidance notes, </w:t>
      </w:r>
      <w:r w:rsidRPr="00A3042C">
        <w:t>direct links to th</w:t>
      </w:r>
      <w:r w:rsidR="00F01965">
        <w:t>e</w:t>
      </w:r>
      <w:r>
        <w:t xml:space="preserve"> topic on the Victorian Public Sector Commission </w:t>
      </w:r>
      <w:r w:rsidR="003E319C">
        <w:t>website, etc</w:t>
      </w:r>
      <w:r>
        <w:t>.</w:t>
      </w:r>
    </w:p>
    <w:p w:rsidR="007D7AE2" w:rsidRDefault="007D7AE2" w:rsidP="00A61E04"/>
    <w:p w:rsidR="007D7AE2" w:rsidRDefault="007D7AE2" w:rsidP="00A61E04"/>
    <w:p w:rsidR="007D7AE2" w:rsidRDefault="007D7AE2" w:rsidP="00A61E04"/>
    <w:p w:rsidR="007D7AE2" w:rsidRDefault="007D7AE2" w:rsidP="00A61E04"/>
    <w:p w:rsidR="007D7AE2" w:rsidRDefault="007D7AE2" w:rsidP="00A61E04"/>
    <w:p w:rsidR="007D7AE2" w:rsidRDefault="007D7AE2" w:rsidP="00A61E04"/>
    <w:p w:rsidR="007D7AE2" w:rsidRDefault="007D7AE2" w:rsidP="00A61E04"/>
    <w:p w:rsidR="007D7AE2" w:rsidRDefault="007D7AE2" w:rsidP="00A61E04"/>
    <w:p w:rsidR="007D7AE2" w:rsidRDefault="007D7AE2" w:rsidP="00A61E04"/>
    <w:p w:rsidR="007D7AE2" w:rsidRDefault="007D7AE2" w:rsidP="00A61E04"/>
    <w:p w:rsidR="007D7AE2" w:rsidRDefault="007D7AE2" w:rsidP="00A61E04"/>
    <w:p w:rsidR="007D7AE2" w:rsidRDefault="007D7AE2" w:rsidP="00A61E04"/>
    <w:p w:rsidR="007D7AE2" w:rsidRDefault="007D7AE2" w:rsidP="00A61E04"/>
    <w:p w:rsidR="007D7AE2" w:rsidRPr="009E4A51" w:rsidRDefault="007D7AE2" w:rsidP="00A61E04">
      <w:r w:rsidRPr="00732FB1">
        <w:rPr>
          <w:noProof/>
          <w:color w:val="228591"/>
          <w:lang w:eastAsia="en-AU"/>
        </w:rPr>
        <mc:AlternateContent>
          <mc:Choice Requires="wpc">
            <w:drawing>
              <wp:anchor distT="0" distB="0" distL="114300" distR="114300" simplePos="0" relativeHeight="251663872" behindDoc="0" locked="1" layoutInCell="1" allowOverlap="1" wp14:anchorId="5B9EB756" wp14:editId="72EC38E7">
                <wp:simplePos x="0" y="0"/>
                <wp:positionH relativeFrom="page">
                  <wp:posOffset>493395</wp:posOffset>
                </wp:positionH>
                <wp:positionV relativeFrom="page">
                  <wp:posOffset>8435340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AE2" w:rsidRDefault="007D7AE2" w:rsidP="007D7AE2">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7D7AE2" w:rsidRPr="00DC7D61" w:rsidRDefault="007D7AE2" w:rsidP="007D7AE2">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3"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14"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15"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AE2" w:rsidRPr="0022751F" w:rsidRDefault="007D7AE2" w:rsidP="007D7AE2">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16" w:history="1">
                                <w:r w:rsidRPr="0022751F">
                                  <w:rPr>
                                    <w:rStyle w:val="Hyperlink"/>
                                    <w:rFonts w:asciiTheme="minorHAnsi" w:hAnsiTheme="minorHAnsi"/>
                                    <w:sz w:val="15"/>
                                    <w:szCs w:val="15"/>
                                  </w:rPr>
                                  <w:t>www.delwp.vic.gov.au/onboard</w:t>
                                </w:r>
                              </w:hyperlink>
                            </w:p>
                            <w:p w:rsidR="007D7AE2" w:rsidRPr="0022751F" w:rsidRDefault="007D7AE2" w:rsidP="007D7AE2">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7D7AE2" w:rsidRPr="0022751F" w:rsidRDefault="00CF612D" w:rsidP="007D7AE2">
                              <w:pPr>
                                <w:widowControl w:val="0"/>
                                <w:spacing w:after="100" w:line="200" w:lineRule="atLeast"/>
                                <w:rPr>
                                  <w:rFonts w:asciiTheme="minorHAnsi" w:hAnsiTheme="minorHAnsi"/>
                                  <w:sz w:val="15"/>
                                  <w:szCs w:val="15"/>
                                </w:rPr>
                              </w:pPr>
                              <w:r>
                                <w:rPr>
                                  <w:rFonts w:asciiTheme="minorHAnsi" w:hAnsiTheme="minorHAnsi"/>
                                  <w:sz w:val="15"/>
                                  <w:szCs w:val="15"/>
                                </w:rPr>
                                <w:t>24</w:t>
                              </w:r>
                              <w:r w:rsidR="007D7AE2" w:rsidRPr="0022751F">
                                <w:rPr>
                                  <w:rFonts w:asciiTheme="minorHAnsi" w:hAnsiTheme="minorHAnsi"/>
                                  <w:sz w:val="15"/>
                                  <w:szCs w:val="15"/>
                                </w:rPr>
                                <w:t xml:space="preserve"> </w:t>
                              </w:r>
                              <w:r w:rsidR="00926DFD">
                                <w:rPr>
                                  <w:rFonts w:asciiTheme="minorHAnsi" w:hAnsiTheme="minorHAnsi"/>
                                  <w:sz w:val="15"/>
                                  <w:szCs w:val="15"/>
                                </w:rPr>
                                <w:t>February</w:t>
                              </w:r>
                              <w:r>
                                <w:rPr>
                                  <w:rFonts w:asciiTheme="minorHAnsi" w:hAnsiTheme="minorHAnsi"/>
                                  <w:sz w:val="15"/>
                                  <w:szCs w:val="15"/>
                                </w:rPr>
                                <w:t xml:space="preserve"> 2016</w:t>
                              </w:r>
                              <w:r w:rsidR="007D7AE2" w:rsidRPr="0022751F">
                                <w:rPr>
                                  <w:rFonts w:asciiTheme="minorHAnsi" w:hAnsiTheme="minorHAnsi"/>
                                  <w:sz w:val="15"/>
                                  <w:szCs w:val="15"/>
                                </w:rPr>
                                <w:t xml:space="preserve"> (</w:t>
                              </w:r>
                              <w:r w:rsidR="007D7AE2">
                                <w:rPr>
                                  <w:rStyle w:val="Emphasis-Bold"/>
                                  <w:rFonts w:asciiTheme="minorHAnsi" w:hAnsiTheme="minorHAnsi"/>
                                  <w:sz w:val="15"/>
                                  <w:szCs w:val="15"/>
                                </w:rPr>
                                <w:t>version 2.05</w:t>
                              </w:r>
                              <w:r w:rsidR="007D7AE2" w:rsidRPr="0022751F">
                                <w:rPr>
                                  <w:rFonts w:asciiTheme="minorHAnsi" w:hAnsiTheme="minorHAnsi"/>
                                  <w:sz w:val="15"/>
                                  <w:szCs w:val="15"/>
                                </w:rPr>
                                <w:t xml:space="preserve">) </w:t>
                              </w:r>
                              <w:r w:rsidR="00926DFD">
                                <w:rPr>
                                  <w:rFonts w:asciiTheme="minorHAnsi" w:hAnsiTheme="minorHAnsi"/>
                                  <w:sz w:val="15"/>
                                  <w:szCs w:val="15"/>
                                </w:rPr>
                                <w:t>– 49.0</w:t>
                              </w:r>
                              <w:r w:rsidR="007600B8">
                                <w:rPr>
                                  <w:rFonts w:asciiTheme="minorHAnsi" w:hAnsiTheme="minorHAnsi"/>
                                  <w:sz w:val="15"/>
                                  <w:szCs w:val="15"/>
                                </w:rPr>
                                <w:t>3</w:t>
                              </w:r>
                            </w:p>
                            <w:p w:rsidR="007D7AE2" w:rsidRDefault="007D7AE2" w:rsidP="007D7AE2">
                              <w:pPr>
                                <w:pStyle w:val="ImprintText"/>
                                <w:rPr>
                                  <w:sz w:val="15"/>
                                  <w:szCs w:val="15"/>
                                </w:rPr>
                              </w:pPr>
                              <w:r>
                                <w:rPr>
                                  <w:sz w:val="15"/>
                                  <w:szCs w:val="15"/>
                                </w:rPr>
                                <w:t xml:space="preserve">© </w:t>
                              </w:r>
                              <w:r w:rsidRPr="0022751F">
                                <w:rPr>
                                  <w:sz w:val="15"/>
                                  <w:szCs w:val="15"/>
                                </w:rPr>
                                <w:t>State of Victoria Department of Environment, Land, Water and Planning 201</w:t>
                              </w:r>
                              <w:r w:rsidR="00B108BB">
                                <w:rPr>
                                  <w:sz w:val="15"/>
                                  <w:szCs w:val="15"/>
                                </w:rPr>
                                <w:t>6</w:t>
                              </w:r>
                            </w:p>
                            <w:p w:rsidR="007D7AE2" w:rsidRPr="0022751F" w:rsidRDefault="007D7AE2" w:rsidP="007D7AE2">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7D7AE2" w:rsidRPr="002072AB" w:rsidRDefault="007D7AE2" w:rsidP="007D7AE2">
                              <w:pPr>
                                <w:pStyle w:val="Disclaimer"/>
                                <w:rPr>
                                  <w:rFonts w:asciiTheme="minorHAnsi" w:hAnsiTheme="minorHAnsi"/>
                                  <w:szCs w:val="15"/>
                                </w:rPr>
                              </w:pPr>
                              <w:r w:rsidRPr="002072AB">
                                <w:rPr>
                                  <w:noProof/>
                                  <w:szCs w:val="15"/>
                                </w:rPr>
                                <w:drawing>
                                  <wp:inline distT="0" distB="0" distL="0" distR="0" wp14:anchorId="08C45206" wp14:editId="6E8B660D">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18"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6032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7AE2" w:rsidRPr="00BA342A" w:rsidRDefault="007D7AE2" w:rsidP="007D7AE2">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38.85pt;margin-top:664.2pt;width:547.2pt;height:193.35pt;z-index:251663872;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dss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jBzfOyGpXpz4ETBXU2qg6jiO&#10;weN5zP0XRz1gci8kfBphmldFfmhhsm8xdqzWXG/HibUbnofpM2jr7/ybYdpvfBVM+82vgGnxpd98&#10;FqY7zuf3KDnhfLLNZxV0GLdEqjsioG/tiOAnYINlzcH5vBthpKnhU+9/LHFkq2bCoQuARAfamaEm&#10;mqruh6XgzWdo2cearsLUWaYJLX9Ox2OzCFrllqhbdq8bX8s8df/0sP1MRNs1WQqY80fed5YkPem1&#10;7FodSi/grKYHhv7XMPPuzwHd0R8+m7Sy/wvj6l8AAAD//wMAUEsDBBQABgAIAAAAIQDdM+dN5AAA&#10;AA0BAAAPAAAAZHJzL2Rvd25yZXYueG1sTI/LTsMwEEX3SPyDNUjsqOPwcAlxKgRCLKja0oLE0o2H&#10;JCIeR7GbpH+Pu4LdPI7unMkXk23ZgL1vHCkQswQYUulMQ5WCj93L1RyYD5qMbh2hgiN6WBTnZ7nO&#10;jBvpHYdtqFgMIZ9pBXUIXca5L2u02s9chxR33663OsS2r7jp9RjDbcvTJLnjVjcUL9S6w6cay5/t&#10;wSpYf62eP98263qTjMvj7nUo+ep+qdTlxfT4ACzgFP5gOOlHdSii094dyHjWKpBSRjLOr9P5DbAT&#10;IWQqgO1jJcWtAF7k/P8XxS8AAAD//wMAUEsBAi0AFAAGAAgAAAAhALaDOJL+AAAA4QEAABMAAAAA&#10;AAAAAAAAAAAAAAAAAFtDb250ZW50X1R5cGVzXS54bWxQSwECLQAUAAYACAAAACEAOP0h/9YAAACU&#10;AQAACwAAAAAAAAAAAAAAAAAvAQAAX3JlbHMvLnJlbHNQSwECLQAUAAYACAAAACEAyyl3bLEEAAAK&#10;EQAADgAAAAAAAAAAAAAAAAAuAgAAZHJzL2Uyb0RvYy54bWxQSwECLQAUAAYACAAAACEA3TPnTeQA&#10;AAANAQAADwAAAAAAAAAAAAAAAAAL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D7AE2" w:rsidRDefault="007D7AE2" w:rsidP="007D7AE2">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7D7AE2" w:rsidRPr="00DC7D61" w:rsidRDefault="007D7AE2" w:rsidP="007D7AE2">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9"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0"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1"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D7AE2" w:rsidRPr="0022751F" w:rsidRDefault="007D7AE2" w:rsidP="007D7AE2">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2" w:history="1">
                          <w:r w:rsidRPr="0022751F">
                            <w:rPr>
                              <w:rStyle w:val="Hyperlink"/>
                              <w:rFonts w:asciiTheme="minorHAnsi" w:hAnsiTheme="minorHAnsi"/>
                              <w:sz w:val="15"/>
                              <w:szCs w:val="15"/>
                            </w:rPr>
                            <w:t>www.delwp.vic.gov.au/onboard</w:t>
                          </w:r>
                        </w:hyperlink>
                      </w:p>
                      <w:p w:rsidR="007D7AE2" w:rsidRPr="0022751F" w:rsidRDefault="007D7AE2" w:rsidP="007D7AE2">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7D7AE2" w:rsidRPr="0022751F" w:rsidRDefault="00CF612D" w:rsidP="007D7AE2">
                        <w:pPr>
                          <w:widowControl w:val="0"/>
                          <w:spacing w:after="100" w:line="200" w:lineRule="atLeast"/>
                          <w:rPr>
                            <w:rFonts w:asciiTheme="minorHAnsi" w:hAnsiTheme="minorHAnsi"/>
                            <w:sz w:val="15"/>
                            <w:szCs w:val="15"/>
                          </w:rPr>
                        </w:pPr>
                        <w:r>
                          <w:rPr>
                            <w:rFonts w:asciiTheme="minorHAnsi" w:hAnsiTheme="minorHAnsi"/>
                            <w:sz w:val="15"/>
                            <w:szCs w:val="15"/>
                          </w:rPr>
                          <w:t>24</w:t>
                        </w:r>
                        <w:r w:rsidR="007D7AE2" w:rsidRPr="0022751F">
                          <w:rPr>
                            <w:rFonts w:asciiTheme="minorHAnsi" w:hAnsiTheme="minorHAnsi"/>
                            <w:sz w:val="15"/>
                            <w:szCs w:val="15"/>
                          </w:rPr>
                          <w:t xml:space="preserve"> </w:t>
                        </w:r>
                        <w:r w:rsidR="00926DFD">
                          <w:rPr>
                            <w:rFonts w:asciiTheme="minorHAnsi" w:hAnsiTheme="minorHAnsi"/>
                            <w:sz w:val="15"/>
                            <w:szCs w:val="15"/>
                          </w:rPr>
                          <w:t>February</w:t>
                        </w:r>
                        <w:r>
                          <w:rPr>
                            <w:rFonts w:asciiTheme="minorHAnsi" w:hAnsiTheme="minorHAnsi"/>
                            <w:sz w:val="15"/>
                            <w:szCs w:val="15"/>
                          </w:rPr>
                          <w:t xml:space="preserve"> 2016</w:t>
                        </w:r>
                        <w:r w:rsidR="007D7AE2" w:rsidRPr="0022751F">
                          <w:rPr>
                            <w:rFonts w:asciiTheme="minorHAnsi" w:hAnsiTheme="minorHAnsi"/>
                            <w:sz w:val="15"/>
                            <w:szCs w:val="15"/>
                          </w:rPr>
                          <w:t xml:space="preserve"> (</w:t>
                        </w:r>
                        <w:r w:rsidR="007D7AE2">
                          <w:rPr>
                            <w:rStyle w:val="Emphasis-Bold"/>
                            <w:rFonts w:asciiTheme="minorHAnsi" w:hAnsiTheme="minorHAnsi"/>
                            <w:sz w:val="15"/>
                            <w:szCs w:val="15"/>
                          </w:rPr>
                          <w:t>version 2.05</w:t>
                        </w:r>
                        <w:r w:rsidR="007D7AE2" w:rsidRPr="0022751F">
                          <w:rPr>
                            <w:rFonts w:asciiTheme="minorHAnsi" w:hAnsiTheme="minorHAnsi"/>
                            <w:sz w:val="15"/>
                            <w:szCs w:val="15"/>
                          </w:rPr>
                          <w:t xml:space="preserve">) </w:t>
                        </w:r>
                        <w:r w:rsidR="00926DFD">
                          <w:rPr>
                            <w:rFonts w:asciiTheme="minorHAnsi" w:hAnsiTheme="minorHAnsi"/>
                            <w:sz w:val="15"/>
                            <w:szCs w:val="15"/>
                          </w:rPr>
                          <w:t>– 49.0</w:t>
                        </w:r>
                        <w:r w:rsidR="007600B8">
                          <w:rPr>
                            <w:rFonts w:asciiTheme="minorHAnsi" w:hAnsiTheme="minorHAnsi"/>
                            <w:sz w:val="15"/>
                            <w:szCs w:val="15"/>
                          </w:rPr>
                          <w:t>3</w:t>
                        </w:r>
                        <w:bookmarkStart w:id="2" w:name="_GoBack"/>
                        <w:bookmarkEnd w:id="2"/>
                      </w:p>
                      <w:p w:rsidR="007D7AE2" w:rsidRDefault="007D7AE2" w:rsidP="007D7AE2">
                        <w:pPr>
                          <w:pStyle w:val="ImprintText"/>
                          <w:rPr>
                            <w:sz w:val="15"/>
                            <w:szCs w:val="15"/>
                          </w:rPr>
                        </w:pPr>
                        <w:r>
                          <w:rPr>
                            <w:sz w:val="15"/>
                            <w:szCs w:val="15"/>
                          </w:rPr>
                          <w:t xml:space="preserve">© </w:t>
                        </w:r>
                        <w:r w:rsidRPr="0022751F">
                          <w:rPr>
                            <w:sz w:val="15"/>
                            <w:szCs w:val="15"/>
                          </w:rPr>
                          <w:t>State of Victoria Department of Environment, Land, Water and Planning 201</w:t>
                        </w:r>
                        <w:r w:rsidR="00B108BB">
                          <w:rPr>
                            <w:sz w:val="15"/>
                            <w:szCs w:val="15"/>
                          </w:rPr>
                          <w:t>6</w:t>
                        </w:r>
                      </w:p>
                      <w:p w:rsidR="007D7AE2" w:rsidRPr="0022751F" w:rsidRDefault="007D7AE2" w:rsidP="007D7AE2">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7D7AE2" w:rsidRPr="002072AB" w:rsidRDefault="007D7AE2" w:rsidP="007D7AE2">
                        <w:pPr>
                          <w:pStyle w:val="Disclaimer"/>
                          <w:rPr>
                            <w:rFonts w:asciiTheme="minorHAnsi" w:hAnsiTheme="minorHAnsi"/>
                            <w:szCs w:val="15"/>
                          </w:rPr>
                        </w:pPr>
                        <w:r w:rsidRPr="002072AB">
                          <w:rPr>
                            <w:noProof/>
                            <w:szCs w:val="15"/>
                          </w:rPr>
                          <w:drawing>
                            <wp:inline distT="0" distB="0" distL="0" distR="0" wp14:anchorId="08C45206" wp14:editId="6E8B660D">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4"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603;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7D7AE2" w:rsidRPr="00BA342A" w:rsidRDefault="007D7AE2" w:rsidP="007D7AE2">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7D7AE2" w:rsidRPr="009E4A51" w:rsidSect="008F788C">
      <w:headerReference w:type="even" r:id="rId25"/>
      <w:headerReference w:type="default" r:id="rId26"/>
      <w:footerReference w:type="even" r:id="rId27"/>
      <w:footerReference w:type="default" r:id="rId28"/>
      <w:headerReference w:type="first" r:id="rId29"/>
      <w:footerReference w:type="first" r:id="rId30"/>
      <w:pgSz w:w="11907" w:h="16840" w:code="9"/>
      <w:pgMar w:top="2268" w:right="1134" w:bottom="851" w:left="1134" w:header="284" w:footer="1021"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30" w:rsidRDefault="00DF1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DF1630" w:rsidP="000F55F1">
    <w:pPr>
      <w:pStyle w:val="ImprintText"/>
      <w:spacing w:before="300" w:after="0"/>
    </w:pPr>
    <w:r>
      <w:rPr>
        <w:noProof/>
        <w:lang w:eastAsia="en-AU"/>
      </w:rPr>
      <w:drawing>
        <wp:anchor distT="0" distB="0" distL="114300" distR="114300" simplePos="0" relativeHeight="251663360" behindDoc="0" locked="0" layoutInCell="1" allowOverlap="1" wp14:anchorId="756E9453" wp14:editId="2E3D36C1">
          <wp:simplePos x="0" y="0"/>
          <wp:positionH relativeFrom="column">
            <wp:posOffset>5377229</wp:posOffset>
          </wp:positionH>
          <wp:positionV relativeFrom="paragraph">
            <wp:posOffset>124975</wp:posOffset>
          </wp:positionV>
          <wp:extent cx="1160584" cy="336572"/>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D94DFA">
          <w:rPr>
            <w:noProof/>
            <w:szCs w:val="16"/>
          </w:rPr>
          <w:t>4</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D94DFA">
          <w:rPr>
            <w:noProof/>
            <w:szCs w:val="16"/>
          </w:rPr>
          <w:t>4</w:t>
        </w:r>
        <w:r w:rsidR="00960CF0">
          <w:rPr>
            <w:noProof/>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DF1630" w:rsidP="00BA342A">
    <w:pPr>
      <w:pStyle w:val="ImprintText"/>
      <w:tabs>
        <w:tab w:val="left" w:pos="2268"/>
      </w:tabs>
      <w:spacing w:before="300" w:after="0"/>
      <w:rPr>
        <w:sz w:val="22"/>
        <w:szCs w:val="22"/>
      </w:rPr>
    </w:pPr>
    <w:r>
      <w:rPr>
        <w:noProof/>
        <w:lang w:eastAsia="en-AU"/>
      </w:rPr>
      <w:drawing>
        <wp:anchor distT="0" distB="0" distL="114300" distR="114300" simplePos="0" relativeHeight="251665408" behindDoc="0" locked="0" layoutInCell="1" allowOverlap="1" wp14:anchorId="3CA5B77A" wp14:editId="3C7CA507">
          <wp:simplePos x="0" y="0"/>
          <wp:positionH relativeFrom="column">
            <wp:posOffset>5116146</wp:posOffset>
          </wp:positionH>
          <wp:positionV relativeFrom="paragraph">
            <wp:posOffset>176530</wp:posOffset>
          </wp:positionV>
          <wp:extent cx="1160584" cy="336572"/>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D94DFA">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D94DFA">
          <w:rPr>
            <w:noProof/>
            <w:szCs w:val="16"/>
          </w:rPr>
          <w:t>4</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 w:id="1">
    <w:p w:rsidR="002B5236" w:rsidRDefault="002B5236" w:rsidP="002B5236">
      <w:pPr>
        <w:pStyle w:val="FootnoteText"/>
      </w:pPr>
      <w:r>
        <w:rPr>
          <w:rStyle w:val="FootnoteReference"/>
        </w:rPr>
        <w:footnoteRef/>
      </w:r>
      <w:r>
        <w:t xml:space="preserve"> </w:t>
      </w:r>
      <w:r>
        <w:tab/>
        <w:t>If the chair is a party to the dispute, this role is undertaken by a board member nominated by the board.</w:t>
      </w:r>
    </w:p>
  </w:footnote>
  <w:footnote w:id="2">
    <w:p w:rsidR="00385DE1" w:rsidRDefault="00385DE1" w:rsidP="00385DE1">
      <w:pPr>
        <w:pStyle w:val="FootnoteText"/>
        <w:spacing w:after="60"/>
      </w:pPr>
      <w:r>
        <w:rPr>
          <w:rStyle w:val="FootnoteReference"/>
        </w:rPr>
        <w:footnoteRef/>
      </w:r>
      <w:r>
        <w:t xml:space="preserve"> </w:t>
      </w:r>
      <w:r>
        <w:tab/>
      </w:r>
      <w:r w:rsidRPr="001E0D13">
        <w:t>Consistent wit</w:t>
      </w:r>
      <w:r>
        <w:t xml:space="preserve">h section 81(1)(b) of the </w:t>
      </w:r>
      <w:r w:rsidR="007673F1">
        <w:t>Public Administration Act 2004 (</w:t>
      </w:r>
      <w:r>
        <w:t>PAA</w:t>
      </w:r>
      <w:r w:rsidR="007673F1">
        <w:t>)</w:t>
      </w:r>
    </w:p>
  </w:footnote>
  <w:footnote w:id="3">
    <w:p w:rsidR="005056F5" w:rsidRDefault="005056F5" w:rsidP="005056F5">
      <w:pPr>
        <w:pStyle w:val="FootnoteText"/>
        <w:spacing w:before="40" w:after="0" w:line="240" w:lineRule="auto"/>
      </w:pPr>
      <w:r>
        <w:rPr>
          <w:rStyle w:val="FootnoteReference"/>
        </w:rPr>
        <w:footnoteRef/>
      </w:r>
      <w:r>
        <w:t xml:space="preserve"> </w:t>
      </w:r>
      <w:r>
        <w:tab/>
        <w:t xml:space="preserve">The public sector values are: integrity, impartiality, accountability, respect, responsiveness, human rights, and leadership.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30" w:rsidRDefault="00DF1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2A3B9925" wp14:editId="4B6EE38A">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391FEF" w:rsidP="007D06DC">
          <w:pPr>
            <w:pStyle w:val="CertHDWhite"/>
            <w:tabs>
              <w:tab w:val="left" w:pos="3544"/>
              <w:tab w:val="left" w:pos="7513"/>
            </w:tabs>
            <w:rPr>
              <w:sz w:val="28"/>
              <w:szCs w:val="28"/>
            </w:rPr>
          </w:pPr>
          <w:r>
            <w:rPr>
              <w:sz w:val="28"/>
              <w:szCs w:val="28"/>
            </w:rPr>
            <w:t>Dispute resolution</w:t>
          </w:r>
          <w:r w:rsidR="000C753A">
            <w:rPr>
              <w:sz w:val="28"/>
              <w:szCs w:val="28"/>
            </w:rPr>
            <w:t xml:space="preserve"> – (1) Model policy </w:t>
          </w:r>
          <w:r w:rsidR="00B47165" w:rsidRPr="001A3C24">
            <w:rPr>
              <w:sz w:val="28"/>
              <w:szCs w:val="28"/>
            </w:rPr>
            <w:t>for boards of major DELWP agencies</w:t>
          </w:r>
        </w:p>
      </w:tc>
    </w:tr>
  </w:tbl>
  <w:p w:rsidR="00B47165" w:rsidRDefault="00B47165"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0340B968" wp14:editId="65157BEF">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6E2F73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3">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1"/>
  </w:num>
  <w:num w:numId="14">
    <w:abstractNumId w:val="16"/>
  </w:num>
  <w:num w:numId="15">
    <w:abstractNumId w:val="20"/>
  </w:num>
  <w:num w:numId="16">
    <w:abstractNumId w:val="11"/>
  </w:num>
  <w:num w:numId="17">
    <w:abstractNumId w:val="20"/>
  </w:num>
  <w:num w:numId="18">
    <w:abstractNumId w:val="20"/>
  </w:num>
  <w:num w:numId="19">
    <w:abstractNumId w:val="20"/>
  </w:num>
  <w:num w:numId="20">
    <w:abstractNumId w:val="10"/>
  </w:num>
  <w:num w:numId="21">
    <w:abstractNumId w:val="13"/>
  </w:num>
  <w:num w:numId="22">
    <w:abstractNumId w:val="17"/>
  </w:num>
  <w:num w:numId="23">
    <w:abstractNumId w:val="19"/>
  </w:num>
  <w:num w:numId="24">
    <w:abstractNumId w:val="12"/>
  </w:num>
  <w:num w:numId="25">
    <w:abstractNumId w:val="1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1"/>
  </w:num>
  <w:num w:numId="36">
    <w:abstractNumId w:val="20"/>
  </w:num>
  <w:num w:numId="37">
    <w:abstractNumId w:val="10"/>
  </w:num>
  <w:num w:numId="38">
    <w:abstractNumId w:val="9"/>
  </w:num>
  <w:num w:numId="39">
    <w:abstractNumId w:val="8"/>
  </w:num>
  <w:num w:numId="40">
    <w:abstractNumId w:val="7"/>
  </w:num>
  <w:num w:numId="41">
    <w:abstractNumId w:val="6"/>
  </w:num>
  <w:num w:numId="42">
    <w:abstractNumId w:val="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2793"/>
    <w:rsid w:val="00013D7A"/>
    <w:rsid w:val="00021B18"/>
    <w:rsid w:val="0003050C"/>
    <w:rsid w:val="00031FA3"/>
    <w:rsid w:val="00034A8C"/>
    <w:rsid w:val="00034D96"/>
    <w:rsid w:val="0003535F"/>
    <w:rsid w:val="0005215B"/>
    <w:rsid w:val="00055FEF"/>
    <w:rsid w:val="00056393"/>
    <w:rsid w:val="00062DAF"/>
    <w:rsid w:val="00063E31"/>
    <w:rsid w:val="00063FCB"/>
    <w:rsid w:val="000645D2"/>
    <w:rsid w:val="00065CAC"/>
    <w:rsid w:val="00075307"/>
    <w:rsid w:val="00077758"/>
    <w:rsid w:val="0008439C"/>
    <w:rsid w:val="00084C46"/>
    <w:rsid w:val="0008754B"/>
    <w:rsid w:val="0009699E"/>
    <w:rsid w:val="000A352F"/>
    <w:rsid w:val="000B0A95"/>
    <w:rsid w:val="000B5903"/>
    <w:rsid w:val="000B65E4"/>
    <w:rsid w:val="000C1E27"/>
    <w:rsid w:val="000C3259"/>
    <w:rsid w:val="000C39E4"/>
    <w:rsid w:val="000C753A"/>
    <w:rsid w:val="000D54BA"/>
    <w:rsid w:val="000E37C5"/>
    <w:rsid w:val="000E7036"/>
    <w:rsid w:val="000E76A3"/>
    <w:rsid w:val="000F55F1"/>
    <w:rsid w:val="001013E9"/>
    <w:rsid w:val="00111811"/>
    <w:rsid w:val="00113F41"/>
    <w:rsid w:val="00120C40"/>
    <w:rsid w:val="00120F3F"/>
    <w:rsid w:val="00125376"/>
    <w:rsid w:val="00135491"/>
    <w:rsid w:val="00135E62"/>
    <w:rsid w:val="0014585D"/>
    <w:rsid w:val="00154577"/>
    <w:rsid w:val="001635B1"/>
    <w:rsid w:val="0017095A"/>
    <w:rsid w:val="00177115"/>
    <w:rsid w:val="00181FBC"/>
    <w:rsid w:val="001855F2"/>
    <w:rsid w:val="001A1E4B"/>
    <w:rsid w:val="001A243B"/>
    <w:rsid w:val="001A3C24"/>
    <w:rsid w:val="001A4A93"/>
    <w:rsid w:val="001A70BE"/>
    <w:rsid w:val="001B11D5"/>
    <w:rsid w:val="001B2943"/>
    <w:rsid w:val="001B64A3"/>
    <w:rsid w:val="001C04CD"/>
    <w:rsid w:val="001C14C3"/>
    <w:rsid w:val="001C3014"/>
    <w:rsid w:val="001C3CA8"/>
    <w:rsid w:val="001C3D80"/>
    <w:rsid w:val="001E1ADF"/>
    <w:rsid w:val="001E2024"/>
    <w:rsid w:val="001E3193"/>
    <w:rsid w:val="001E46F0"/>
    <w:rsid w:val="001F256D"/>
    <w:rsid w:val="001F40CB"/>
    <w:rsid w:val="002015AD"/>
    <w:rsid w:val="0020255B"/>
    <w:rsid w:val="002122D2"/>
    <w:rsid w:val="00217D52"/>
    <w:rsid w:val="00220902"/>
    <w:rsid w:val="00221E6B"/>
    <w:rsid w:val="0022751F"/>
    <w:rsid w:val="00236912"/>
    <w:rsid w:val="00236DA4"/>
    <w:rsid w:val="0024281C"/>
    <w:rsid w:val="00246D68"/>
    <w:rsid w:val="002526EA"/>
    <w:rsid w:val="00261A4D"/>
    <w:rsid w:val="00261DCB"/>
    <w:rsid w:val="00271B91"/>
    <w:rsid w:val="002811D7"/>
    <w:rsid w:val="00285925"/>
    <w:rsid w:val="002B5236"/>
    <w:rsid w:val="002C12AF"/>
    <w:rsid w:val="002C18CE"/>
    <w:rsid w:val="002C4BC3"/>
    <w:rsid w:val="002C5BA2"/>
    <w:rsid w:val="002D2478"/>
    <w:rsid w:val="002D3CC8"/>
    <w:rsid w:val="002D680B"/>
    <w:rsid w:val="002D7E3C"/>
    <w:rsid w:val="002E2EC1"/>
    <w:rsid w:val="0030024A"/>
    <w:rsid w:val="00312223"/>
    <w:rsid w:val="00321F9E"/>
    <w:rsid w:val="00324256"/>
    <w:rsid w:val="00327CF0"/>
    <w:rsid w:val="00330679"/>
    <w:rsid w:val="00330D84"/>
    <w:rsid w:val="00340B6C"/>
    <w:rsid w:val="00340B78"/>
    <w:rsid w:val="00345CC7"/>
    <w:rsid w:val="00350C01"/>
    <w:rsid w:val="00355799"/>
    <w:rsid w:val="0036130E"/>
    <w:rsid w:val="00361402"/>
    <w:rsid w:val="003621A0"/>
    <w:rsid w:val="00385DE1"/>
    <w:rsid w:val="00391FEF"/>
    <w:rsid w:val="003A21AE"/>
    <w:rsid w:val="003A38C0"/>
    <w:rsid w:val="003A5FCB"/>
    <w:rsid w:val="003B0363"/>
    <w:rsid w:val="003B3AA6"/>
    <w:rsid w:val="003B43DE"/>
    <w:rsid w:val="003C0AE2"/>
    <w:rsid w:val="003C2962"/>
    <w:rsid w:val="003C64BD"/>
    <w:rsid w:val="003D22CA"/>
    <w:rsid w:val="003E0B9A"/>
    <w:rsid w:val="003E319C"/>
    <w:rsid w:val="003F1932"/>
    <w:rsid w:val="003F3A22"/>
    <w:rsid w:val="003F437F"/>
    <w:rsid w:val="003F519F"/>
    <w:rsid w:val="003F5A5C"/>
    <w:rsid w:val="00404EF3"/>
    <w:rsid w:val="00405E81"/>
    <w:rsid w:val="00406463"/>
    <w:rsid w:val="004168CB"/>
    <w:rsid w:val="00420B40"/>
    <w:rsid w:val="00426499"/>
    <w:rsid w:val="0043327C"/>
    <w:rsid w:val="0043348E"/>
    <w:rsid w:val="0043425B"/>
    <w:rsid w:val="004426E1"/>
    <w:rsid w:val="004469C1"/>
    <w:rsid w:val="00447205"/>
    <w:rsid w:val="00453B68"/>
    <w:rsid w:val="00455AC0"/>
    <w:rsid w:val="00455EFA"/>
    <w:rsid w:val="00464027"/>
    <w:rsid w:val="00466C4D"/>
    <w:rsid w:val="004678D1"/>
    <w:rsid w:val="004752E5"/>
    <w:rsid w:val="0047538B"/>
    <w:rsid w:val="0047767A"/>
    <w:rsid w:val="00482508"/>
    <w:rsid w:val="00483B58"/>
    <w:rsid w:val="00487611"/>
    <w:rsid w:val="004969C1"/>
    <w:rsid w:val="004E4BDF"/>
    <w:rsid w:val="004E6888"/>
    <w:rsid w:val="004E6D65"/>
    <w:rsid w:val="004F0BEF"/>
    <w:rsid w:val="005056F5"/>
    <w:rsid w:val="0050769F"/>
    <w:rsid w:val="00510A2E"/>
    <w:rsid w:val="00512102"/>
    <w:rsid w:val="00512D4E"/>
    <w:rsid w:val="005229C6"/>
    <w:rsid w:val="00524C52"/>
    <w:rsid w:val="005304F7"/>
    <w:rsid w:val="00533181"/>
    <w:rsid w:val="00534B38"/>
    <w:rsid w:val="00540762"/>
    <w:rsid w:val="00544B68"/>
    <w:rsid w:val="0055765F"/>
    <w:rsid w:val="00557B17"/>
    <w:rsid w:val="0056076E"/>
    <w:rsid w:val="00563FE4"/>
    <w:rsid w:val="005640BD"/>
    <w:rsid w:val="0056542E"/>
    <w:rsid w:val="00565531"/>
    <w:rsid w:val="0057281A"/>
    <w:rsid w:val="00573554"/>
    <w:rsid w:val="00573E23"/>
    <w:rsid w:val="00575F3A"/>
    <w:rsid w:val="00577D2A"/>
    <w:rsid w:val="00582724"/>
    <w:rsid w:val="0058566F"/>
    <w:rsid w:val="005A4EE7"/>
    <w:rsid w:val="005B3CE8"/>
    <w:rsid w:val="005B4A26"/>
    <w:rsid w:val="005B55D4"/>
    <w:rsid w:val="005C0840"/>
    <w:rsid w:val="005C70F5"/>
    <w:rsid w:val="005C7645"/>
    <w:rsid w:val="005D2DDD"/>
    <w:rsid w:val="005E3C89"/>
    <w:rsid w:val="005F2C9F"/>
    <w:rsid w:val="00602D4A"/>
    <w:rsid w:val="00603134"/>
    <w:rsid w:val="00606451"/>
    <w:rsid w:val="00615963"/>
    <w:rsid w:val="00621B48"/>
    <w:rsid w:val="00623482"/>
    <w:rsid w:val="00626501"/>
    <w:rsid w:val="0062669A"/>
    <w:rsid w:val="00632914"/>
    <w:rsid w:val="006337D3"/>
    <w:rsid w:val="0063635A"/>
    <w:rsid w:val="00637620"/>
    <w:rsid w:val="00645D03"/>
    <w:rsid w:val="0065542D"/>
    <w:rsid w:val="006554A4"/>
    <w:rsid w:val="00656186"/>
    <w:rsid w:val="00657072"/>
    <w:rsid w:val="006643F2"/>
    <w:rsid w:val="006670F9"/>
    <w:rsid w:val="00667E70"/>
    <w:rsid w:val="0067253D"/>
    <w:rsid w:val="006741C5"/>
    <w:rsid w:val="00675636"/>
    <w:rsid w:val="006767CB"/>
    <w:rsid w:val="006800DF"/>
    <w:rsid w:val="0069559B"/>
    <w:rsid w:val="006A2476"/>
    <w:rsid w:val="006B1388"/>
    <w:rsid w:val="006B4688"/>
    <w:rsid w:val="006C254A"/>
    <w:rsid w:val="006D2D9C"/>
    <w:rsid w:val="006E48AC"/>
    <w:rsid w:val="006F53DB"/>
    <w:rsid w:val="006F707D"/>
    <w:rsid w:val="006F7A86"/>
    <w:rsid w:val="0070362A"/>
    <w:rsid w:val="00705440"/>
    <w:rsid w:val="007065B0"/>
    <w:rsid w:val="007078B0"/>
    <w:rsid w:val="007131A0"/>
    <w:rsid w:val="00715A65"/>
    <w:rsid w:val="00725C38"/>
    <w:rsid w:val="00731631"/>
    <w:rsid w:val="00732FB1"/>
    <w:rsid w:val="00752E36"/>
    <w:rsid w:val="0075546A"/>
    <w:rsid w:val="00756A07"/>
    <w:rsid w:val="007600B8"/>
    <w:rsid w:val="00762889"/>
    <w:rsid w:val="00763884"/>
    <w:rsid w:val="007673F1"/>
    <w:rsid w:val="007702BD"/>
    <w:rsid w:val="00777619"/>
    <w:rsid w:val="00783053"/>
    <w:rsid w:val="007873C1"/>
    <w:rsid w:val="007A0872"/>
    <w:rsid w:val="007A0889"/>
    <w:rsid w:val="007A5D48"/>
    <w:rsid w:val="007B0E45"/>
    <w:rsid w:val="007B10CA"/>
    <w:rsid w:val="007B1469"/>
    <w:rsid w:val="007B37CB"/>
    <w:rsid w:val="007B62F8"/>
    <w:rsid w:val="007B6E26"/>
    <w:rsid w:val="007C279A"/>
    <w:rsid w:val="007D06DC"/>
    <w:rsid w:val="007D5D30"/>
    <w:rsid w:val="007D7AE2"/>
    <w:rsid w:val="007E3E33"/>
    <w:rsid w:val="007E6690"/>
    <w:rsid w:val="007F2140"/>
    <w:rsid w:val="007F5211"/>
    <w:rsid w:val="00802259"/>
    <w:rsid w:val="00806D5D"/>
    <w:rsid w:val="008110B2"/>
    <w:rsid w:val="00815894"/>
    <w:rsid w:val="00826EBF"/>
    <w:rsid w:val="00834943"/>
    <w:rsid w:val="0083541B"/>
    <w:rsid w:val="008401F9"/>
    <w:rsid w:val="00844D8A"/>
    <w:rsid w:val="00862AC7"/>
    <w:rsid w:val="00865A63"/>
    <w:rsid w:val="008700D2"/>
    <w:rsid w:val="00872BAF"/>
    <w:rsid w:val="008732EE"/>
    <w:rsid w:val="008832F9"/>
    <w:rsid w:val="008869C0"/>
    <w:rsid w:val="00887805"/>
    <w:rsid w:val="008979EB"/>
    <w:rsid w:val="008A34B4"/>
    <w:rsid w:val="008A3B87"/>
    <w:rsid w:val="008A44E2"/>
    <w:rsid w:val="008A6BBA"/>
    <w:rsid w:val="008B15FC"/>
    <w:rsid w:val="008B5EC6"/>
    <w:rsid w:val="008B61B5"/>
    <w:rsid w:val="008C1B1D"/>
    <w:rsid w:val="008C2AF7"/>
    <w:rsid w:val="008C451F"/>
    <w:rsid w:val="008D1E0D"/>
    <w:rsid w:val="008D4281"/>
    <w:rsid w:val="008E39E1"/>
    <w:rsid w:val="008E66DF"/>
    <w:rsid w:val="008E6B7E"/>
    <w:rsid w:val="008F4932"/>
    <w:rsid w:val="008F788C"/>
    <w:rsid w:val="00906FAF"/>
    <w:rsid w:val="00915D5A"/>
    <w:rsid w:val="00920D57"/>
    <w:rsid w:val="009215FF"/>
    <w:rsid w:val="00926BDE"/>
    <w:rsid w:val="00926DFD"/>
    <w:rsid w:val="00927E6A"/>
    <w:rsid w:val="00936BF0"/>
    <w:rsid w:val="00942CDF"/>
    <w:rsid w:val="00945A38"/>
    <w:rsid w:val="009523BC"/>
    <w:rsid w:val="00953344"/>
    <w:rsid w:val="009537CD"/>
    <w:rsid w:val="00960CF0"/>
    <w:rsid w:val="00962D3B"/>
    <w:rsid w:val="0096491E"/>
    <w:rsid w:val="00972191"/>
    <w:rsid w:val="00974044"/>
    <w:rsid w:val="00976C10"/>
    <w:rsid w:val="00981EA2"/>
    <w:rsid w:val="009872FB"/>
    <w:rsid w:val="00990FC8"/>
    <w:rsid w:val="00992718"/>
    <w:rsid w:val="009A3F4B"/>
    <w:rsid w:val="009A4C27"/>
    <w:rsid w:val="009A69A3"/>
    <w:rsid w:val="009B459F"/>
    <w:rsid w:val="009C2033"/>
    <w:rsid w:val="009C3B5A"/>
    <w:rsid w:val="009C7EBB"/>
    <w:rsid w:val="009D629C"/>
    <w:rsid w:val="009E4683"/>
    <w:rsid w:val="009E4A51"/>
    <w:rsid w:val="009E4BA2"/>
    <w:rsid w:val="009E5E93"/>
    <w:rsid w:val="009E666D"/>
    <w:rsid w:val="009E66AE"/>
    <w:rsid w:val="009F2D92"/>
    <w:rsid w:val="00A0021E"/>
    <w:rsid w:val="00A03F08"/>
    <w:rsid w:val="00A04614"/>
    <w:rsid w:val="00A049D6"/>
    <w:rsid w:val="00A11FE6"/>
    <w:rsid w:val="00A240F4"/>
    <w:rsid w:val="00A357C2"/>
    <w:rsid w:val="00A36BC9"/>
    <w:rsid w:val="00A37BFA"/>
    <w:rsid w:val="00A500BE"/>
    <w:rsid w:val="00A56C4D"/>
    <w:rsid w:val="00A61E04"/>
    <w:rsid w:val="00A6450E"/>
    <w:rsid w:val="00A6672D"/>
    <w:rsid w:val="00A66B72"/>
    <w:rsid w:val="00A67D11"/>
    <w:rsid w:val="00A730A4"/>
    <w:rsid w:val="00A80E1B"/>
    <w:rsid w:val="00A83A7C"/>
    <w:rsid w:val="00A85593"/>
    <w:rsid w:val="00A91ECD"/>
    <w:rsid w:val="00A94DCB"/>
    <w:rsid w:val="00AA13BD"/>
    <w:rsid w:val="00AA6401"/>
    <w:rsid w:val="00AB1938"/>
    <w:rsid w:val="00AB29AE"/>
    <w:rsid w:val="00AB446A"/>
    <w:rsid w:val="00AB4D0A"/>
    <w:rsid w:val="00AB6453"/>
    <w:rsid w:val="00AC0691"/>
    <w:rsid w:val="00AC0ECF"/>
    <w:rsid w:val="00AC372B"/>
    <w:rsid w:val="00AC5BD5"/>
    <w:rsid w:val="00AD0122"/>
    <w:rsid w:val="00AD0767"/>
    <w:rsid w:val="00AE0AC0"/>
    <w:rsid w:val="00AE7772"/>
    <w:rsid w:val="00AF4DB4"/>
    <w:rsid w:val="00AF5303"/>
    <w:rsid w:val="00AF7D3C"/>
    <w:rsid w:val="00B068DA"/>
    <w:rsid w:val="00B077CF"/>
    <w:rsid w:val="00B108BB"/>
    <w:rsid w:val="00B1116C"/>
    <w:rsid w:val="00B137B4"/>
    <w:rsid w:val="00B24A07"/>
    <w:rsid w:val="00B262B2"/>
    <w:rsid w:val="00B47165"/>
    <w:rsid w:val="00B475BF"/>
    <w:rsid w:val="00B518B3"/>
    <w:rsid w:val="00B60419"/>
    <w:rsid w:val="00B63961"/>
    <w:rsid w:val="00B645F5"/>
    <w:rsid w:val="00B65C5D"/>
    <w:rsid w:val="00B83942"/>
    <w:rsid w:val="00B928AF"/>
    <w:rsid w:val="00B95745"/>
    <w:rsid w:val="00BA342A"/>
    <w:rsid w:val="00BA5D84"/>
    <w:rsid w:val="00BB37E4"/>
    <w:rsid w:val="00BD4BC3"/>
    <w:rsid w:val="00BE3BD3"/>
    <w:rsid w:val="00BF0552"/>
    <w:rsid w:val="00BF28EE"/>
    <w:rsid w:val="00BF5B4F"/>
    <w:rsid w:val="00BF62F9"/>
    <w:rsid w:val="00C061DD"/>
    <w:rsid w:val="00C12A10"/>
    <w:rsid w:val="00C15172"/>
    <w:rsid w:val="00C20463"/>
    <w:rsid w:val="00C255E5"/>
    <w:rsid w:val="00C33F2A"/>
    <w:rsid w:val="00C36059"/>
    <w:rsid w:val="00C403BA"/>
    <w:rsid w:val="00C4077F"/>
    <w:rsid w:val="00C42F01"/>
    <w:rsid w:val="00C46B5E"/>
    <w:rsid w:val="00C56789"/>
    <w:rsid w:val="00C62121"/>
    <w:rsid w:val="00C651CE"/>
    <w:rsid w:val="00C7182C"/>
    <w:rsid w:val="00C73267"/>
    <w:rsid w:val="00C772CA"/>
    <w:rsid w:val="00C847DB"/>
    <w:rsid w:val="00C86652"/>
    <w:rsid w:val="00C86B17"/>
    <w:rsid w:val="00CA19B7"/>
    <w:rsid w:val="00CA48E0"/>
    <w:rsid w:val="00CB2CD3"/>
    <w:rsid w:val="00CB6FB3"/>
    <w:rsid w:val="00CD0C9F"/>
    <w:rsid w:val="00CD784C"/>
    <w:rsid w:val="00CE10A1"/>
    <w:rsid w:val="00CE2CF3"/>
    <w:rsid w:val="00CF41F7"/>
    <w:rsid w:val="00CF5E50"/>
    <w:rsid w:val="00CF612D"/>
    <w:rsid w:val="00D031F0"/>
    <w:rsid w:val="00D033C6"/>
    <w:rsid w:val="00D053C5"/>
    <w:rsid w:val="00D06E67"/>
    <w:rsid w:val="00D114E4"/>
    <w:rsid w:val="00D11924"/>
    <w:rsid w:val="00D13102"/>
    <w:rsid w:val="00D178D0"/>
    <w:rsid w:val="00D30A75"/>
    <w:rsid w:val="00D32969"/>
    <w:rsid w:val="00D33BE6"/>
    <w:rsid w:val="00D35AEC"/>
    <w:rsid w:val="00D3686F"/>
    <w:rsid w:val="00D408CF"/>
    <w:rsid w:val="00D45BD0"/>
    <w:rsid w:val="00D54DE0"/>
    <w:rsid w:val="00D57FF0"/>
    <w:rsid w:val="00D634D8"/>
    <w:rsid w:val="00D8058E"/>
    <w:rsid w:val="00D840DE"/>
    <w:rsid w:val="00D84684"/>
    <w:rsid w:val="00D86521"/>
    <w:rsid w:val="00D94DFA"/>
    <w:rsid w:val="00DA0042"/>
    <w:rsid w:val="00DA204D"/>
    <w:rsid w:val="00DC4E52"/>
    <w:rsid w:val="00DC68E1"/>
    <w:rsid w:val="00DD0AB3"/>
    <w:rsid w:val="00DD3436"/>
    <w:rsid w:val="00DE0C9F"/>
    <w:rsid w:val="00DE2624"/>
    <w:rsid w:val="00DE5117"/>
    <w:rsid w:val="00DF1630"/>
    <w:rsid w:val="00DF494B"/>
    <w:rsid w:val="00DF4EF9"/>
    <w:rsid w:val="00DF6665"/>
    <w:rsid w:val="00DF7956"/>
    <w:rsid w:val="00E01765"/>
    <w:rsid w:val="00E01929"/>
    <w:rsid w:val="00E02650"/>
    <w:rsid w:val="00E030A7"/>
    <w:rsid w:val="00E04D26"/>
    <w:rsid w:val="00E07718"/>
    <w:rsid w:val="00E12A00"/>
    <w:rsid w:val="00E1532E"/>
    <w:rsid w:val="00E15BD0"/>
    <w:rsid w:val="00E2394C"/>
    <w:rsid w:val="00E24BA8"/>
    <w:rsid w:val="00E30FFD"/>
    <w:rsid w:val="00E325A1"/>
    <w:rsid w:val="00E33F9A"/>
    <w:rsid w:val="00E433F5"/>
    <w:rsid w:val="00E434E6"/>
    <w:rsid w:val="00E51072"/>
    <w:rsid w:val="00E535D0"/>
    <w:rsid w:val="00E53E6B"/>
    <w:rsid w:val="00E54D1C"/>
    <w:rsid w:val="00E56D27"/>
    <w:rsid w:val="00E6278D"/>
    <w:rsid w:val="00E81598"/>
    <w:rsid w:val="00E8448C"/>
    <w:rsid w:val="00E9178F"/>
    <w:rsid w:val="00E9718F"/>
    <w:rsid w:val="00EA06EC"/>
    <w:rsid w:val="00EA2B53"/>
    <w:rsid w:val="00EA31C2"/>
    <w:rsid w:val="00EA3EA0"/>
    <w:rsid w:val="00EB0EAA"/>
    <w:rsid w:val="00EB236F"/>
    <w:rsid w:val="00EB2BB2"/>
    <w:rsid w:val="00EB2D73"/>
    <w:rsid w:val="00EB75EA"/>
    <w:rsid w:val="00EC44AB"/>
    <w:rsid w:val="00EC4DCD"/>
    <w:rsid w:val="00EC6F19"/>
    <w:rsid w:val="00F0013D"/>
    <w:rsid w:val="00F01965"/>
    <w:rsid w:val="00F02321"/>
    <w:rsid w:val="00F031CC"/>
    <w:rsid w:val="00F0569C"/>
    <w:rsid w:val="00F10174"/>
    <w:rsid w:val="00F10929"/>
    <w:rsid w:val="00F1125D"/>
    <w:rsid w:val="00F13B95"/>
    <w:rsid w:val="00F15CF7"/>
    <w:rsid w:val="00F2106C"/>
    <w:rsid w:val="00F26838"/>
    <w:rsid w:val="00F27E16"/>
    <w:rsid w:val="00F46148"/>
    <w:rsid w:val="00F51326"/>
    <w:rsid w:val="00F54CCE"/>
    <w:rsid w:val="00F67782"/>
    <w:rsid w:val="00F708A6"/>
    <w:rsid w:val="00F72163"/>
    <w:rsid w:val="00F74611"/>
    <w:rsid w:val="00F74678"/>
    <w:rsid w:val="00F83A6F"/>
    <w:rsid w:val="00F845F4"/>
    <w:rsid w:val="00F910D5"/>
    <w:rsid w:val="00F930FD"/>
    <w:rsid w:val="00F96CFF"/>
    <w:rsid w:val="00F97E7B"/>
    <w:rsid w:val="00FA2BC8"/>
    <w:rsid w:val="00FA73B6"/>
    <w:rsid w:val="00FB0441"/>
    <w:rsid w:val="00FB788F"/>
    <w:rsid w:val="00FC01F8"/>
    <w:rsid w:val="00FC1E36"/>
    <w:rsid w:val="00FC4E61"/>
    <w:rsid w:val="00FD34FA"/>
    <w:rsid w:val="00FD674C"/>
    <w:rsid w:val="00FD74D6"/>
    <w:rsid w:val="00FE0078"/>
    <w:rsid w:val="00FE229F"/>
    <w:rsid w:val="00FE4EB7"/>
    <w:rsid w:val="00FE56FD"/>
    <w:rsid w:val="00FF0FE0"/>
    <w:rsid w:val="00FF2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9215FF"/>
    <w:pPr>
      <w:spacing w:after="113" w:line="240" w:lineRule="atLeast"/>
    </w:pPr>
    <w:rPr>
      <w:rFonts w:ascii="Calibri" w:hAnsi="Calibri"/>
      <w:sz w:val="21"/>
      <w:szCs w:val="24"/>
      <w:lang w:eastAsia="en-US"/>
    </w:rPr>
  </w:style>
  <w:style w:type="paragraph" w:styleId="Heading1">
    <w:name w:val="heading 1"/>
    <w:basedOn w:val="Normal"/>
    <w:next w:val="Normal"/>
    <w:qFormat/>
    <w:rsid w:val="00E54D1C"/>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E54D1C"/>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E54D1C"/>
    <w:pPr>
      <w:spacing w:before="140" w:after="100"/>
      <w:outlineLvl w:val="2"/>
    </w:pPr>
    <w:rPr>
      <w:i/>
      <w:sz w:val="22"/>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rsid w:val="003F3A22"/>
    <w:pPr>
      <w:numPr>
        <w:ilvl w:val="1"/>
        <w:numId w:val="36"/>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9215F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9215F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9215F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9215FF"/>
    <w:pPr>
      <w:numPr>
        <w:numId w:val="38"/>
      </w:numPr>
    </w:pPr>
  </w:style>
  <w:style w:type="paragraph" w:styleId="ListBullet2">
    <w:name w:val="List Bullet 2"/>
    <w:basedOn w:val="Normal"/>
    <w:qFormat/>
    <w:rsid w:val="009215FF"/>
    <w:pPr>
      <w:numPr>
        <w:numId w:val="40"/>
      </w:numPr>
    </w:pPr>
  </w:style>
  <w:style w:type="paragraph" w:styleId="ListBullet3">
    <w:name w:val="List Bullet 3"/>
    <w:basedOn w:val="Normal"/>
    <w:qFormat/>
    <w:rsid w:val="009215FF"/>
    <w:pPr>
      <w:numPr>
        <w:numId w:val="41"/>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9215FF"/>
    <w:pPr>
      <w:numPr>
        <w:numId w:val="39"/>
      </w:numPr>
    </w:pPr>
  </w:style>
  <w:style w:type="paragraph" w:styleId="ListNumber2">
    <w:name w:val="List Number 2"/>
    <w:basedOn w:val="Normal"/>
    <w:uiPriority w:val="1"/>
    <w:qFormat/>
    <w:rsid w:val="009215FF"/>
    <w:pPr>
      <w:numPr>
        <w:numId w:val="42"/>
      </w:numPr>
    </w:pPr>
  </w:style>
  <w:style w:type="paragraph" w:styleId="ListNumber3">
    <w:name w:val="List Number 3"/>
    <w:basedOn w:val="Normal"/>
    <w:uiPriority w:val="1"/>
    <w:qFormat/>
    <w:rsid w:val="009215FF"/>
    <w:pPr>
      <w:numPr>
        <w:numId w:val="43"/>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215F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rsid w:val="00EA06EC"/>
    <w:pPr>
      <w:tabs>
        <w:tab w:val="left" w:pos="284"/>
      </w:tabs>
      <w:ind w:left="284" w:hanging="284"/>
    </w:pPr>
    <w:rPr>
      <w:sz w:val="18"/>
      <w:szCs w:val="20"/>
    </w:rPr>
  </w:style>
  <w:style w:type="character" w:customStyle="1" w:styleId="FootnoteTextChar">
    <w:name w:val="Footnote Text Char"/>
    <w:link w:val="FootnoteText"/>
    <w:rsid w:val="00EA06EC"/>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9215FF"/>
    <w:pPr>
      <w:ind w:left="720"/>
      <w:contextualSpacing/>
    </w:pPr>
  </w:style>
  <w:style w:type="character" w:customStyle="1" w:styleId="Emphasis-Bold">
    <w:name w:val="Emphasis - Bold"/>
    <w:qFormat/>
    <w:rsid w:val="009215FF"/>
    <w:rPr>
      <w:rFonts w:ascii="Arial" w:hAnsi="Arial" w:cs="Arial"/>
      <w:b/>
      <w:color w:val="000000"/>
    </w:rPr>
  </w:style>
  <w:style w:type="paragraph" w:customStyle="1" w:styleId="Indent-05hangingPM">
    <w:name w:val="Indent - 0.5 hanging (PM)"/>
    <w:basedOn w:val="Normal"/>
    <w:qFormat/>
    <w:rsid w:val="009215FF"/>
    <w:pPr>
      <w:ind w:left="709" w:hanging="709"/>
    </w:pPr>
  </w:style>
  <w:style w:type="character" w:customStyle="1" w:styleId="Emphasis-Italics">
    <w:name w:val="Emphasis - Italics"/>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9215F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rsid w:val="00915D5A"/>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rsid w:val="00DF494B"/>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9215FF"/>
    <w:pPr>
      <w:spacing w:after="113" w:line="240" w:lineRule="atLeast"/>
    </w:pPr>
    <w:rPr>
      <w:rFonts w:ascii="Calibri" w:hAnsi="Calibri"/>
      <w:sz w:val="21"/>
      <w:szCs w:val="24"/>
      <w:lang w:eastAsia="en-US"/>
    </w:rPr>
  </w:style>
  <w:style w:type="paragraph" w:styleId="Heading1">
    <w:name w:val="heading 1"/>
    <w:basedOn w:val="Normal"/>
    <w:next w:val="Normal"/>
    <w:qFormat/>
    <w:rsid w:val="00E54D1C"/>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E54D1C"/>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E54D1C"/>
    <w:pPr>
      <w:spacing w:before="140" w:after="100"/>
      <w:outlineLvl w:val="2"/>
    </w:pPr>
    <w:rPr>
      <w:i/>
      <w:sz w:val="22"/>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rsid w:val="003F3A22"/>
    <w:pPr>
      <w:numPr>
        <w:ilvl w:val="1"/>
        <w:numId w:val="36"/>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9215F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9215F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9215F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9215FF"/>
    <w:pPr>
      <w:numPr>
        <w:numId w:val="38"/>
      </w:numPr>
    </w:pPr>
  </w:style>
  <w:style w:type="paragraph" w:styleId="ListBullet2">
    <w:name w:val="List Bullet 2"/>
    <w:basedOn w:val="Normal"/>
    <w:qFormat/>
    <w:rsid w:val="009215FF"/>
    <w:pPr>
      <w:numPr>
        <w:numId w:val="40"/>
      </w:numPr>
    </w:pPr>
  </w:style>
  <w:style w:type="paragraph" w:styleId="ListBullet3">
    <w:name w:val="List Bullet 3"/>
    <w:basedOn w:val="Normal"/>
    <w:qFormat/>
    <w:rsid w:val="009215FF"/>
    <w:pPr>
      <w:numPr>
        <w:numId w:val="41"/>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9215FF"/>
    <w:pPr>
      <w:numPr>
        <w:numId w:val="39"/>
      </w:numPr>
    </w:pPr>
  </w:style>
  <w:style w:type="paragraph" w:styleId="ListNumber2">
    <w:name w:val="List Number 2"/>
    <w:basedOn w:val="Normal"/>
    <w:uiPriority w:val="1"/>
    <w:qFormat/>
    <w:rsid w:val="009215FF"/>
    <w:pPr>
      <w:numPr>
        <w:numId w:val="42"/>
      </w:numPr>
    </w:pPr>
  </w:style>
  <w:style w:type="paragraph" w:styleId="ListNumber3">
    <w:name w:val="List Number 3"/>
    <w:basedOn w:val="Normal"/>
    <w:uiPriority w:val="1"/>
    <w:qFormat/>
    <w:rsid w:val="009215FF"/>
    <w:pPr>
      <w:numPr>
        <w:numId w:val="43"/>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215F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rsid w:val="00EA06EC"/>
    <w:pPr>
      <w:tabs>
        <w:tab w:val="left" w:pos="284"/>
      </w:tabs>
      <w:ind w:left="284" w:hanging="284"/>
    </w:pPr>
    <w:rPr>
      <w:sz w:val="18"/>
      <w:szCs w:val="20"/>
    </w:rPr>
  </w:style>
  <w:style w:type="character" w:customStyle="1" w:styleId="FootnoteTextChar">
    <w:name w:val="Footnote Text Char"/>
    <w:link w:val="FootnoteText"/>
    <w:rsid w:val="00EA06EC"/>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9215FF"/>
    <w:pPr>
      <w:ind w:left="720"/>
      <w:contextualSpacing/>
    </w:pPr>
  </w:style>
  <w:style w:type="character" w:customStyle="1" w:styleId="Emphasis-Bold">
    <w:name w:val="Emphasis - Bold"/>
    <w:qFormat/>
    <w:rsid w:val="009215FF"/>
    <w:rPr>
      <w:rFonts w:ascii="Arial" w:hAnsi="Arial" w:cs="Arial"/>
      <w:b/>
      <w:color w:val="000000"/>
    </w:rPr>
  </w:style>
  <w:style w:type="paragraph" w:customStyle="1" w:styleId="Indent-05hangingPM">
    <w:name w:val="Indent - 0.5 hanging (PM)"/>
    <w:basedOn w:val="Normal"/>
    <w:qFormat/>
    <w:rsid w:val="009215FF"/>
    <w:pPr>
      <w:ind w:left="709" w:hanging="709"/>
    </w:pPr>
  </w:style>
  <w:style w:type="character" w:customStyle="1" w:styleId="Emphasis-Italics">
    <w:name w:val="Emphasis - Italics"/>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9215F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rsid w:val="00915D5A"/>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rsid w:val="00DF494B"/>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ustomer.service@delwp.vic.gov.au" TargetMode="External"/><Relationship Id="rId18" Type="http://schemas.openxmlformats.org/officeDocument/2006/relationships/hyperlink" Target="http://creativecommons.org/licenses/by/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footnotes" Target="footnotes.xml"/><Relationship Id="rId12" Type="http://schemas.openxmlformats.org/officeDocument/2006/relationships/hyperlink" Target="http://www.delwp.vic.gov.au/onboard" TargetMode="External"/><Relationship Id="rId17" Type="http://schemas.openxmlformats.org/officeDocument/2006/relationships/image" Target="media/image1.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lwp.vic.gov.au/onboard" TargetMode="External"/><Relationship Id="rId20" Type="http://schemas.openxmlformats.org/officeDocument/2006/relationships/hyperlink" Target="http://www.relayservice.com.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psc.vic.gov.au/resources/directors-code-of-conduct-and-guidance-notes/" TargetMode="External"/><Relationship Id="rId24" Type="http://schemas.openxmlformats.org/officeDocument/2006/relationships/hyperlink" Target="http://creativecommons.org/licenses/by/4.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elwp.vic.gov.au" TargetMode="External"/><Relationship Id="rId23" Type="http://schemas.openxmlformats.org/officeDocument/2006/relationships/image" Target="media/image10.emf"/><Relationship Id="rId28" Type="http://schemas.openxmlformats.org/officeDocument/2006/relationships/footer" Target="footer2.xml"/><Relationship Id="rId10" Type="http://schemas.openxmlformats.org/officeDocument/2006/relationships/hyperlink" Target="http://www.disputes.vic.gov.au/mediation" TargetMode="External"/><Relationship Id="rId19" Type="http://schemas.openxmlformats.org/officeDocument/2006/relationships/hyperlink" Target="mailto:customer.service@delwp.vic.gov.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lwp.vic.gov.au/onboard" TargetMode="External"/><Relationship Id="rId14" Type="http://schemas.openxmlformats.org/officeDocument/2006/relationships/hyperlink" Target="http://www.relayservice.com.au" TargetMode="External"/><Relationship Id="rId22" Type="http://schemas.openxmlformats.org/officeDocument/2006/relationships/hyperlink" Target="http://www.delwp.vic.gov.au/onboard"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9C07-DC39-403C-B8D3-4EF201D2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4</Pages>
  <Words>1031</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2016-02-24T05:50:00Z</dcterms:created>
  <dcterms:modified xsi:type="dcterms:W3CDTF">2016-02-24T06:46:00Z</dcterms:modified>
</cp:coreProperties>
</file>