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413" w:type="dxa"/>
        <w:tblLook w:val="01E0" w:firstRow="1" w:lastRow="1" w:firstColumn="1" w:lastColumn="1" w:noHBand="0" w:noVBand="0"/>
      </w:tblPr>
      <w:tblGrid>
        <w:gridCol w:w="10413"/>
      </w:tblGrid>
      <w:tr w:rsidR="00EA2B53" w:rsidRPr="00F74678" w:rsidTr="007D4B4C">
        <w:trPr>
          <w:trHeight w:hRule="exact" w:val="2705"/>
        </w:trPr>
        <w:tc>
          <w:tcPr>
            <w:tcW w:w="10413" w:type="dxa"/>
            <w:shd w:val="clear" w:color="auto" w:fill="auto"/>
          </w:tcPr>
          <w:p w:rsidR="00EA2B53" w:rsidRDefault="00976C6C" w:rsidP="00915D5A">
            <w:pPr>
              <w:pStyle w:val="Toptitle"/>
              <w:framePr w:hSpace="0" w:wrap="auto" w:vAnchor="margin" w:hAnchor="text" w:yAlign="inline"/>
            </w:pPr>
            <w:r>
              <w:t>Conflict of interest</w:t>
            </w:r>
          </w:p>
          <w:p w:rsidR="00EA2B53" w:rsidRPr="003F3A22" w:rsidRDefault="00EA2B53" w:rsidP="00DE0473">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7B5D5D1F" wp14:editId="47CA6267">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v:textbox>
                    </v:shape>
                  </w:pict>
                </mc:Fallback>
              </mc:AlternateContent>
            </w:r>
            <w:r>
              <w:t>(</w:t>
            </w:r>
            <w:r w:rsidR="00DE0473">
              <w:t>3</w:t>
            </w:r>
            <w:r w:rsidR="006767CB">
              <w:t xml:space="preserve">)  </w:t>
            </w:r>
            <w:r w:rsidR="00976C6C">
              <w:t>An overview</w:t>
            </w:r>
          </w:p>
        </w:tc>
      </w:tr>
    </w:tbl>
    <w:p w:rsidR="002C12AF" w:rsidRDefault="002C12AF" w:rsidP="00EA2B53">
      <w:pPr>
        <w:spacing w:before="400"/>
      </w:pPr>
    </w:p>
    <w:p w:rsidR="00EA2B53" w:rsidRDefault="00EA2B53" w:rsidP="001855F2"/>
    <w:p w:rsidR="00154170" w:rsidRDefault="00154170" w:rsidP="00154170">
      <w:r>
        <w:t xml:space="preserve">This </w:t>
      </w:r>
      <w:r w:rsidRPr="00D01A78">
        <w:t xml:space="preserve">guidance note </w:t>
      </w:r>
      <w:r>
        <w:t>is for use by</w:t>
      </w:r>
      <w:r w:rsidRPr="00D01A78">
        <w:t xml:space="preserve"> </w:t>
      </w:r>
      <w:r w:rsidRPr="001100DC">
        <w:t>board members</w:t>
      </w:r>
      <w:r w:rsidRPr="00D01A78">
        <w:t xml:space="preserve"> of </w:t>
      </w:r>
      <w:r w:rsidR="004A564B">
        <w:t>the over 100 major</w:t>
      </w:r>
      <w:r>
        <w:t xml:space="preserve"> </w:t>
      </w:r>
      <w:r w:rsidRPr="00D01A78">
        <w:t xml:space="preserve">public entities and </w:t>
      </w:r>
      <w:r w:rsidR="00541CCA">
        <w:t>other statutory boards, committees, councils, panels, etc.</w:t>
      </w:r>
      <w:r w:rsidRPr="00D01A78">
        <w:t xml:space="preserve">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t xml:space="preserve"> of crown land reserves.</w:t>
      </w:r>
    </w:p>
    <w:p w:rsidR="00FC6C61" w:rsidRDefault="004A564B" w:rsidP="00154170">
      <w:r>
        <w:t xml:space="preserve">Guidance notes and </w:t>
      </w:r>
      <w:r w:rsidRPr="00A3042C">
        <w:t xml:space="preserve">model policies </w:t>
      </w:r>
      <w:r w:rsidR="00107F01">
        <w:t>for</w:t>
      </w:r>
      <w:r>
        <w:t xml:space="preserve"> </w:t>
      </w:r>
      <w:r w:rsidR="00FC6C61">
        <w:t>these major</w:t>
      </w:r>
      <w:r>
        <w:t xml:space="preserve"> agencies can be downloaded from </w:t>
      </w:r>
      <w:r w:rsidRPr="00A3042C">
        <w:t xml:space="preserve">DELWP’s governance website, </w:t>
      </w:r>
      <w:r w:rsidR="00107F01">
        <w:br/>
      </w:r>
      <w:r w:rsidRPr="00A3042C">
        <w:t>On Board (</w:t>
      </w:r>
      <w:hyperlink r:id="rId9" w:history="1">
        <w:r w:rsidRPr="00A3042C">
          <w:rPr>
            <w:rStyle w:val="Hyperlink"/>
          </w:rPr>
          <w:t>www.delwp.vic.gov.au/onboard</w:t>
        </w:r>
      </w:hyperlink>
      <w:r>
        <w:t xml:space="preserve">), in particular, see the </w:t>
      </w:r>
      <w:hyperlink r:id="rId10" w:history="1">
        <w:r w:rsidRPr="00A3042C">
          <w:rPr>
            <w:rStyle w:val="Hyperlink"/>
          </w:rPr>
          <w:t>Conflict of Interest</w:t>
        </w:r>
      </w:hyperlink>
      <w:r>
        <w:t xml:space="preserve"> s</w:t>
      </w:r>
      <w:r w:rsidRPr="00A3042C">
        <w:t>upport module</w:t>
      </w:r>
      <w:r>
        <w:t>.</w:t>
      </w:r>
      <w:r w:rsidR="00541CCA">
        <w:t xml:space="preserve">  </w:t>
      </w:r>
    </w:p>
    <w:p w:rsidR="004A564B" w:rsidRDefault="00541CCA" w:rsidP="00E53B37">
      <w:pPr>
        <w:spacing w:after="180"/>
      </w:pPr>
      <w:r>
        <w:t>G</w:t>
      </w:r>
      <w:r w:rsidR="004A564B">
        <w:t xml:space="preserve">uidance for small (category 3) committees of management </w:t>
      </w:r>
      <w:r>
        <w:t>is available from</w:t>
      </w:r>
      <w:r w:rsidR="004A564B">
        <w:t xml:space="preserve"> </w:t>
      </w:r>
      <w:hyperlink r:id="rId11" w:history="1">
        <w:r w:rsidR="004A564B" w:rsidRPr="00E118CD">
          <w:rPr>
            <w:rStyle w:val="Hyperlink"/>
          </w:rPr>
          <w:t>www.delwp.vic.gov.au/committees</w:t>
        </w:r>
      </w:hyperlink>
      <w:r w:rsidR="004A564B">
        <w:t xml:space="preserve">. </w:t>
      </w:r>
    </w:p>
    <w:p w:rsidR="00BD3DA8" w:rsidRPr="00A3042C" w:rsidRDefault="00BD3DA8" w:rsidP="000F1B8D"/>
    <w:p w:rsidR="00BD3DA8" w:rsidRDefault="00BD3DA8" w:rsidP="00BD3DA8">
      <w:pPr>
        <w:sectPr w:rsidR="00BD3DA8" w:rsidSect="00F96CFF">
          <w:headerReference w:type="default" r:id="rId12"/>
          <w:footerReference w:type="default" r:id="rId13"/>
          <w:headerReference w:type="first" r:id="rId14"/>
          <w:footerReference w:type="first" r:id="rId15"/>
          <w:pgSz w:w="11907" w:h="16840" w:code="9"/>
          <w:pgMar w:top="2268" w:right="567" w:bottom="851" w:left="1134" w:header="284" w:footer="1021" w:gutter="0"/>
          <w:cols w:space="284"/>
          <w:titlePg/>
          <w:docGrid w:linePitch="360"/>
        </w:sectPr>
      </w:pPr>
    </w:p>
    <w:p w:rsidR="00B97DF4" w:rsidRPr="00D01A78" w:rsidRDefault="00B97DF4" w:rsidP="006351A8">
      <w:pPr>
        <w:pStyle w:val="Heading1"/>
        <w:spacing w:before="140" w:after="100"/>
      </w:pPr>
      <w:r>
        <w:lastRenderedPageBreak/>
        <w:t xml:space="preserve">1.  </w:t>
      </w:r>
      <w:r w:rsidRPr="00D01A78">
        <w:t>What is a conflict of interest?</w:t>
      </w:r>
    </w:p>
    <w:p w:rsidR="00B97DF4" w:rsidRPr="00D01A78" w:rsidRDefault="00B97DF4" w:rsidP="00B97DF4">
      <w:pPr>
        <w:spacing w:line="240" w:lineRule="atLeast"/>
      </w:pPr>
      <w:r w:rsidRPr="00D01A78">
        <w:t>A conflict of interest is a conflict between:</w:t>
      </w:r>
    </w:p>
    <w:p w:rsidR="00B97DF4" w:rsidRPr="00D01A78" w:rsidRDefault="008062AE" w:rsidP="002B43DB">
      <w:pPr>
        <w:pStyle w:val="ListBullet"/>
      </w:pPr>
      <w:r w:rsidRPr="008062AE">
        <w:t>your</w:t>
      </w:r>
      <w:r>
        <w:rPr>
          <w:b/>
        </w:rPr>
        <w:t xml:space="preserve"> </w:t>
      </w:r>
      <w:r w:rsidR="00B97DF4" w:rsidRPr="00367611">
        <w:t>public duty</w:t>
      </w:r>
      <w:r w:rsidR="00B97DF4" w:rsidRPr="00D01A78">
        <w:t xml:space="preserve"> to act in the best interests of the </w:t>
      </w:r>
      <w:r>
        <w:t>organisation</w:t>
      </w:r>
      <w:r w:rsidR="00B97DF4" w:rsidRPr="00D01A78">
        <w:t>; and</w:t>
      </w:r>
    </w:p>
    <w:p w:rsidR="00B97DF4" w:rsidRPr="002B43DB" w:rsidRDefault="008062AE" w:rsidP="002B43DB">
      <w:pPr>
        <w:pStyle w:val="ListBullet"/>
        <w:rPr>
          <w:rFonts w:asciiTheme="minorHAnsi" w:hAnsiTheme="minorHAnsi"/>
          <w:b/>
        </w:rPr>
      </w:pPr>
      <w:r w:rsidRPr="008062AE">
        <w:rPr>
          <w:rStyle w:val="Emphasis-Bold"/>
          <w:rFonts w:asciiTheme="minorHAnsi" w:hAnsiTheme="minorHAnsi"/>
          <w:b w:val="0"/>
        </w:rPr>
        <w:t>your</w:t>
      </w:r>
      <w:r>
        <w:rPr>
          <w:rStyle w:val="Emphasis-Bold"/>
          <w:rFonts w:asciiTheme="minorHAnsi" w:hAnsiTheme="minorHAnsi"/>
        </w:rPr>
        <w:t xml:space="preserve"> </w:t>
      </w:r>
      <w:r w:rsidR="00B97DF4" w:rsidRPr="00367611">
        <w:rPr>
          <w:rStyle w:val="Emphasis-Bold"/>
          <w:rFonts w:asciiTheme="minorHAnsi" w:hAnsiTheme="minorHAnsi"/>
        </w:rPr>
        <w:t>private interests</w:t>
      </w:r>
      <w:r w:rsidR="00B97DF4" w:rsidRPr="00367611">
        <w:rPr>
          <w:rFonts w:asciiTheme="minorHAnsi" w:hAnsiTheme="minorHAnsi"/>
          <w:b/>
        </w:rPr>
        <w:t>.</w:t>
      </w:r>
    </w:p>
    <w:p w:rsidR="00B97DF4" w:rsidRDefault="00B97DF4" w:rsidP="006351A8">
      <w:pPr>
        <w:pStyle w:val="Heading2"/>
        <w:spacing w:before="140" w:after="100"/>
      </w:pPr>
      <w:r>
        <w:t>What is a co</w:t>
      </w:r>
      <w:bookmarkStart w:id="0" w:name="_GoBack"/>
      <w:bookmarkEnd w:id="0"/>
      <w:r>
        <w:t>nflict of duty?</w:t>
      </w:r>
    </w:p>
    <w:p w:rsidR="00B97DF4" w:rsidRPr="00D01A78" w:rsidRDefault="00107C8C" w:rsidP="00B97DF4">
      <w:pPr>
        <w:spacing w:before="60" w:after="60"/>
      </w:pPr>
      <w:r>
        <w:t>A conflict of duty (also known as a conflict of role</w:t>
      </w:r>
      <w:r w:rsidR="00B97DF4" w:rsidRPr="00D01A78">
        <w:t>) is a conflict of interest</w:t>
      </w:r>
      <w:r>
        <w:t xml:space="preserve"> that </w:t>
      </w:r>
      <w:r w:rsidR="00B97DF4" w:rsidRPr="00D01A78">
        <w:t xml:space="preserve">can occur </w:t>
      </w:r>
      <w:r w:rsidR="00B97DF4" w:rsidRPr="004369CB">
        <w:rPr>
          <w:rStyle w:val="Emphasis-Italics"/>
          <w:i w:val="0"/>
        </w:rPr>
        <w:t>even if you do not have any private interest at stake</w:t>
      </w:r>
      <w:r w:rsidR="00B97DF4" w:rsidRPr="00D01A78">
        <w:rPr>
          <w:i/>
        </w:rPr>
        <w:t>.</w:t>
      </w:r>
      <w:r w:rsidR="00B97DF4" w:rsidRPr="00D01A78">
        <w:t xml:space="preserve"> It is a conflict between:</w:t>
      </w:r>
    </w:p>
    <w:p w:rsidR="00B97DF4" w:rsidRPr="00D01A78" w:rsidRDefault="004369CB" w:rsidP="00B97DF4">
      <w:pPr>
        <w:pStyle w:val="ListBullet"/>
        <w:spacing w:line="240" w:lineRule="atLeast"/>
      </w:pPr>
      <w:r w:rsidRPr="004369CB">
        <w:t>your</w:t>
      </w:r>
      <w:r>
        <w:rPr>
          <w:b/>
        </w:rPr>
        <w:t xml:space="preserve"> </w:t>
      </w:r>
      <w:r w:rsidR="00B97DF4" w:rsidRPr="00367611">
        <w:t>public duty</w:t>
      </w:r>
      <w:r w:rsidR="00B97DF4" w:rsidRPr="00D01A78">
        <w:t xml:space="preserve"> to act in the best interests of the </w:t>
      </w:r>
      <w:r w:rsidR="00107C8C">
        <w:t>organisation</w:t>
      </w:r>
      <w:r w:rsidR="00B97DF4" w:rsidRPr="00D01A78">
        <w:t>; and</w:t>
      </w:r>
    </w:p>
    <w:p w:rsidR="00B97DF4" w:rsidRDefault="004369CB" w:rsidP="00B97DF4">
      <w:pPr>
        <w:pStyle w:val="ListBullet"/>
        <w:spacing w:line="240" w:lineRule="atLeast"/>
      </w:pPr>
      <w:r w:rsidRPr="00F348D0">
        <w:t>your</w:t>
      </w:r>
      <w:r>
        <w:rPr>
          <w:b/>
        </w:rPr>
        <w:t xml:space="preserve"> </w:t>
      </w:r>
      <w:r w:rsidR="00B97DF4" w:rsidRPr="00B046C5">
        <w:rPr>
          <w:b/>
        </w:rPr>
        <w:t>duty to another organisation</w:t>
      </w:r>
      <w:r w:rsidR="00B97DF4" w:rsidRPr="00B046C5">
        <w:t xml:space="preserve"> (private or public).</w:t>
      </w:r>
      <w:r w:rsidR="00B97DF4" w:rsidRPr="00D01A78">
        <w:t xml:space="preserve">  </w:t>
      </w:r>
      <w:r>
        <w:br/>
      </w:r>
      <w:r w:rsidR="00B97DF4" w:rsidRPr="00D01A78">
        <w:t xml:space="preserve">It exists due to </w:t>
      </w:r>
      <w:r w:rsidR="00B97DF4">
        <w:t>your</w:t>
      </w:r>
      <w:r w:rsidR="00B97DF4" w:rsidRPr="00D01A78">
        <w:t xml:space="preserve"> role with the other organisation (e.g. as a committee member, employee, volunteer, or member).</w:t>
      </w:r>
    </w:p>
    <w:p w:rsidR="00B97DF4" w:rsidRDefault="00B97DF4" w:rsidP="006351A8">
      <w:pPr>
        <w:pStyle w:val="Heading2"/>
        <w:spacing w:before="140" w:after="100"/>
      </w:pPr>
      <w:r>
        <w:t>How broad is the definition?</w:t>
      </w:r>
    </w:p>
    <w:p w:rsidR="003B0E01" w:rsidRDefault="00B97DF4" w:rsidP="003B0E01">
      <w:r w:rsidRPr="00D01A78">
        <w:t>A conflict of interest</w:t>
      </w:r>
      <w:r w:rsidR="003B0E01">
        <w:t xml:space="preserve">: </w:t>
      </w:r>
    </w:p>
    <w:p w:rsidR="00D20E29" w:rsidRDefault="00B97DF4" w:rsidP="003B0E01">
      <w:pPr>
        <w:pStyle w:val="ListBullet"/>
      </w:pPr>
      <w:r w:rsidRPr="00D01A78">
        <w:t xml:space="preserve">exists whether it is </w:t>
      </w:r>
      <w:r w:rsidRPr="00F81461">
        <w:t>real</w:t>
      </w:r>
      <w:r w:rsidRPr="00D20E29">
        <w:t xml:space="preserve">, </w:t>
      </w:r>
      <w:r w:rsidRPr="00F81461">
        <w:t>potential</w:t>
      </w:r>
      <w:r w:rsidRPr="00D20E29">
        <w:t>, or</w:t>
      </w:r>
      <w:r w:rsidRPr="00F81461">
        <w:t xml:space="preserve"> perceived</w:t>
      </w:r>
      <w:r>
        <w:t xml:space="preserve">  </w:t>
      </w:r>
    </w:p>
    <w:p w:rsidR="003B0E01" w:rsidRDefault="003B0E01" w:rsidP="003B0E01">
      <w:pPr>
        <w:pStyle w:val="ListBullet"/>
        <w:spacing w:after="100"/>
      </w:pPr>
      <w:r>
        <w:t xml:space="preserve">can </w:t>
      </w:r>
      <w:r w:rsidR="00497844">
        <w:t>be</w:t>
      </w:r>
      <w:r>
        <w:t xml:space="preserve"> a private interest that is</w:t>
      </w:r>
      <w:r w:rsidR="00B97DF4" w:rsidRPr="00D01A78">
        <w:t xml:space="preserve"> </w:t>
      </w:r>
      <w:r w:rsidR="00B97DF4" w:rsidRPr="00F81461">
        <w:t>direct</w:t>
      </w:r>
      <w:r w:rsidR="00B97DF4" w:rsidRPr="00D01A78">
        <w:t xml:space="preserve"> </w:t>
      </w:r>
      <w:r w:rsidR="00B97DF4">
        <w:t xml:space="preserve">(held by you) </w:t>
      </w:r>
      <w:r w:rsidR="00B97DF4" w:rsidRPr="00D01A78">
        <w:t xml:space="preserve">or </w:t>
      </w:r>
      <w:r w:rsidR="00B97DF4" w:rsidRPr="00F81461">
        <w:t>indirect</w:t>
      </w:r>
      <w:r w:rsidR="00B97DF4">
        <w:t xml:space="preserve"> (</w:t>
      </w:r>
      <w:r w:rsidR="00B97DF4" w:rsidRPr="00D01A78">
        <w:t>held by a relative or close associate</w:t>
      </w:r>
      <w:r w:rsidR="00B97DF4">
        <w:t>)</w:t>
      </w:r>
      <w:r w:rsidR="00B97DF4" w:rsidRPr="00D01A78">
        <w:t xml:space="preserve"> </w:t>
      </w:r>
      <w:r w:rsidR="00B97DF4">
        <w:t xml:space="preserve"> </w:t>
      </w:r>
    </w:p>
    <w:p w:rsidR="004548F3" w:rsidRDefault="004548F3" w:rsidP="003B0E01">
      <w:pPr>
        <w:pStyle w:val="ListBullet"/>
        <w:spacing w:after="100"/>
      </w:pPr>
      <w:r>
        <w:t>c</w:t>
      </w:r>
      <w:r w:rsidR="00B97DF4" w:rsidRPr="00D01A78">
        <w:t xml:space="preserve">an be </w:t>
      </w:r>
      <w:r w:rsidR="00B97DF4" w:rsidRPr="00F81461">
        <w:t xml:space="preserve">pecuniary </w:t>
      </w:r>
      <w:r w:rsidR="00B97DF4" w:rsidRPr="00D01A78">
        <w:t xml:space="preserve">(financial) or </w:t>
      </w:r>
      <w:r w:rsidR="00B97DF4" w:rsidRPr="00F81461">
        <w:t>non-pecuniary</w:t>
      </w:r>
      <w:r w:rsidR="00B97DF4" w:rsidRPr="00D01A78">
        <w:t xml:space="preserve"> (non-financial), or a mixture of both.</w:t>
      </w:r>
      <w:r w:rsidR="00B97DF4">
        <w:t xml:space="preserve">  </w:t>
      </w:r>
    </w:p>
    <w:p w:rsidR="003D5A39" w:rsidRDefault="00B97DF4" w:rsidP="003D5A39">
      <w:pPr>
        <w:spacing w:before="60" w:after="0"/>
      </w:pPr>
      <w:r w:rsidRPr="00D01A78">
        <w:t xml:space="preserve">For </w:t>
      </w:r>
      <w:r>
        <w:t>details</w:t>
      </w:r>
      <w:r w:rsidRPr="00D01A78">
        <w:t xml:space="preserve"> see </w:t>
      </w:r>
      <w:r w:rsidRPr="006351A8">
        <w:rPr>
          <w:u w:val="single"/>
        </w:rPr>
        <w:t>Appendix 1</w:t>
      </w:r>
      <w:r w:rsidRPr="00F81461">
        <w:t>.</w:t>
      </w:r>
    </w:p>
    <w:p w:rsidR="00B97DF4" w:rsidRDefault="00B97DF4" w:rsidP="00EF1132">
      <w:pPr>
        <w:pStyle w:val="Heading1"/>
        <w:spacing w:before="20" w:after="100"/>
      </w:pPr>
      <w:r>
        <w:lastRenderedPageBreak/>
        <w:t xml:space="preserve">2.  </w:t>
      </w:r>
      <w:r w:rsidR="00FC0C51">
        <w:t>Conflict of interest</w:t>
      </w:r>
      <w:r>
        <w:t xml:space="preserve"> policy</w:t>
      </w:r>
    </w:p>
    <w:p w:rsidR="00DC41D6" w:rsidRDefault="00B97DF4" w:rsidP="00DC41D6">
      <w:pPr>
        <w:spacing w:before="60" w:after="120" w:line="260" w:lineRule="atLeast"/>
      </w:pPr>
      <w:r>
        <w:t xml:space="preserve">Your board is expected to have a </w:t>
      </w:r>
      <w:r w:rsidRPr="00D01A78">
        <w:t xml:space="preserve">conflict of interest policy </w:t>
      </w:r>
      <w:r>
        <w:t>that</w:t>
      </w:r>
      <w:r w:rsidRPr="00D01A78">
        <w:t xml:space="preserve"> fulfils </w:t>
      </w:r>
      <w:r>
        <w:t xml:space="preserve">its </w:t>
      </w:r>
      <w:r w:rsidRPr="00D01A78">
        <w:t>legal obligations and compl</w:t>
      </w:r>
      <w:r>
        <w:t>ies</w:t>
      </w:r>
      <w:r w:rsidRPr="00D01A78">
        <w:t xml:space="preserve"> with good publ</w:t>
      </w:r>
      <w:r>
        <w:t>ic sector governance practice</w:t>
      </w:r>
      <w:r w:rsidR="00D63D0E">
        <w:t xml:space="preserve">.  </w:t>
      </w:r>
    </w:p>
    <w:p w:rsidR="00DC41D6" w:rsidRDefault="00DC41D6" w:rsidP="00DC41D6">
      <w:pPr>
        <w:spacing w:before="60" w:after="120" w:line="260" w:lineRule="atLeast"/>
      </w:pPr>
      <w:r>
        <w:t xml:space="preserve">To assist, </w:t>
      </w:r>
      <w:r w:rsidR="008F6D1F">
        <w:t>DELWP</w:t>
      </w:r>
      <w:r w:rsidR="008F6D1F" w:rsidRPr="008A1507">
        <w:t xml:space="preserve"> </w:t>
      </w:r>
      <w:r w:rsidR="008F6D1F">
        <w:t>offers</w:t>
      </w:r>
      <w:r w:rsidR="008F6D1F" w:rsidRPr="008A1507">
        <w:t xml:space="preserve"> a </w:t>
      </w:r>
      <w:r w:rsidR="008F6D1F" w:rsidRPr="00DC41D6">
        <w:rPr>
          <w:b/>
        </w:rPr>
        <w:t>model policy</w:t>
      </w:r>
      <w:r>
        <w:t>.</w:t>
      </w:r>
      <w:r w:rsidR="008F6D1F" w:rsidRPr="008A1507">
        <w:t xml:space="preserve"> </w:t>
      </w:r>
      <w:r w:rsidR="008F6D1F">
        <w:t xml:space="preserve"> </w:t>
      </w:r>
    </w:p>
    <w:p w:rsidR="008F6D1F" w:rsidRPr="00DC41D6" w:rsidRDefault="008F6D1F" w:rsidP="00DC41D6">
      <w:pPr>
        <w:spacing w:before="60" w:after="120" w:line="260" w:lineRule="atLeast"/>
      </w:pPr>
      <w:r>
        <w:t>Your board’s policy should be consistent with DELWP</w:t>
      </w:r>
      <w:r w:rsidR="00DC41D6">
        <w:t>’s</w:t>
      </w:r>
      <w:r>
        <w:t xml:space="preserve"> </w:t>
      </w:r>
      <w:r w:rsidRPr="00DC41D6">
        <w:t>model policy.</w:t>
      </w:r>
    </w:p>
    <w:p w:rsidR="008F6D1F" w:rsidRPr="008A1507" w:rsidRDefault="008F6D1F" w:rsidP="00DC41D6">
      <w:pPr>
        <w:spacing w:after="120" w:line="260" w:lineRule="atLeast"/>
      </w:pPr>
      <w:r w:rsidRPr="008A1507">
        <w:t xml:space="preserve">If your </w:t>
      </w:r>
      <w:r w:rsidRPr="00DC41D6">
        <w:t xml:space="preserve">agency’s establishing Act </w:t>
      </w:r>
      <w:r w:rsidR="00410387">
        <w:t>has specific</w:t>
      </w:r>
      <w:r w:rsidRPr="00DC41D6">
        <w:t xml:space="preserve"> requirements in relation to conflict</w:t>
      </w:r>
      <w:r w:rsidRPr="008A1507">
        <w:t xml:space="preserve"> of interest, </w:t>
      </w:r>
      <w:r>
        <w:t>the model policy can be adapted to include these</w:t>
      </w:r>
      <w:r w:rsidRPr="008A1507">
        <w:t xml:space="preserve">. </w:t>
      </w:r>
    </w:p>
    <w:p w:rsidR="00B97DF4" w:rsidRDefault="00611762" w:rsidP="00DC41D6">
      <w:pPr>
        <w:spacing w:before="60" w:after="120" w:line="260" w:lineRule="atLeast"/>
      </w:pPr>
      <w:r>
        <w:t xml:space="preserve">In addition to the standard model policy for major DELWP agencies, there is a model policy for </w:t>
      </w:r>
      <w:r w:rsidR="00B97DF4">
        <w:t xml:space="preserve">waste and resource recovery groups </w:t>
      </w:r>
      <w:r w:rsidR="00B97DF4" w:rsidRPr="00F81461">
        <w:t>(WRRGs)</w:t>
      </w:r>
      <w:r>
        <w:t xml:space="preserve">. </w:t>
      </w:r>
      <w:r w:rsidR="00B97DF4">
        <w:t xml:space="preserve"> </w:t>
      </w:r>
      <w:r>
        <w:t>Both</w:t>
      </w:r>
      <w:r w:rsidR="00B97DF4">
        <w:t xml:space="preserve"> are available from the </w:t>
      </w:r>
      <w:hyperlink r:id="rId16" w:history="1">
        <w:r w:rsidRPr="00A3042C">
          <w:rPr>
            <w:rStyle w:val="Hyperlink"/>
          </w:rPr>
          <w:t>Conflict of Interest</w:t>
        </w:r>
      </w:hyperlink>
      <w:r>
        <w:t xml:space="preserve"> </w:t>
      </w:r>
      <w:r w:rsidR="00B97DF4">
        <w:t xml:space="preserve">support module on </w:t>
      </w:r>
      <w:r w:rsidR="00B97DF4" w:rsidRPr="00611762">
        <w:t>On Board</w:t>
      </w:r>
      <w:r w:rsidR="00B97DF4" w:rsidRPr="00D01A78">
        <w:t>.</w:t>
      </w:r>
    </w:p>
    <w:p w:rsidR="00B97DF4" w:rsidRPr="00D01A78" w:rsidRDefault="00B97DF4" w:rsidP="00C43860">
      <w:pPr>
        <w:pStyle w:val="Heading1"/>
        <w:spacing w:line="240" w:lineRule="auto"/>
        <w:ind w:left="425" w:hanging="425"/>
      </w:pPr>
      <w:r>
        <w:t xml:space="preserve">3.  </w:t>
      </w:r>
      <w:r w:rsidR="005B55D9">
        <w:t>Duty</w:t>
      </w:r>
      <w:r w:rsidR="00C43860">
        <w:t xml:space="preserve"> </w:t>
      </w:r>
      <w:r w:rsidRPr="002E3028">
        <w:t>as a board</w:t>
      </w:r>
      <w:r w:rsidRPr="00F81461">
        <w:rPr>
          <w:b/>
        </w:rPr>
        <w:t xml:space="preserve"> </w:t>
      </w:r>
      <w:r w:rsidRPr="002E3028">
        <w:t>member</w:t>
      </w:r>
    </w:p>
    <w:p w:rsidR="00B97DF4" w:rsidRPr="00D01A78" w:rsidRDefault="00B97DF4" w:rsidP="00B97DF4">
      <w:pPr>
        <w:spacing w:before="60"/>
      </w:pPr>
      <w:r>
        <w:t>As a board member, y</w:t>
      </w:r>
      <w:r w:rsidRPr="00D01A78">
        <w:t xml:space="preserve">ou </w:t>
      </w:r>
      <w:r w:rsidR="005B55D9">
        <w:t xml:space="preserve">have a duty to act in the </w:t>
      </w:r>
      <w:r w:rsidR="005B55D9" w:rsidRPr="005B55D9">
        <w:rPr>
          <w:b/>
        </w:rPr>
        <w:t>public interest</w:t>
      </w:r>
      <w:r w:rsidR="005B55D9">
        <w:t xml:space="preserve"> (i.e. the best interests of the agency).  You </w:t>
      </w:r>
      <w:r w:rsidRPr="00D01A78">
        <w:t>should ensure that:</w:t>
      </w:r>
    </w:p>
    <w:p w:rsidR="00B97DF4" w:rsidRPr="00D01A78" w:rsidRDefault="00B97DF4" w:rsidP="00B97DF4">
      <w:pPr>
        <w:pStyle w:val="ListBullet"/>
        <w:tabs>
          <w:tab w:val="clear" w:pos="567"/>
        </w:tabs>
        <w:spacing w:after="60"/>
      </w:pPr>
      <w:r w:rsidRPr="00D01A78">
        <w:t>your boar</w:t>
      </w:r>
      <w:r>
        <w:t>d has a suitable policy in place</w:t>
      </w:r>
      <w:r w:rsidRPr="00D01A78">
        <w:t xml:space="preserve"> </w:t>
      </w:r>
    </w:p>
    <w:p w:rsidR="00B97DF4" w:rsidRPr="00D01A78" w:rsidRDefault="00B97DF4" w:rsidP="00B97DF4">
      <w:pPr>
        <w:pStyle w:val="ListBullet"/>
        <w:tabs>
          <w:tab w:val="clear" w:pos="567"/>
        </w:tabs>
        <w:spacing w:after="60"/>
      </w:pPr>
      <w:r>
        <w:t xml:space="preserve">the board’s culture fosters </w:t>
      </w:r>
      <w:r w:rsidRPr="00D01A78">
        <w:t xml:space="preserve">compliance with </w:t>
      </w:r>
      <w:r>
        <w:t>its</w:t>
      </w:r>
      <w:r w:rsidRPr="00D01A78">
        <w:t xml:space="preserve"> policy </w:t>
      </w:r>
    </w:p>
    <w:p w:rsidR="00B97DF4" w:rsidRPr="00D01A78" w:rsidRDefault="00B97DF4" w:rsidP="00B97DF4">
      <w:pPr>
        <w:pStyle w:val="ListBullet"/>
        <w:tabs>
          <w:tab w:val="clear" w:pos="567"/>
        </w:tabs>
        <w:spacing w:after="60"/>
        <w:rPr>
          <w:sz w:val="20"/>
          <w:szCs w:val="20"/>
        </w:rPr>
      </w:pPr>
      <w:r w:rsidRPr="00D01A78">
        <w:t xml:space="preserve">you personally comply with the policy at all times. </w:t>
      </w:r>
    </w:p>
    <w:p w:rsidR="00B97DF4" w:rsidRPr="00BE41F4" w:rsidRDefault="00B97DF4" w:rsidP="00047E58">
      <w:pPr>
        <w:pStyle w:val="Heading1"/>
      </w:pPr>
      <w:r w:rsidRPr="00047E58">
        <w:lastRenderedPageBreak/>
        <w:t>4.  Register</w:t>
      </w:r>
      <w:r w:rsidR="00B90C60">
        <w:t xml:space="preserve"> of I</w:t>
      </w:r>
      <w:r w:rsidRPr="00BE41F4">
        <w:t>nterests</w:t>
      </w:r>
    </w:p>
    <w:p w:rsidR="00573FD7" w:rsidRDefault="00B97DF4" w:rsidP="00B97DF4">
      <w:pPr>
        <w:spacing w:before="60"/>
      </w:pPr>
      <w:r w:rsidRPr="00D01A78">
        <w:t xml:space="preserve">Your agency should have a </w:t>
      </w:r>
      <w:r w:rsidRPr="00D01A78">
        <w:rPr>
          <w:i/>
        </w:rPr>
        <w:t>Register of Interests</w:t>
      </w:r>
      <w:r w:rsidRPr="00D01A78">
        <w:t xml:space="preserve"> </w:t>
      </w:r>
      <w:r w:rsidRPr="00F81461">
        <w:t>(register)</w:t>
      </w:r>
      <w:r w:rsidRPr="00D01A78">
        <w:t xml:space="preserve"> in which the interests of board members </w:t>
      </w:r>
      <w:r w:rsidRPr="00EB1B1C">
        <w:t>that may give rise to a conflict of interest</w:t>
      </w:r>
      <w:r w:rsidRPr="00D01A78">
        <w:rPr>
          <w:b/>
        </w:rPr>
        <w:t xml:space="preserve"> </w:t>
      </w:r>
      <w:r w:rsidRPr="00D01A78">
        <w:t>are recorded.</w:t>
      </w:r>
      <w:r>
        <w:t xml:space="preserve">  </w:t>
      </w:r>
    </w:p>
    <w:p w:rsidR="00B97DF4" w:rsidRDefault="00B97DF4" w:rsidP="00B97DF4">
      <w:pPr>
        <w:spacing w:before="60"/>
      </w:pPr>
      <w:r w:rsidRPr="00D01A78">
        <w:t xml:space="preserve">You are responsible for ensuring that </w:t>
      </w:r>
      <w:r w:rsidR="007A55AB">
        <w:t>the</w:t>
      </w:r>
      <w:r w:rsidRPr="00D01A78">
        <w:t xml:space="preserve"> </w:t>
      </w:r>
      <w:r w:rsidR="003E1D07">
        <w:t>entries</w:t>
      </w:r>
      <w:r w:rsidRPr="00D01A78">
        <w:t xml:space="preserve"> </w:t>
      </w:r>
      <w:r w:rsidR="00732655">
        <w:t>relating to you</w:t>
      </w:r>
      <w:r w:rsidR="007A55AB">
        <w:t xml:space="preserve"> </w:t>
      </w:r>
      <w:r w:rsidRPr="00D01A78">
        <w:t xml:space="preserve">are </w:t>
      </w:r>
      <w:r>
        <w:t>correct</w:t>
      </w:r>
      <w:r w:rsidRPr="00D01A78">
        <w:t xml:space="preserve"> and complete.</w:t>
      </w:r>
    </w:p>
    <w:p w:rsidR="00FE73C4" w:rsidRPr="00D01A78" w:rsidRDefault="00FE73C4" w:rsidP="00B97DF4">
      <w:pPr>
        <w:spacing w:before="60"/>
      </w:pPr>
      <w:r>
        <w:t>The chair will ensure that the register is stored in a manner that maintains the confidentiality of board members.</w:t>
      </w:r>
    </w:p>
    <w:p w:rsidR="00B97DF4" w:rsidRPr="00D01A78" w:rsidRDefault="00B97DF4" w:rsidP="00DD69DA">
      <w:pPr>
        <w:pStyle w:val="Heading1"/>
        <w:spacing w:line="240" w:lineRule="auto"/>
        <w:ind w:left="425" w:hanging="425"/>
      </w:pPr>
      <w:r>
        <w:t xml:space="preserve">5.  </w:t>
      </w:r>
      <w:r w:rsidR="00934A28">
        <w:t>Declaration</w:t>
      </w:r>
      <w:r w:rsidRPr="00D01A78">
        <w:t xml:space="preserve"> of Private Interests</w:t>
      </w:r>
    </w:p>
    <w:p w:rsidR="00B97DF4" w:rsidRDefault="00B97DF4" w:rsidP="00B97DF4">
      <w:pPr>
        <w:spacing w:before="60"/>
      </w:pPr>
      <w:r w:rsidRPr="00D01A78">
        <w:t xml:space="preserve">When you are appointed </w:t>
      </w:r>
      <w:r>
        <w:t xml:space="preserve">(or reappointed) </w:t>
      </w:r>
      <w:r w:rsidRPr="00D01A78">
        <w:t xml:space="preserve">to the board the chair will give you a </w:t>
      </w:r>
      <w:r w:rsidRPr="00D01A78">
        <w:rPr>
          <w:i/>
        </w:rPr>
        <w:t>Declaration of Private Interest</w:t>
      </w:r>
      <w:r w:rsidRPr="00D01A78">
        <w:t xml:space="preserve">s </w:t>
      </w:r>
      <w:r w:rsidRPr="00EB1B1C">
        <w:t>(DOPI)</w:t>
      </w:r>
      <w:r w:rsidRPr="00D01A78">
        <w:t xml:space="preserve"> form to complete. You must declare all interests (direct and indirect) that may give rise to a conflict of interest. </w:t>
      </w:r>
      <w:r>
        <w:t xml:space="preserve"> </w:t>
      </w:r>
      <w:r w:rsidRPr="00D01A78">
        <w:t>Return the signed form to the chair, who will arrange for your interests to be recorded in the register.</w:t>
      </w:r>
      <w:r>
        <w:t xml:space="preserve"> </w:t>
      </w:r>
    </w:p>
    <w:p w:rsidR="00B97DF4" w:rsidRDefault="00B97DF4" w:rsidP="00B97DF4">
      <w:pPr>
        <w:spacing w:before="60"/>
      </w:pPr>
      <w:r w:rsidRPr="00D01A78">
        <w:t xml:space="preserve">You must update your declaration annually. If your interests change in the meantime, </w:t>
      </w:r>
      <w:r>
        <w:t xml:space="preserve">also </w:t>
      </w:r>
      <w:r w:rsidRPr="00D01A78">
        <w:t>update your declaration</w:t>
      </w:r>
      <w:r w:rsidR="00873DC4">
        <w:t xml:space="preserve">, </w:t>
      </w:r>
      <w:r w:rsidRPr="00D01A78">
        <w:t xml:space="preserve">unless the change </w:t>
      </w:r>
      <w:r w:rsidR="002B3DC7">
        <w:t>i</w:t>
      </w:r>
      <w:r w:rsidRPr="00D01A78">
        <w:t xml:space="preserve">s already recorded in the register </w:t>
      </w:r>
      <w:r>
        <w:t xml:space="preserve">following </w:t>
      </w:r>
      <w:r w:rsidRPr="00D01A78">
        <w:t xml:space="preserve">a </w:t>
      </w:r>
      <w:r>
        <w:t xml:space="preserve">verbal </w:t>
      </w:r>
      <w:r w:rsidR="00873DC4">
        <w:t>declaration at a board meeting</w:t>
      </w:r>
      <w:r w:rsidRPr="00D01A78">
        <w:t xml:space="preserve">.  </w:t>
      </w:r>
    </w:p>
    <w:p w:rsidR="00B97DF4" w:rsidRDefault="00B97DF4" w:rsidP="00B97DF4">
      <w:pPr>
        <w:spacing w:before="60"/>
      </w:pPr>
      <w:r>
        <w:t xml:space="preserve">The chair will ensure that your declaration is </w:t>
      </w:r>
      <w:r w:rsidRPr="00D01A78">
        <w:t xml:space="preserve">stored and used in accordance with the </w:t>
      </w:r>
      <w:r w:rsidRPr="00D01A78">
        <w:rPr>
          <w:i/>
        </w:rPr>
        <w:t>Privacy and Data Protection Act 2014</w:t>
      </w:r>
      <w:r w:rsidRPr="00D01A78">
        <w:t xml:space="preserve"> and the </w:t>
      </w:r>
      <w:r w:rsidRPr="00D01A78">
        <w:rPr>
          <w:i/>
        </w:rPr>
        <w:t>Public Records Act 1973</w:t>
      </w:r>
      <w:r>
        <w:t>.</w:t>
      </w:r>
    </w:p>
    <w:p w:rsidR="00E31B73" w:rsidRDefault="00E31B73" w:rsidP="00E31B73">
      <w:pPr>
        <w:pStyle w:val="Heading2"/>
      </w:pPr>
      <w:r>
        <w:t>Note</w:t>
      </w:r>
      <w:r w:rsidR="00B97DF4">
        <w:t xml:space="preserve"> </w:t>
      </w:r>
    </w:p>
    <w:p w:rsidR="00906201" w:rsidRDefault="00906201" w:rsidP="00724FD9">
      <w:pPr>
        <w:pStyle w:val="ListBullet"/>
      </w:pPr>
      <w:r>
        <w:t xml:space="preserve">DELWP </w:t>
      </w:r>
      <w:r w:rsidR="000E3D14">
        <w:t>recently issued</w:t>
      </w:r>
      <w:r>
        <w:t xml:space="preserve"> a DOPI form for use by its agencies.</w:t>
      </w:r>
      <w:r>
        <w:rPr>
          <w:rStyle w:val="FootnoteReference"/>
        </w:rPr>
        <w:footnoteReference w:id="1"/>
      </w:r>
      <w:r>
        <w:t xml:space="preserve"> This is a simpler form than for most </w:t>
      </w:r>
      <w:r w:rsidR="003056B5">
        <w:br/>
      </w:r>
      <w:r>
        <w:t xml:space="preserve">Victorian public sector boards. </w:t>
      </w:r>
    </w:p>
    <w:p w:rsidR="00BF7625" w:rsidRDefault="00BF7625" w:rsidP="00724FD9">
      <w:pPr>
        <w:pStyle w:val="ListBullet"/>
      </w:pPr>
      <w:r>
        <w:t xml:space="preserve">If you are a board member of a </w:t>
      </w:r>
      <w:r>
        <w:rPr>
          <w:b/>
        </w:rPr>
        <w:t>water corporation</w:t>
      </w:r>
      <w:r>
        <w:t xml:space="preserve"> or </w:t>
      </w:r>
      <w:r w:rsidRPr="00BF7625">
        <w:rPr>
          <w:b/>
        </w:rPr>
        <w:t>cat</w:t>
      </w:r>
      <w:r>
        <w:rPr>
          <w:b/>
        </w:rPr>
        <w:t>chment management authority</w:t>
      </w:r>
      <w:r w:rsidR="00F239BE">
        <w:t xml:space="preserve"> (CMA),</w:t>
      </w:r>
      <w:r>
        <w:t xml:space="preserve"> </w:t>
      </w:r>
      <w:r w:rsidR="00D86288">
        <w:t xml:space="preserve">attach </w:t>
      </w:r>
      <w:r>
        <w:t xml:space="preserve">your ‘primary return’ </w:t>
      </w:r>
      <w:r w:rsidR="00D86288">
        <w:t>or</w:t>
      </w:r>
      <w:r>
        <w:t xml:space="preserve"> ‘ordinary r</w:t>
      </w:r>
      <w:r w:rsidR="00D86288">
        <w:t>eturn</w:t>
      </w:r>
      <w:r>
        <w:t xml:space="preserve">’ to </w:t>
      </w:r>
      <w:r w:rsidR="008C6BA1">
        <w:t>your annual</w:t>
      </w:r>
      <w:r>
        <w:t xml:space="preserve"> DOPI.</w:t>
      </w:r>
      <w:r w:rsidR="00843B17">
        <w:rPr>
          <w:rStyle w:val="FootnoteReference"/>
        </w:rPr>
        <w:footnoteReference w:id="2"/>
      </w:r>
    </w:p>
    <w:p w:rsidR="00BF7625" w:rsidRDefault="00342B3E" w:rsidP="00724FD9">
      <w:pPr>
        <w:pStyle w:val="ListBullet"/>
      </w:pPr>
      <w:r>
        <w:t>Some</w:t>
      </w:r>
      <w:r w:rsidR="00AD6CAB">
        <w:t xml:space="preserve"> </w:t>
      </w:r>
      <w:r w:rsidR="00167A3F">
        <w:t xml:space="preserve">other </w:t>
      </w:r>
      <w:r w:rsidR="00B97DF4">
        <w:t xml:space="preserve">agencies </w:t>
      </w:r>
      <w:r w:rsidR="00AD6CAB">
        <w:t xml:space="preserve">also </w:t>
      </w:r>
      <w:r w:rsidR="002973DD">
        <w:t>have additional ‘</w:t>
      </w:r>
      <w:r w:rsidR="00B97DF4">
        <w:t>decla</w:t>
      </w:r>
      <w:r w:rsidR="002973DD">
        <w:t>ration’</w:t>
      </w:r>
      <w:r w:rsidR="00B97DF4">
        <w:t xml:space="preserve"> requirements in their establishing Act.  </w:t>
      </w:r>
      <w:r w:rsidR="00E31B73">
        <w:t xml:space="preserve">Check with your agency. </w:t>
      </w:r>
      <w:r w:rsidR="00BF7625">
        <w:t xml:space="preserve"> </w:t>
      </w:r>
    </w:p>
    <w:p w:rsidR="00B97DF4" w:rsidRPr="00D01A78" w:rsidRDefault="00CC7B29" w:rsidP="00CC7B29">
      <w:pPr>
        <w:pStyle w:val="Heading1"/>
        <w:spacing w:before="0"/>
      </w:pPr>
      <w:r>
        <w:br w:type="column"/>
      </w:r>
      <w:r w:rsidR="00B97DF4">
        <w:lastRenderedPageBreak/>
        <w:t>6.  At the board meeting</w:t>
      </w:r>
    </w:p>
    <w:p w:rsidR="00B97DF4" w:rsidRDefault="00B97DF4" w:rsidP="00E81EF5">
      <w:pPr>
        <w:pStyle w:val="Heading2"/>
      </w:pPr>
      <w:r>
        <w:t>Confirm</w:t>
      </w:r>
      <w:r w:rsidR="00B9285E">
        <w:t xml:space="preserve"> </w:t>
      </w:r>
      <w:r w:rsidR="00182500">
        <w:t>your interests in the register</w:t>
      </w:r>
    </w:p>
    <w:p w:rsidR="00B97DF4" w:rsidRDefault="00B97DF4" w:rsidP="00B97DF4">
      <w:r w:rsidRPr="00D01A78">
        <w:t xml:space="preserve">The chair will bring the </w:t>
      </w:r>
      <w:r w:rsidRPr="00D01A78">
        <w:rPr>
          <w:i/>
        </w:rPr>
        <w:t>Register of Interests</w:t>
      </w:r>
      <w:r w:rsidRPr="00D01A78">
        <w:t xml:space="preserve"> to </w:t>
      </w:r>
      <w:r>
        <w:t xml:space="preserve">all </w:t>
      </w:r>
      <w:r w:rsidRPr="00D01A78">
        <w:t xml:space="preserve">board meetings.  At the start of each meeting, </w:t>
      </w:r>
      <w:r w:rsidR="00A35096">
        <w:t xml:space="preserve">he or </w:t>
      </w:r>
      <w:r>
        <w:t xml:space="preserve">she will ask </w:t>
      </w:r>
      <w:r w:rsidRPr="00D01A78">
        <w:t xml:space="preserve">you </w:t>
      </w:r>
      <w:r>
        <w:t xml:space="preserve">and the other board members </w:t>
      </w:r>
      <w:r w:rsidRPr="00D01A78">
        <w:t>to confirm that your interests as recorded in the register are complete</w:t>
      </w:r>
      <w:r>
        <w:t xml:space="preserve"> and correct</w:t>
      </w:r>
      <w:r w:rsidRPr="00D01A78">
        <w:t xml:space="preserve">. </w:t>
      </w:r>
      <w:r>
        <w:t xml:space="preserve"> </w:t>
      </w:r>
    </w:p>
    <w:p w:rsidR="00B97DF4" w:rsidRDefault="00B97DF4" w:rsidP="00B97DF4">
      <w:r w:rsidRPr="00D01A78">
        <w:t xml:space="preserve">If there are no changes, the minutes will note that ‘all board members present </w:t>
      </w:r>
      <w:r>
        <w:t>con</w:t>
      </w:r>
      <w:r w:rsidRPr="00D01A78">
        <w:t>firmed that their entr</w:t>
      </w:r>
      <w:r w:rsidR="00FA01D6">
        <w:t>ies</w:t>
      </w:r>
      <w:r w:rsidRPr="00D01A78">
        <w:t xml:space="preserve"> in the </w:t>
      </w:r>
      <w:r w:rsidRPr="00D01A78">
        <w:rPr>
          <w:i/>
        </w:rPr>
        <w:t>Register of Interests</w:t>
      </w:r>
      <w:r w:rsidRPr="00D01A78">
        <w:t xml:space="preserve"> </w:t>
      </w:r>
      <w:r w:rsidR="00FA01D6">
        <w:t>are</w:t>
      </w:r>
      <w:r w:rsidRPr="00D01A78">
        <w:t xml:space="preserve"> complete and correct’</w:t>
      </w:r>
      <w:r>
        <w:t xml:space="preserve">.  </w:t>
      </w:r>
    </w:p>
    <w:p w:rsidR="00B97DF4" w:rsidRPr="00D01A78" w:rsidRDefault="00B97DF4" w:rsidP="00B97DF4">
      <w:r w:rsidRPr="00D01A78">
        <w:t>If you have new interests</w:t>
      </w:r>
      <w:r>
        <w:t xml:space="preserve"> that are </w:t>
      </w:r>
      <w:r w:rsidRPr="00D01A78">
        <w:t xml:space="preserve">not yet included </w:t>
      </w:r>
      <w:r>
        <w:t xml:space="preserve">in the register </w:t>
      </w:r>
      <w:r w:rsidRPr="00D01A78">
        <w:t>you must declare them</w:t>
      </w:r>
      <w:r>
        <w:t>, so that they can be recorded in the minutes. The</w:t>
      </w:r>
      <w:r w:rsidRPr="00D01A78">
        <w:t xml:space="preserve"> chair will</w:t>
      </w:r>
      <w:r>
        <w:t xml:space="preserve"> then </w:t>
      </w:r>
      <w:r w:rsidRPr="00D01A78">
        <w:t>arr</w:t>
      </w:r>
      <w:r>
        <w:t>ange for them to be entered into</w:t>
      </w:r>
      <w:r w:rsidRPr="00D01A78">
        <w:t xml:space="preserve"> the register.</w:t>
      </w:r>
    </w:p>
    <w:p w:rsidR="00B97DF4" w:rsidRPr="00D01A78" w:rsidRDefault="00B97DF4" w:rsidP="00262D53">
      <w:pPr>
        <w:pStyle w:val="Heading2"/>
      </w:pPr>
      <w:r>
        <w:t>D</w:t>
      </w:r>
      <w:r w:rsidR="00131FA8">
        <w:t xml:space="preserve">eclare any </w:t>
      </w:r>
      <w:r w:rsidRPr="00D01A78">
        <w:t xml:space="preserve">conflict </w:t>
      </w:r>
      <w:r w:rsidR="00131FA8">
        <w:t>with an agenda item</w:t>
      </w:r>
    </w:p>
    <w:p w:rsidR="00B97DF4" w:rsidRPr="00F267E1" w:rsidRDefault="00B97DF4" w:rsidP="00B97DF4">
      <w:r w:rsidRPr="00F267E1">
        <w:t>Conflicts of interest should be avoided where possible. If a conflict exists, it must</w:t>
      </w:r>
      <w:r w:rsidR="0000684F">
        <w:t xml:space="preserve"> be declared and managed in the </w:t>
      </w:r>
      <w:r w:rsidRPr="0000684F">
        <w:t>public interest.</w:t>
      </w:r>
    </w:p>
    <w:p w:rsidR="00B97DF4" w:rsidRPr="009D2690" w:rsidRDefault="00B97DF4" w:rsidP="00B97DF4">
      <w:pPr>
        <w:rPr>
          <w:i/>
        </w:rPr>
      </w:pPr>
      <w:r w:rsidRPr="00D01A78">
        <w:t>At the start of each b</w:t>
      </w:r>
      <w:r>
        <w:t>oard meeting</w:t>
      </w:r>
      <w:r w:rsidR="00AC3B1A">
        <w:t>,</w:t>
      </w:r>
      <w:r>
        <w:t xml:space="preserve"> the chair will ask you and the other board </w:t>
      </w:r>
      <w:r w:rsidRPr="00D01A78">
        <w:t xml:space="preserve">members </w:t>
      </w:r>
      <w:r>
        <w:t xml:space="preserve">present </w:t>
      </w:r>
      <w:r w:rsidRPr="00D01A78">
        <w:t>to d</w:t>
      </w:r>
      <w:r>
        <w:t>eclare any interest</w:t>
      </w:r>
      <w:r w:rsidRPr="00D01A78">
        <w:t xml:space="preserve"> in relation to any item on the agenda.  You must declare any </w:t>
      </w:r>
      <w:r w:rsidR="00AC3B1A">
        <w:t>interest</w:t>
      </w:r>
      <w:r w:rsidRPr="009D2690">
        <w:rPr>
          <w:i/>
        </w:rPr>
        <w:t>, even if it is already recorded in the register.</w:t>
      </w:r>
    </w:p>
    <w:p w:rsidR="00B97DF4" w:rsidRDefault="00042EE4" w:rsidP="00B97DF4">
      <w:r>
        <w:t>D</w:t>
      </w:r>
      <w:r w:rsidR="00B97DF4" w:rsidRPr="00D01A78">
        <w:t xml:space="preserve">uring the meeting, </w:t>
      </w:r>
      <w:r>
        <w:t xml:space="preserve">if </w:t>
      </w:r>
      <w:r w:rsidR="00B97DF4" w:rsidRPr="00D01A78">
        <w:t xml:space="preserve">you realise </w:t>
      </w:r>
      <w:r w:rsidR="00167A3F">
        <w:t xml:space="preserve">that </w:t>
      </w:r>
      <w:r w:rsidR="00B97DF4" w:rsidRPr="00D01A78">
        <w:t xml:space="preserve">you have an undeclared interest, declare it immediately.  Similarly, if you believe </w:t>
      </w:r>
      <w:r w:rsidR="00167A3F">
        <w:t xml:space="preserve">that </w:t>
      </w:r>
      <w:r w:rsidR="00B97DF4" w:rsidRPr="00D01A78">
        <w:t xml:space="preserve">another board member may have an undeclared interest, raise </w:t>
      </w:r>
      <w:r w:rsidR="00B97DF4">
        <w:t>a query</w:t>
      </w:r>
      <w:r w:rsidR="00B97DF4" w:rsidRPr="00D01A78">
        <w:t xml:space="preserve"> to enable </w:t>
      </w:r>
      <w:r w:rsidR="00B97DF4">
        <w:t>him/her</w:t>
      </w:r>
      <w:r w:rsidR="00B97DF4" w:rsidRPr="00D01A78">
        <w:t xml:space="preserve"> to declare the interest, if it exists.</w:t>
      </w:r>
    </w:p>
    <w:p w:rsidR="00B97DF4" w:rsidRDefault="008F0951" w:rsidP="00816097">
      <w:r>
        <w:t>Note: f</w:t>
      </w:r>
      <w:r w:rsidR="00B97DF4">
        <w:t xml:space="preserve">or some agencies, the establishing Act </w:t>
      </w:r>
      <w:r w:rsidR="002757E7">
        <w:t>has</w:t>
      </w:r>
      <w:r w:rsidR="00B97DF4">
        <w:t xml:space="preserve"> additional requirements - e.g. </w:t>
      </w:r>
      <w:r w:rsidR="002757E7">
        <w:t xml:space="preserve">that </w:t>
      </w:r>
      <w:r w:rsidR="00B97DF4">
        <w:t xml:space="preserve">board members must notify the chair of any </w:t>
      </w:r>
      <w:r w:rsidR="002757E7">
        <w:t>interest in relation to</w:t>
      </w:r>
      <w:r w:rsidR="00B97DF4">
        <w:t xml:space="preserve"> an item on the agenda even if they will not be present at the meeting.  </w:t>
      </w:r>
      <w:r w:rsidR="00AC4BF7">
        <w:t>Any such</w:t>
      </w:r>
      <w:r w:rsidR="00B97DF4" w:rsidRPr="0093478B">
        <w:t xml:space="preserve"> requirements should be included in </w:t>
      </w:r>
      <w:r w:rsidR="00AC4BF7">
        <w:t>your</w:t>
      </w:r>
      <w:r w:rsidR="00B97DF4">
        <w:t xml:space="preserve"> board’s</w:t>
      </w:r>
      <w:r w:rsidR="00B97DF4" w:rsidRPr="0093478B">
        <w:t xml:space="preserve"> policy.  The model policy can be </w:t>
      </w:r>
      <w:r w:rsidR="00B97DF4" w:rsidRPr="009D2690">
        <w:t>adapted</w:t>
      </w:r>
      <w:r w:rsidR="00B97DF4" w:rsidRPr="0093478B">
        <w:t xml:space="preserve"> </w:t>
      </w:r>
      <w:r w:rsidR="00AC4BF7">
        <w:t>to do so</w:t>
      </w:r>
      <w:r w:rsidR="00B97DF4" w:rsidRPr="0093478B">
        <w:t>.</w:t>
      </w:r>
    </w:p>
    <w:p w:rsidR="008F0951" w:rsidRPr="0093478B" w:rsidRDefault="008F0951" w:rsidP="00816097"/>
    <w:p w:rsidR="00B97DF4" w:rsidRPr="00D01A78" w:rsidRDefault="008F0951" w:rsidP="00567451">
      <w:pPr>
        <w:pStyle w:val="Heading1"/>
        <w:spacing w:before="0" w:line="240" w:lineRule="auto"/>
      </w:pPr>
      <w:r>
        <w:br w:type="column"/>
      </w:r>
      <w:r w:rsidR="005B0383">
        <w:lastRenderedPageBreak/>
        <w:t xml:space="preserve">7.  </w:t>
      </w:r>
      <w:r w:rsidR="00D46F0A">
        <w:t>Managing a</w:t>
      </w:r>
      <w:r w:rsidR="00B97DF4" w:rsidRPr="00D01A78">
        <w:t xml:space="preserve"> conflict</w:t>
      </w:r>
      <w:r w:rsidR="00B97DF4">
        <w:t xml:space="preserve"> of interest</w:t>
      </w:r>
    </w:p>
    <w:p w:rsidR="00B97DF4" w:rsidRPr="00D01A78" w:rsidRDefault="007F620C" w:rsidP="00DD4B14">
      <w:r>
        <w:t>T</w:t>
      </w:r>
      <w:r w:rsidR="00B97DF4" w:rsidRPr="00D01A78">
        <w:t>he board (not the individual board member) determine</w:t>
      </w:r>
      <w:r>
        <w:t>s</w:t>
      </w:r>
      <w:r w:rsidR="00B97DF4" w:rsidRPr="00D01A78">
        <w:t xml:space="preserve"> how a conflict of interest will be </w:t>
      </w:r>
      <w:r w:rsidR="00D46F0A">
        <w:t>managed</w:t>
      </w:r>
      <w:r w:rsidR="008F0951">
        <w:t xml:space="preserve"> in the public interest</w:t>
      </w:r>
      <w:r w:rsidR="00B97DF4" w:rsidRPr="00D01A78">
        <w:t>.</w:t>
      </w:r>
      <w:r w:rsidR="00B97DF4">
        <w:t xml:space="preserve">  </w:t>
      </w:r>
      <w:r>
        <w:t>It</w:t>
      </w:r>
      <w:r w:rsidR="00B97DF4">
        <w:t xml:space="preserve"> should commence by deciding whether the </w:t>
      </w:r>
      <w:r w:rsidR="00F267E1">
        <w:t xml:space="preserve">conflict is </w:t>
      </w:r>
      <w:r w:rsidR="00F267E1">
        <w:rPr>
          <w:b/>
        </w:rPr>
        <w:t>material</w:t>
      </w:r>
      <w:r w:rsidR="00B97DF4">
        <w:t xml:space="preserve"> </w:t>
      </w:r>
      <w:r w:rsidR="008F0951">
        <w:t>(serious</w:t>
      </w:r>
      <w:r w:rsidR="008F0951">
        <w:rPr>
          <w:rFonts w:cs="Arial"/>
        </w:rPr>
        <w:t>)</w:t>
      </w:r>
      <w:r w:rsidR="00B97DF4">
        <w:t>.</w:t>
      </w:r>
    </w:p>
    <w:p w:rsidR="008659FE" w:rsidRDefault="00B97DF4" w:rsidP="00DD4B14">
      <w:r w:rsidRPr="00D01A78">
        <w:t xml:space="preserve">The </w:t>
      </w:r>
      <w:r w:rsidRPr="008659FE">
        <w:t>standard</w:t>
      </w:r>
      <w:r w:rsidRPr="00D01A78">
        <w:rPr>
          <w:b/>
        </w:rPr>
        <w:t xml:space="preserve"> </w:t>
      </w:r>
      <w:r w:rsidRPr="008659FE">
        <w:t>procedure</w:t>
      </w:r>
      <w:r w:rsidRPr="00D01A78">
        <w:t xml:space="preserve"> for </w:t>
      </w:r>
      <w:r w:rsidR="00C057C3">
        <w:t>managing</w:t>
      </w:r>
      <w:r w:rsidRPr="00D01A78">
        <w:t xml:space="preserve"> a </w:t>
      </w:r>
      <w:r>
        <w:t xml:space="preserve">material </w:t>
      </w:r>
      <w:r w:rsidRPr="00D01A78">
        <w:t>co</w:t>
      </w:r>
      <w:r w:rsidR="00F267E1">
        <w:t xml:space="preserve">nflict is </w:t>
      </w:r>
      <w:r w:rsidR="00F267E1">
        <w:rPr>
          <w:b/>
        </w:rPr>
        <w:t>remove</w:t>
      </w:r>
      <w:r w:rsidRPr="00D01A78">
        <w:t xml:space="preserve"> – i.e. the board member with the conflict leave</w:t>
      </w:r>
      <w:r w:rsidR="00C057C3">
        <w:t>s</w:t>
      </w:r>
      <w:r w:rsidRPr="00D01A78">
        <w:t xml:space="preserve"> the room and </w:t>
      </w:r>
      <w:r w:rsidR="00C057C3">
        <w:t xml:space="preserve">does </w:t>
      </w:r>
      <w:r w:rsidRPr="00D01A78">
        <w:t xml:space="preserve">not take part in any discussion or decision-making on the ‘conflicted’ issue. </w:t>
      </w:r>
      <w:r w:rsidR="008659FE">
        <w:t xml:space="preserve"> </w:t>
      </w:r>
      <w:r w:rsidR="00CE09A5">
        <w:t>This is basic good governance practice for all DELWP agencies.</w:t>
      </w:r>
    </w:p>
    <w:p w:rsidR="008659FE" w:rsidRDefault="008659FE" w:rsidP="00DD4B14">
      <w:r>
        <w:t>For a non-material conflict, it is more likely that a ‘lesser’ option will be in the public interest.</w:t>
      </w:r>
    </w:p>
    <w:p w:rsidR="008659FE" w:rsidRDefault="008659FE" w:rsidP="00DD4B14">
      <w:pPr>
        <w:pStyle w:val="ListBullet"/>
      </w:pPr>
      <w:r>
        <w:t xml:space="preserve">For details of the </w:t>
      </w:r>
      <w:r w:rsidRPr="008659FE">
        <w:rPr>
          <w:b/>
        </w:rPr>
        <w:t>options</w:t>
      </w:r>
      <w:r>
        <w:t xml:space="preserve"> available for managing a conflict of interest</w:t>
      </w:r>
      <w:r w:rsidR="00CE09A5">
        <w:t>,</w:t>
      </w:r>
      <w:r>
        <w:t xml:space="preserve"> see </w:t>
      </w:r>
      <w:r w:rsidRPr="006842B6">
        <w:rPr>
          <w:u w:val="single"/>
        </w:rPr>
        <w:t>Appendix 2</w:t>
      </w:r>
      <w:r>
        <w:t>.</w:t>
      </w:r>
    </w:p>
    <w:p w:rsidR="009D2690" w:rsidRDefault="008659FE" w:rsidP="00DD4B14">
      <w:pPr>
        <w:pStyle w:val="ListBullet"/>
      </w:pPr>
      <w:r>
        <w:t>For details of t</w:t>
      </w:r>
      <w:r w:rsidR="00B97DF4" w:rsidRPr="00D01A78">
        <w:t xml:space="preserve">he </w:t>
      </w:r>
      <w:r w:rsidR="00B97DF4" w:rsidRPr="00725EA5">
        <w:rPr>
          <w:b/>
        </w:rPr>
        <w:t>process</w:t>
      </w:r>
      <w:r w:rsidR="00B97DF4" w:rsidRPr="00D01A78">
        <w:t xml:space="preserve"> for </w:t>
      </w:r>
      <w:r w:rsidR="00B97DF4">
        <w:t>determining</w:t>
      </w:r>
      <w:r w:rsidR="00B97DF4" w:rsidRPr="00D01A78">
        <w:t xml:space="preserve"> </w:t>
      </w:r>
      <w:r w:rsidR="00CE09A5">
        <w:t>which option is in the public interest</w:t>
      </w:r>
      <w:r w:rsidR="00B97DF4">
        <w:t xml:space="preserve"> (including</w:t>
      </w:r>
      <w:r>
        <w:t xml:space="preserve"> the</w:t>
      </w:r>
      <w:r w:rsidR="00B97DF4">
        <w:t xml:space="preserve"> </w:t>
      </w:r>
      <w:r w:rsidR="00B97DF4" w:rsidRPr="005A6192">
        <w:t>criteria</w:t>
      </w:r>
      <w:r w:rsidR="00B97DF4">
        <w:t xml:space="preserve"> for determining </w:t>
      </w:r>
      <w:r w:rsidR="00CE09A5">
        <w:t>if</w:t>
      </w:r>
      <w:r w:rsidR="00B97DF4">
        <w:t xml:space="preserve"> the conflict is material)</w:t>
      </w:r>
      <w:r w:rsidR="00CE09A5">
        <w:t>,</w:t>
      </w:r>
      <w:r w:rsidR="00B97DF4">
        <w:t xml:space="preserve"> </w:t>
      </w:r>
      <w:r>
        <w:t>see</w:t>
      </w:r>
      <w:r w:rsidR="00B97DF4" w:rsidRPr="00D01A78">
        <w:t xml:space="preserve"> </w:t>
      </w:r>
      <w:r w:rsidR="00B97DF4" w:rsidRPr="006842B6">
        <w:rPr>
          <w:u w:val="single"/>
        </w:rPr>
        <w:t>Appendix 3</w:t>
      </w:r>
      <w:r w:rsidR="00B97DF4" w:rsidRPr="009D2690">
        <w:t>.</w:t>
      </w:r>
      <w:r w:rsidR="00B97DF4">
        <w:t xml:space="preserve">  </w:t>
      </w:r>
    </w:p>
    <w:p w:rsidR="00B97DF4" w:rsidRDefault="007F620C" w:rsidP="00966E96">
      <w:pPr>
        <w:spacing w:after="140"/>
      </w:pPr>
      <w:r>
        <w:t>S</w:t>
      </w:r>
      <w:r w:rsidR="001F1665">
        <w:t xml:space="preserve">ometimes, an agency’s establishing Act includes requirements </w:t>
      </w:r>
      <w:r>
        <w:t>for</w:t>
      </w:r>
      <w:r w:rsidR="001F1665">
        <w:t xml:space="preserve"> how conflicts of interest must be dealt </w:t>
      </w:r>
      <w:r>
        <w:t xml:space="preserve">with. </w:t>
      </w:r>
      <w:r w:rsidR="001F1665">
        <w:t xml:space="preserve">These are </w:t>
      </w:r>
      <w:r w:rsidR="001F1665" w:rsidRPr="00527A68">
        <w:rPr>
          <w:i/>
        </w:rPr>
        <w:t>minimum</w:t>
      </w:r>
      <w:r w:rsidR="001F1665">
        <w:t xml:space="preserve"> requirements, </w:t>
      </w:r>
      <w:r>
        <w:t>f</w:t>
      </w:r>
      <w:r w:rsidR="00B97DF4">
        <w:t>or example:</w:t>
      </w:r>
    </w:p>
    <w:p w:rsidR="00A774CA" w:rsidRDefault="00A774CA" w:rsidP="00DA0FA6">
      <w:pPr>
        <w:spacing w:after="100"/>
      </w:pPr>
      <w:r>
        <w:t>T</w:t>
      </w:r>
      <w:r w:rsidRPr="00D01A78">
        <w:t xml:space="preserve">he </w:t>
      </w:r>
      <w:r w:rsidRPr="00D01A78">
        <w:rPr>
          <w:rStyle w:val="Emphasis-Italics"/>
          <w:rFonts w:cs="Arial"/>
        </w:rPr>
        <w:t>Catchment and Land Protection Act</w:t>
      </w:r>
      <w:r w:rsidRPr="00D01A78">
        <w:t xml:space="preserve"> </w:t>
      </w:r>
      <w:r>
        <w:t xml:space="preserve">prohibits </w:t>
      </w:r>
      <w:r w:rsidRPr="00D01A78">
        <w:t>board member</w:t>
      </w:r>
      <w:r>
        <w:t>s</w:t>
      </w:r>
      <w:r w:rsidRPr="00D01A78">
        <w:t xml:space="preserve"> </w:t>
      </w:r>
      <w:r>
        <w:t>of C</w:t>
      </w:r>
      <w:r w:rsidR="00A83AEB">
        <w:t>MA</w:t>
      </w:r>
      <w:r>
        <w:t xml:space="preserve">s </w:t>
      </w:r>
      <w:r w:rsidR="00A23F46">
        <w:t xml:space="preserve">from </w:t>
      </w:r>
      <w:r>
        <w:t xml:space="preserve">voting on issues in which they have a </w:t>
      </w:r>
      <w:r w:rsidR="00B734D1">
        <w:t>‘</w:t>
      </w:r>
      <w:r>
        <w:t>pecuniary interest</w:t>
      </w:r>
      <w:r w:rsidR="00B734D1">
        <w:t>’</w:t>
      </w:r>
      <w:r>
        <w:t xml:space="preserve">, but </w:t>
      </w:r>
      <w:r w:rsidRPr="00D01A78">
        <w:t xml:space="preserve">does not </w:t>
      </w:r>
      <w:r>
        <w:t>prohibit</w:t>
      </w:r>
      <w:r w:rsidRPr="00D01A78">
        <w:t xml:space="preserve"> </w:t>
      </w:r>
      <w:r>
        <w:t>them from</w:t>
      </w:r>
      <w:r w:rsidRPr="00D01A78">
        <w:t xml:space="preserve"> </w:t>
      </w:r>
      <w:r w:rsidR="00017A37">
        <w:t>participating in discussion</w:t>
      </w:r>
      <w:r>
        <w:t xml:space="preserve"> - s 18G(3).  However, it</w:t>
      </w:r>
      <w:r w:rsidRPr="00D01A78">
        <w:t xml:space="preserve"> is </w:t>
      </w:r>
      <w:r>
        <w:t>good governance</w:t>
      </w:r>
      <w:r w:rsidRPr="00247C74">
        <w:t xml:space="preserve"> practice</w:t>
      </w:r>
      <w:r>
        <w:t xml:space="preserve"> to</w:t>
      </w:r>
      <w:r w:rsidR="00DA0FA6">
        <w:t xml:space="preserve"> </w:t>
      </w:r>
      <w:r w:rsidRPr="008951F2">
        <w:rPr>
          <w:b/>
        </w:rPr>
        <w:t>remove</w:t>
      </w:r>
      <w:r>
        <w:t xml:space="preserve"> board members with a material conflict of interest from discussion </w:t>
      </w:r>
      <w:r w:rsidR="00DA0FA6">
        <w:t xml:space="preserve">as well </w:t>
      </w:r>
      <w:r w:rsidR="00FA17D4">
        <w:t>(</w:t>
      </w:r>
      <w:r>
        <w:t>unless it is clearly in the public interest to do otherwise</w:t>
      </w:r>
      <w:r w:rsidR="00FA17D4">
        <w:t>)</w:t>
      </w:r>
      <w:r w:rsidRPr="00C16223">
        <w:t>.</w:t>
      </w:r>
      <w:r w:rsidRPr="00D01A78">
        <w:t xml:space="preserve"> </w:t>
      </w:r>
      <w:r>
        <w:t xml:space="preserve"> The board of a CMA can specify </w:t>
      </w:r>
      <w:r w:rsidRPr="008951F2">
        <w:rPr>
          <w:b/>
        </w:rPr>
        <w:t>remove</w:t>
      </w:r>
      <w:r>
        <w:t xml:space="preserve"> as </w:t>
      </w:r>
      <w:r w:rsidR="00A23F46">
        <w:t>its</w:t>
      </w:r>
      <w:r>
        <w:t xml:space="preserve"> standard procedure for managing material conflicts.</w:t>
      </w:r>
    </w:p>
    <w:p w:rsidR="00B97DF4" w:rsidRPr="00D01A78" w:rsidRDefault="00CD32AF" w:rsidP="00567451">
      <w:pPr>
        <w:pStyle w:val="Heading1"/>
      </w:pPr>
      <w:r>
        <w:t>8</w:t>
      </w:r>
      <w:r w:rsidR="00B97DF4">
        <w:t xml:space="preserve">.  </w:t>
      </w:r>
      <w:r w:rsidR="00B97DF4" w:rsidRPr="00D01A78">
        <w:t>Recording in the minutes</w:t>
      </w:r>
    </w:p>
    <w:p w:rsidR="00B42F2A" w:rsidRPr="000A59ED" w:rsidRDefault="00B42F2A" w:rsidP="00567451">
      <w:r w:rsidRPr="008A1507">
        <w:t xml:space="preserve">The minutes </w:t>
      </w:r>
      <w:r>
        <w:t xml:space="preserve">of the board meeting should </w:t>
      </w:r>
      <w:r w:rsidR="00FE48C3">
        <w:t>include</w:t>
      </w:r>
      <w:r w:rsidRPr="00D01A78">
        <w:t xml:space="preserve"> a </w:t>
      </w:r>
      <w:r w:rsidRPr="009D2690">
        <w:t>description</w:t>
      </w:r>
      <w:r w:rsidRPr="00D01A78">
        <w:t xml:space="preserve"> of the interest and the conflict (the </w:t>
      </w:r>
      <w:r>
        <w:t>$</w:t>
      </w:r>
      <w:r w:rsidRPr="00D01A78">
        <w:t xml:space="preserve"> value of a financial interest does not need to be included);</w:t>
      </w:r>
      <w:r>
        <w:t xml:space="preserve"> whether the conflict is material</w:t>
      </w:r>
      <w:r w:rsidRPr="008A1507">
        <w:t xml:space="preserve">; how </w:t>
      </w:r>
      <w:r>
        <w:t>it</w:t>
      </w:r>
      <w:r w:rsidRPr="008A1507">
        <w:t xml:space="preserve"> will be managed</w:t>
      </w:r>
      <w:r>
        <w:t xml:space="preserve"> in the public interest</w:t>
      </w:r>
      <w:r w:rsidRPr="008A1507">
        <w:t xml:space="preserve">; and the </w:t>
      </w:r>
      <w:r>
        <w:t>item/</w:t>
      </w:r>
      <w:r w:rsidRPr="008A1507">
        <w:t xml:space="preserve">times </w:t>
      </w:r>
      <w:r>
        <w:t>when the</w:t>
      </w:r>
      <w:r w:rsidRPr="008A1507">
        <w:t xml:space="preserve"> board member is absent from the room due to the conflict</w:t>
      </w:r>
      <w:r>
        <w:t xml:space="preserve"> </w:t>
      </w:r>
      <w:r w:rsidR="0044173F">
        <w:br/>
      </w:r>
      <w:r>
        <w:t>(or if a lesser/stronger option is decided upon, why)</w:t>
      </w:r>
      <w:r w:rsidRPr="008A1507">
        <w:t>.</w:t>
      </w:r>
    </w:p>
    <w:p w:rsidR="00B97DF4" w:rsidRPr="004702F9" w:rsidRDefault="00CD32AF" w:rsidP="007F620C">
      <w:pPr>
        <w:pStyle w:val="Heading1"/>
        <w:spacing w:before="120" w:after="80" w:line="240" w:lineRule="auto"/>
      </w:pPr>
      <w:r>
        <w:t>9</w:t>
      </w:r>
      <w:r w:rsidR="00B97DF4" w:rsidRPr="00567451">
        <w:t xml:space="preserve">.  </w:t>
      </w:r>
      <w:r w:rsidR="001A6099" w:rsidRPr="00567451">
        <w:t>Breach</w:t>
      </w:r>
      <w:r w:rsidR="008041B7" w:rsidRPr="00567451">
        <w:t xml:space="preserve"> of </w:t>
      </w:r>
      <w:r w:rsidR="00B97DF4" w:rsidRPr="00567451">
        <w:t>board’s poli</w:t>
      </w:r>
      <w:r w:rsidR="008041B7" w:rsidRPr="00567451">
        <w:t>cy</w:t>
      </w:r>
    </w:p>
    <w:p w:rsidR="00B97DF4" w:rsidRPr="00D01A78" w:rsidRDefault="00B97DF4" w:rsidP="00567451">
      <w:pPr>
        <w:spacing w:after="0"/>
      </w:pPr>
      <w:r>
        <w:t>If you</w:t>
      </w:r>
      <w:r w:rsidRPr="00D01A78">
        <w:t xml:space="preserve"> may have breached </w:t>
      </w:r>
      <w:r>
        <w:t>your board’s</w:t>
      </w:r>
      <w:r>
        <w:rPr>
          <w:i/>
        </w:rPr>
        <w:t xml:space="preserve"> </w:t>
      </w:r>
      <w:r w:rsidRPr="005B4A5B">
        <w:t>policy</w:t>
      </w:r>
      <w:r>
        <w:t xml:space="preserve">, </w:t>
      </w:r>
      <w:r w:rsidRPr="00D01A78">
        <w:t xml:space="preserve">notify the chair. </w:t>
      </w:r>
      <w:r>
        <w:t xml:space="preserve"> If you</w:t>
      </w:r>
      <w:r w:rsidRPr="00D01A78">
        <w:t xml:space="preserve"> </w:t>
      </w:r>
      <w:r>
        <w:t>believe</w:t>
      </w:r>
      <w:r w:rsidRPr="00D01A78">
        <w:t xml:space="preserve"> </w:t>
      </w:r>
      <w:r w:rsidRPr="00CD3A8E">
        <w:t>another</w:t>
      </w:r>
      <w:r w:rsidRPr="00D01A78">
        <w:t xml:space="preserve"> board member may have breached </w:t>
      </w:r>
      <w:r>
        <w:t xml:space="preserve">the </w:t>
      </w:r>
      <w:r w:rsidRPr="00D01A78">
        <w:t>policy but not notified the chair</w:t>
      </w:r>
      <w:r>
        <w:t>,</w:t>
      </w:r>
      <w:r w:rsidRPr="00D01A78">
        <w:t xml:space="preserve"> </w:t>
      </w:r>
      <w:r>
        <w:t>advise</w:t>
      </w:r>
      <w:r w:rsidRPr="00D01A78">
        <w:t xml:space="preserve"> the chair or approach the other member, who </w:t>
      </w:r>
      <w:r>
        <w:t>should</w:t>
      </w:r>
      <w:r w:rsidRPr="00D01A78">
        <w:t xml:space="preserve"> then notify the chair.</w:t>
      </w:r>
      <w:r>
        <w:t xml:space="preserve">  For details, see DELWP’s model policy.</w:t>
      </w:r>
    </w:p>
    <w:p w:rsidR="00B97DF4" w:rsidRPr="00CB1CB7" w:rsidRDefault="00B97DF4" w:rsidP="00CB1CB7">
      <w:pPr>
        <w:pStyle w:val="Heading1"/>
        <w:rPr>
          <w:b/>
          <w:szCs w:val="36"/>
        </w:rPr>
      </w:pPr>
      <w:r w:rsidRPr="00CB1CB7">
        <w:rPr>
          <w:rStyle w:val="Heading2Char"/>
          <w:b w:val="0"/>
          <w:sz w:val="36"/>
          <w:szCs w:val="36"/>
          <w:shd w:val="clear" w:color="auto" w:fill="E1EBF7" w:themeFill="text2" w:themeFillTint="1A"/>
        </w:rPr>
        <w:t>Appendix 1: How broad is the definition</w:t>
      </w:r>
      <w:r w:rsidR="00CB1CB7">
        <w:rPr>
          <w:rStyle w:val="Heading2Char"/>
          <w:b w:val="0"/>
          <w:sz w:val="36"/>
          <w:szCs w:val="36"/>
          <w:shd w:val="clear" w:color="auto" w:fill="E1EBF7" w:themeFill="text2" w:themeFillTint="1A"/>
        </w:rPr>
        <w:t xml:space="preserve"> of ‘conflict of interest’</w:t>
      </w:r>
      <w:r w:rsidRPr="00CB1CB7">
        <w:rPr>
          <w:rStyle w:val="Heading2Char"/>
          <w:b w:val="0"/>
          <w:sz w:val="36"/>
          <w:szCs w:val="36"/>
          <w:shd w:val="clear" w:color="auto" w:fill="E1EBF7" w:themeFill="text2" w:themeFillTint="1A"/>
        </w:rPr>
        <w:t>?</w:t>
      </w:r>
      <w:r w:rsidRPr="00CB1CB7">
        <w:rPr>
          <w:b/>
          <w:szCs w:val="36"/>
        </w:rPr>
        <w:t xml:space="preserve"> </w:t>
      </w:r>
    </w:p>
    <w:p w:rsidR="00B97DF4" w:rsidRPr="00D01A78" w:rsidRDefault="00B97DF4" w:rsidP="00B97DF4">
      <w:pPr>
        <w:spacing w:before="160" w:after="0"/>
      </w:pPr>
      <w:r>
        <w:t xml:space="preserve">For </w:t>
      </w:r>
      <w:r w:rsidRPr="00D01A78">
        <w:t>all conflicts of interest</w:t>
      </w:r>
      <w:r w:rsidR="00001219">
        <w:t xml:space="preserve">, including conflicts of </w:t>
      </w:r>
      <w:r w:rsidRPr="00D01A78">
        <w:t>duty:</w:t>
      </w:r>
    </w:p>
    <w:p w:rsidR="00B97DF4" w:rsidRPr="00D01A78" w:rsidRDefault="00B97DF4" w:rsidP="00275488">
      <w:pPr>
        <w:pStyle w:val="Heading3"/>
        <w:spacing w:before="100" w:after="60"/>
      </w:pPr>
      <w:r w:rsidRPr="00D01A78">
        <w:t>Real, potential or perceived</w:t>
      </w:r>
    </w:p>
    <w:p w:rsidR="00B97DF4" w:rsidRPr="00D01A78" w:rsidRDefault="00B97DF4" w:rsidP="00B97DF4">
      <w:pPr>
        <w:spacing w:before="60"/>
      </w:pPr>
      <w:r w:rsidRPr="00D01A78">
        <w:t>A conflict of interest exists whether it is:</w:t>
      </w:r>
    </w:p>
    <w:p w:rsidR="00B97DF4" w:rsidRPr="00D01A78" w:rsidRDefault="00B97DF4" w:rsidP="00B97DF4">
      <w:pPr>
        <w:pStyle w:val="ListBullet"/>
        <w:spacing w:before="60"/>
      </w:pPr>
      <w:r w:rsidRPr="00193DBE">
        <w:rPr>
          <w:b/>
        </w:rPr>
        <w:t xml:space="preserve">real </w:t>
      </w:r>
      <w:r w:rsidRPr="00193DBE">
        <w:t>–</w:t>
      </w:r>
      <w:r w:rsidRPr="00D01A78">
        <w:t xml:space="preserve"> it currently exists;</w:t>
      </w:r>
    </w:p>
    <w:p w:rsidR="00B97DF4" w:rsidRPr="00D01A78" w:rsidRDefault="00B97DF4" w:rsidP="00B97DF4">
      <w:pPr>
        <w:pStyle w:val="ListBullet"/>
        <w:spacing w:before="60"/>
      </w:pPr>
      <w:r w:rsidRPr="00193DBE">
        <w:rPr>
          <w:b/>
        </w:rPr>
        <w:t>potential</w:t>
      </w:r>
      <w:r w:rsidRPr="00D01A78">
        <w:t xml:space="preserve"> – it may arise, given the circumstances; or</w:t>
      </w:r>
    </w:p>
    <w:p w:rsidR="00B97DF4" w:rsidRPr="00D01A78" w:rsidRDefault="00B97DF4" w:rsidP="00B97DF4">
      <w:pPr>
        <w:pStyle w:val="ListBullet"/>
        <w:spacing w:before="60"/>
      </w:pPr>
      <w:r w:rsidRPr="00193DBE">
        <w:rPr>
          <w:b/>
        </w:rPr>
        <w:t>perceived</w:t>
      </w:r>
      <w:r w:rsidRPr="00D01A78">
        <w:t xml:space="preserve"> – members of the public could reasonably form the view that a conflict exists or could arise that may improperly influence </w:t>
      </w:r>
      <w:r>
        <w:t xml:space="preserve">the </w:t>
      </w:r>
      <w:r w:rsidRPr="00D01A78">
        <w:t xml:space="preserve">performance of </w:t>
      </w:r>
      <w:r>
        <w:t>your</w:t>
      </w:r>
      <w:r w:rsidRPr="00D01A78">
        <w:t xml:space="preserve"> duty </w:t>
      </w:r>
      <w:r>
        <w:t>as a board member</w:t>
      </w:r>
      <w:r w:rsidRPr="00D01A78">
        <w:t>, now or in the future.</w:t>
      </w:r>
    </w:p>
    <w:p w:rsidR="00B97DF4" w:rsidRPr="00D01A78" w:rsidRDefault="00B97DF4" w:rsidP="00275488">
      <w:pPr>
        <w:pStyle w:val="Heading3"/>
        <w:spacing w:before="100" w:after="60"/>
      </w:pPr>
      <w:r w:rsidRPr="00D01A78">
        <w:t>Direct or indirect</w:t>
      </w:r>
    </w:p>
    <w:p w:rsidR="00275488" w:rsidRPr="00A3042C" w:rsidRDefault="00275488" w:rsidP="00275488">
      <w:pPr>
        <w:spacing w:before="60"/>
      </w:pPr>
      <w:r w:rsidRPr="00A3042C">
        <w:t xml:space="preserve">A private interest can be </w:t>
      </w:r>
      <w:r w:rsidRPr="006E48AC">
        <w:t>direct or indirect</w:t>
      </w:r>
      <w:r w:rsidRPr="00A3042C">
        <w:t xml:space="preserve">. A </w:t>
      </w:r>
      <w:r w:rsidRPr="00F16821">
        <w:t>direct</w:t>
      </w:r>
      <w:r w:rsidRPr="00A3042C">
        <w:t xml:space="preserve"> interest </w:t>
      </w:r>
      <w:r w:rsidR="00167A3F">
        <w:t xml:space="preserve">is </w:t>
      </w:r>
      <w:r w:rsidRPr="00A3042C">
        <w:t xml:space="preserve">held by </w:t>
      </w:r>
      <w:r>
        <w:t>you</w:t>
      </w:r>
      <w:r w:rsidRPr="00A3042C">
        <w:t xml:space="preserve">. An </w:t>
      </w:r>
      <w:r w:rsidRPr="00F16821">
        <w:t>indirect</w:t>
      </w:r>
      <w:r w:rsidRPr="00A3042C">
        <w:t xml:space="preserve"> interest is held by a relative or close associate, for example:</w:t>
      </w:r>
    </w:p>
    <w:p w:rsidR="00275488" w:rsidRPr="00A3042C" w:rsidRDefault="00275488" w:rsidP="00275488">
      <w:pPr>
        <w:pStyle w:val="ListBullet"/>
        <w:numPr>
          <w:ilvl w:val="0"/>
          <w:numId w:val="2"/>
        </w:numPr>
        <w:tabs>
          <w:tab w:val="clear" w:pos="170"/>
          <w:tab w:val="clear" w:pos="567"/>
        </w:tabs>
        <w:spacing w:line="240" w:lineRule="atLeast"/>
      </w:pPr>
      <w:r w:rsidRPr="00A3042C">
        <w:t xml:space="preserve">an </w:t>
      </w:r>
      <w:r w:rsidRPr="006E48AC">
        <w:t>immediate family</w:t>
      </w:r>
      <w:r w:rsidRPr="00A3042C">
        <w:t xml:space="preserve"> member (e.g. spouse, p</w:t>
      </w:r>
      <w:r w:rsidR="00751678">
        <w:t>artner, child, parent, sibling)</w:t>
      </w:r>
    </w:p>
    <w:p w:rsidR="00275488" w:rsidRPr="00A3042C" w:rsidRDefault="00275488" w:rsidP="00275488">
      <w:pPr>
        <w:pStyle w:val="ListBullet"/>
        <w:numPr>
          <w:ilvl w:val="0"/>
          <w:numId w:val="2"/>
        </w:numPr>
        <w:tabs>
          <w:tab w:val="clear" w:pos="170"/>
          <w:tab w:val="clear" w:pos="567"/>
        </w:tabs>
        <w:spacing w:line="240" w:lineRule="atLeast"/>
      </w:pPr>
      <w:r w:rsidRPr="00A3042C">
        <w:t xml:space="preserve">a regular </w:t>
      </w:r>
      <w:r w:rsidRPr="006E48AC">
        <w:t>household member</w:t>
      </w:r>
      <w:r w:rsidRPr="00CA48E0">
        <w:rPr>
          <w:b/>
        </w:rPr>
        <w:t xml:space="preserve"> </w:t>
      </w:r>
      <w:r w:rsidRPr="006E48AC">
        <w:t xml:space="preserve">(i.e. someone who normally </w:t>
      </w:r>
      <w:r w:rsidR="00751678">
        <w:t>resides with the board member)</w:t>
      </w:r>
    </w:p>
    <w:p w:rsidR="00275488" w:rsidRPr="00A3042C" w:rsidRDefault="00275488" w:rsidP="00275488">
      <w:pPr>
        <w:pStyle w:val="ListBullet"/>
        <w:numPr>
          <w:ilvl w:val="0"/>
          <w:numId w:val="2"/>
        </w:numPr>
        <w:tabs>
          <w:tab w:val="clear" w:pos="170"/>
          <w:tab w:val="clear" w:pos="567"/>
        </w:tabs>
        <w:spacing w:line="240" w:lineRule="atLeast"/>
      </w:pPr>
      <w:r w:rsidRPr="00A3042C">
        <w:t xml:space="preserve">another close </w:t>
      </w:r>
      <w:r w:rsidRPr="006E48AC">
        <w:t>associate</w:t>
      </w:r>
      <w:r w:rsidRPr="00A3042C">
        <w:t xml:space="preserve"> (e.g. friend, relative, business associate, rival, enemy). </w:t>
      </w:r>
    </w:p>
    <w:p w:rsidR="00B97DF4" w:rsidRPr="00D01A78" w:rsidRDefault="00B97DF4" w:rsidP="00B97DF4">
      <w:pPr>
        <w:pStyle w:val="Heading3"/>
        <w:spacing w:after="0"/>
      </w:pPr>
      <w:r w:rsidRPr="00D01A78">
        <w:t>Pecuniary or non-pecuniary</w:t>
      </w:r>
    </w:p>
    <w:p w:rsidR="00B97DF4" w:rsidRPr="00D01A78" w:rsidRDefault="00B97DF4" w:rsidP="00B97DF4">
      <w:pPr>
        <w:spacing w:before="60"/>
      </w:pPr>
      <w:r w:rsidRPr="00D01A78">
        <w:t xml:space="preserve">A private interest can be </w:t>
      </w:r>
      <w:r w:rsidRPr="00193DBE">
        <w:t>pecuniary</w:t>
      </w:r>
      <w:r w:rsidRPr="00D01A78">
        <w:t xml:space="preserve"> (financial) or </w:t>
      </w:r>
      <w:r w:rsidRPr="00193DBE">
        <w:t>non-pecuniary</w:t>
      </w:r>
      <w:r w:rsidRPr="00D01A78">
        <w:t xml:space="preserve"> (non-financial), or a mixture of both. It can arise from a wide range of personal or professional/business-related sources.</w:t>
      </w:r>
    </w:p>
    <w:p w:rsidR="00B97DF4" w:rsidRPr="00D01A78" w:rsidRDefault="00B97DF4" w:rsidP="00B97DF4">
      <w:r w:rsidRPr="00193DBE">
        <w:rPr>
          <w:b/>
        </w:rPr>
        <w:t>Pecuniary interests</w:t>
      </w:r>
      <w:r w:rsidRPr="00D01A78">
        <w:t xml:space="preserve"> - include actual, potential, or perceived financial gain or loss. Money does not need to change hands. The interest exists if </w:t>
      </w:r>
      <w:r>
        <w:t>you</w:t>
      </w:r>
      <w:r w:rsidRPr="00D01A78">
        <w:t xml:space="preserve"> (or</w:t>
      </w:r>
      <w:r>
        <w:t xml:space="preserve"> a relative or close associate):</w:t>
      </w:r>
    </w:p>
    <w:p w:rsidR="00B97DF4" w:rsidRPr="00D01A78" w:rsidRDefault="00B97DF4" w:rsidP="00B97DF4">
      <w:pPr>
        <w:pStyle w:val="ListBullet"/>
        <w:spacing w:before="60" w:after="80" w:line="240" w:lineRule="atLeast"/>
      </w:pPr>
      <w:r>
        <w:t>own</w:t>
      </w:r>
      <w:r w:rsidR="00751678">
        <w:t xml:space="preserve"> property</w:t>
      </w:r>
    </w:p>
    <w:p w:rsidR="00B97DF4" w:rsidRPr="00D01A78" w:rsidRDefault="00B97DF4" w:rsidP="00B97DF4">
      <w:pPr>
        <w:pStyle w:val="ListBullet"/>
        <w:spacing w:before="60" w:after="80" w:line="240" w:lineRule="atLeast"/>
      </w:pPr>
      <w:r>
        <w:t>hold</w:t>
      </w:r>
      <w:r w:rsidRPr="00D01A78">
        <w:t xml:space="preserve"> shares, investme</w:t>
      </w:r>
      <w:r w:rsidR="00751678">
        <w:t>nts or other business interests</w:t>
      </w:r>
    </w:p>
    <w:p w:rsidR="00B97DF4" w:rsidRPr="00D01A78" w:rsidRDefault="00B97DF4" w:rsidP="00B97DF4">
      <w:pPr>
        <w:pStyle w:val="ListBullet"/>
        <w:spacing w:before="60" w:after="80" w:line="240" w:lineRule="atLeast"/>
      </w:pPr>
      <w:r>
        <w:t>have</w:t>
      </w:r>
      <w:r w:rsidRPr="00D01A78">
        <w:t xml:space="preserve"> a position in a comp</w:t>
      </w:r>
      <w:r w:rsidR="00751678">
        <w:t>any bidding for government work</w:t>
      </w:r>
    </w:p>
    <w:p w:rsidR="00B97DF4" w:rsidRDefault="00B97DF4" w:rsidP="00B97DF4">
      <w:pPr>
        <w:pStyle w:val="ListBullet"/>
        <w:spacing w:before="60" w:after="80" w:line="240" w:lineRule="atLeast"/>
      </w:pPr>
      <w:r>
        <w:t>receive</w:t>
      </w:r>
      <w:r w:rsidRPr="00D01A78">
        <w:t xml:space="preserve"> benefits such as concessions, discounts, gifts or hospi</w:t>
      </w:r>
      <w:r w:rsidR="00751678">
        <w:t>tality from a particular source</w:t>
      </w:r>
      <w:r w:rsidRPr="00D01A78">
        <w:t xml:space="preserve"> </w:t>
      </w:r>
    </w:p>
    <w:p w:rsidR="00B97DF4" w:rsidRPr="00D01A78" w:rsidRDefault="00B97DF4" w:rsidP="00B97DF4">
      <w:pPr>
        <w:pStyle w:val="ListBullet"/>
        <w:spacing w:before="60" w:after="80" w:line="240" w:lineRule="atLeast"/>
      </w:pPr>
      <w:r w:rsidRPr="00D01A78">
        <w:t>hol</w:t>
      </w:r>
      <w:r>
        <w:t>d</w:t>
      </w:r>
      <w:r w:rsidRPr="00D01A78">
        <w:t xml:space="preserve"> office in a corporation (public, private or trustee), an incorporated association, or other entity</w:t>
      </w:r>
    </w:p>
    <w:p w:rsidR="00B97DF4" w:rsidRPr="00D01A78" w:rsidRDefault="00B97DF4" w:rsidP="00B97DF4">
      <w:pPr>
        <w:pStyle w:val="ListBullet"/>
        <w:spacing w:before="60" w:after="80" w:line="240" w:lineRule="atLeast"/>
      </w:pPr>
      <w:r>
        <w:t>have</w:t>
      </w:r>
      <w:r w:rsidRPr="00D01A78">
        <w:t xml:space="preserve"> any other relevant financial interest</w:t>
      </w:r>
      <w:r w:rsidR="00751678">
        <w:t>, for example</w:t>
      </w:r>
      <w:r w:rsidR="005E6463">
        <w:t>, are</w:t>
      </w:r>
      <w:r>
        <w:t xml:space="preserve">: </w:t>
      </w:r>
    </w:p>
    <w:p w:rsidR="00B97DF4" w:rsidRPr="00D01A78" w:rsidRDefault="00B97DF4" w:rsidP="00B97DF4">
      <w:pPr>
        <w:pStyle w:val="ListBullet2"/>
        <w:spacing w:before="60" w:after="80" w:line="240" w:lineRule="atLeast"/>
      </w:pPr>
      <w:r w:rsidRPr="00D01A78">
        <w:t>entitled to receive</w:t>
      </w:r>
      <w:r w:rsidR="00086EFB">
        <w:t xml:space="preserve"> income derived from a contract</w:t>
      </w:r>
    </w:p>
    <w:p w:rsidR="00B97DF4" w:rsidRPr="00D01A78" w:rsidRDefault="00B97DF4" w:rsidP="00B97DF4">
      <w:pPr>
        <w:pStyle w:val="ListBullet2"/>
        <w:spacing w:before="60" w:after="80" w:line="240" w:lineRule="atLeast"/>
      </w:pPr>
      <w:r w:rsidRPr="00D01A78">
        <w:t>a benefici</w:t>
      </w:r>
      <w:r>
        <w:t>ary or trustee of a trust</w:t>
      </w:r>
    </w:p>
    <w:p w:rsidR="00B97DF4" w:rsidRPr="00D01A78" w:rsidRDefault="00B97DF4" w:rsidP="00B97DF4">
      <w:pPr>
        <w:pStyle w:val="ListBullet2"/>
        <w:spacing w:after="220"/>
      </w:pPr>
      <w:r w:rsidRPr="00D01A78">
        <w:t>entitled to receive income from an office held for payment/reward</w:t>
      </w:r>
      <w:r>
        <w:t xml:space="preserve"> or a</w:t>
      </w:r>
      <w:r w:rsidRPr="00D01A78">
        <w:t xml:space="preserve"> </w:t>
      </w:r>
      <w:r>
        <w:t>trade, vocation, or profession</w:t>
      </w:r>
      <w:r w:rsidRPr="00D01A78">
        <w:t>.</w:t>
      </w:r>
    </w:p>
    <w:p w:rsidR="00B97DF4" w:rsidRPr="00D01A78" w:rsidRDefault="00B97DF4" w:rsidP="005056EC">
      <w:pPr>
        <w:spacing w:after="0" w:line="260" w:lineRule="atLeast"/>
      </w:pPr>
      <w:r w:rsidRPr="00C57CCE">
        <w:rPr>
          <w:b/>
        </w:rPr>
        <w:t>Non-pecuniary interests</w:t>
      </w:r>
      <w:r w:rsidRPr="00D01A78">
        <w:t xml:space="preserve"> - </w:t>
      </w:r>
      <w:r w:rsidR="00D27DA8" w:rsidRPr="00A3042C">
        <w:t xml:space="preserve">may arise from </w:t>
      </w:r>
      <w:r w:rsidR="00AD1A2A">
        <w:t xml:space="preserve">your </w:t>
      </w:r>
      <w:r w:rsidR="00D27DA8" w:rsidRPr="00A3042C">
        <w:t>p</w:t>
      </w:r>
      <w:r w:rsidR="00D27DA8">
        <w:t>ersonal or family relationships</w:t>
      </w:r>
      <w:r w:rsidR="00D27DA8" w:rsidRPr="00A3042C">
        <w:t xml:space="preserve"> or from involvement in sporting, social, or cultural activities, etc. They include a tendency towards favour or prejudice resulting from friendship, animosity, or other personal involvement with another person or group. If </w:t>
      </w:r>
      <w:r w:rsidR="00AD1A2A">
        <w:t xml:space="preserve">your </w:t>
      </w:r>
      <w:r w:rsidR="00D27DA8" w:rsidRPr="00A3042C">
        <w:t xml:space="preserve">personal values are likely to impact on the proper performance of </w:t>
      </w:r>
      <w:r w:rsidR="00AD1A2A">
        <w:t xml:space="preserve">your </w:t>
      </w:r>
      <w:r w:rsidR="00D27DA8" w:rsidRPr="00A3042C">
        <w:t>public duty, this can also lead to a conflict of interest. Enmity as well as friendship can give rise to a conflict of interest.</w:t>
      </w:r>
    </w:p>
    <w:p w:rsidR="00B97DF4" w:rsidRPr="000D414F" w:rsidRDefault="00B97DF4" w:rsidP="00B97DF4">
      <w:pPr>
        <w:pStyle w:val="Heading1"/>
        <w:shd w:val="clear" w:color="auto" w:fill="E1EBF7" w:themeFill="text2" w:themeFillTint="1A"/>
        <w:rPr>
          <w:rStyle w:val="Heading2Char"/>
          <w:b w:val="0"/>
          <w:sz w:val="36"/>
          <w:szCs w:val="36"/>
          <w:shd w:val="clear" w:color="auto" w:fill="E1EBF7" w:themeFill="text2" w:themeFillTint="1A"/>
        </w:rPr>
      </w:pPr>
      <w:r w:rsidRPr="000D414F">
        <w:rPr>
          <w:rStyle w:val="Heading2Char"/>
          <w:b w:val="0"/>
          <w:sz w:val="36"/>
          <w:szCs w:val="36"/>
          <w:shd w:val="clear" w:color="auto" w:fill="E1EBF7" w:themeFill="text2" w:themeFillTint="1A"/>
        </w:rPr>
        <w:t>Appendix 2: What options are available</w:t>
      </w:r>
      <w:r w:rsidR="000D414F">
        <w:rPr>
          <w:rStyle w:val="Heading2Char"/>
          <w:b w:val="0"/>
          <w:sz w:val="36"/>
          <w:szCs w:val="36"/>
          <w:shd w:val="clear" w:color="auto" w:fill="E1EBF7" w:themeFill="text2" w:themeFillTint="1A"/>
        </w:rPr>
        <w:t xml:space="preserve"> for managing a conflict</w:t>
      </w:r>
      <w:r w:rsidRPr="000D414F">
        <w:rPr>
          <w:rStyle w:val="Heading2Char"/>
          <w:b w:val="0"/>
          <w:sz w:val="36"/>
          <w:szCs w:val="36"/>
          <w:shd w:val="clear" w:color="auto" w:fill="E1EBF7" w:themeFill="text2" w:themeFillTint="1A"/>
        </w:rPr>
        <w:t xml:space="preserve">? </w:t>
      </w:r>
    </w:p>
    <w:p w:rsidR="00B97DF4" w:rsidRPr="00D01A78" w:rsidRDefault="00B97DF4" w:rsidP="00B97DF4">
      <w:r w:rsidRPr="00D01A78">
        <w:t xml:space="preserve">The board must manage all conflicts of interest in the public interest.  </w:t>
      </w:r>
      <w:r w:rsidR="00971A8A">
        <w:t xml:space="preserve">Depending on the conflict, the </w:t>
      </w:r>
      <w:r w:rsidR="00AB7D0A">
        <w:t xml:space="preserve">board’s </w:t>
      </w:r>
      <w:r w:rsidR="00971A8A">
        <w:t>o</w:t>
      </w:r>
      <w:r w:rsidRPr="00D01A78">
        <w:t>ptions include:</w:t>
      </w:r>
    </w:p>
    <w:p w:rsidR="00971A8A" w:rsidRPr="00A3042C" w:rsidRDefault="00971A8A" w:rsidP="00971A8A">
      <w:pPr>
        <w:tabs>
          <w:tab w:val="left" w:pos="284"/>
        </w:tabs>
        <w:spacing w:after="140" w:line="260" w:lineRule="atLeast"/>
        <w:ind w:left="284" w:hanging="284"/>
        <w:rPr>
          <w:rFonts w:asciiTheme="minorHAnsi" w:hAnsiTheme="minorHAnsi" w:cstheme="minorHAnsi"/>
        </w:rPr>
      </w:pPr>
      <w:r w:rsidRPr="000A1A91">
        <w:rPr>
          <w:rFonts w:asciiTheme="minorHAnsi" w:hAnsiTheme="minorHAnsi" w:cstheme="minorHAnsi"/>
          <w:bCs/>
        </w:rPr>
        <w:t>1.</w:t>
      </w:r>
      <w:r w:rsidRPr="000A1A91">
        <w:rPr>
          <w:rFonts w:asciiTheme="minorHAnsi" w:hAnsiTheme="minorHAnsi" w:cstheme="minorHAnsi"/>
          <w:bCs/>
        </w:rPr>
        <w:tab/>
      </w:r>
      <w:r w:rsidRPr="00A3042C">
        <w:rPr>
          <w:rFonts w:asciiTheme="minorHAnsi" w:hAnsiTheme="minorHAnsi" w:cstheme="minorHAnsi"/>
          <w:b/>
          <w:bCs/>
        </w:rPr>
        <w:t xml:space="preserve">Remove </w:t>
      </w:r>
      <w:r w:rsidRPr="00A3042C">
        <w:rPr>
          <w:rFonts w:asciiTheme="minorHAnsi" w:hAnsiTheme="minorHAnsi" w:cstheme="minorHAnsi"/>
        </w:rPr>
        <w:t xml:space="preserve">– the board member leaves the room and does not participate at all in the ‘conflicted’ matter.  </w:t>
      </w:r>
    </w:p>
    <w:p w:rsidR="00971A8A" w:rsidRPr="00A3042C" w:rsidRDefault="00971A8A" w:rsidP="003B4CA0">
      <w:pPr>
        <w:pStyle w:val="ListBullet"/>
        <w:numPr>
          <w:ilvl w:val="0"/>
          <w:numId w:val="0"/>
        </w:numPr>
        <w:tabs>
          <w:tab w:val="clear" w:pos="170"/>
          <w:tab w:val="left" w:pos="284"/>
        </w:tabs>
        <w:spacing w:after="140" w:line="260" w:lineRule="atLeast"/>
        <w:ind w:left="284" w:hanging="284"/>
        <w:rPr>
          <w:rFonts w:asciiTheme="minorHAnsi" w:hAnsiTheme="minorHAnsi" w:cstheme="minorHAnsi"/>
        </w:rPr>
      </w:pPr>
      <w:r w:rsidRPr="000A1A91">
        <w:rPr>
          <w:rFonts w:asciiTheme="minorHAnsi" w:hAnsiTheme="minorHAnsi" w:cstheme="minorHAnsi"/>
          <w:bCs/>
        </w:rPr>
        <w:t>2.</w:t>
      </w:r>
      <w:r w:rsidRPr="000A1A91">
        <w:rPr>
          <w:rFonts w:asciiTheme="minorHAnsi" w:hAnsiTheme="minorHAnsi" w:cstheme="minorHAnsi"/>
          <w:bCs/>
        </w:rPr>
        <w:tab/>
      </w:r>
      <w:r w:rsidRPr="00A3042C">
        <w:rPr>
          <w:rFonts w:asciiTheme="minorHAnsi" w:hAnsiTheme="minorHAnsi" w:cstheme="minorHAnsi"/>
          <w:b/>
          <w:bCs/>
        </w:rPr>
        <w:t xml:space="preserve">Record </w:t>
      </w:r>
      <w:r w:rsidRPr="00A3042C">
        <w:rPr>
          <w:rFonts w:asciiTheme="minorHAnsi" w:hAnsiTheme="minorHAnsi" w:cstheme="minorHAnsi"/>
        </w:rPr>
        <w:t xml:space="preserve">– details of the conflict of interest are recorded in the minutes.  Monitoring occurs to check whether this remains the appropriate option. </w:t>
      </w:r>
    </w:p>
    <w:p w:rsidR="00971A8A" w:rsidRPr="00A3042C" w:rsidRDefault="00971A8A" w:rsidP="003B4CA0">
      <w:pPr>
        <w:pStyle w:val="ListBullet"/>
        <w:numPr>
          <w:ilvl w:val="0"/>
          <w:numId w:val="0"/>
        </w:numPr>
        <w:tabs>
          <w:tab w:val="clear" w:pos="170"/>
          <w:tab w:val="left" w:pos="284"/>
        </w:tabs>
        <w:spacing w:after="140" w:line="260" w:lineRule="atLeast"/>
        <w:ind w:left="284" w:hanging="284"/>
        <w:rPr>
          <w:rFonts w:asciiTheme="minorHAnsi" w:hAnsiTheme="minorHAnsi" w:cstheme="minorHAnsi"/>
        </w:rPr>
      </w:pPr>
      <w:r w:rsidRPr="000A1A91">
        <w:rPr>
          <w:rFonts w:asciiTheme="minorHAnsi" w:hAnsiTheme="minorHAnsi" w:cstheme="minorHAnsi"/>
          <w:bCs/>
        </w:rPr>
        <w:t>3.</w:t>
      </w:r>
      <w:r w:rsidRPr="00A3042C">
        <w:rPr>
          <w:rFonts w:asciiTheme="minorHAnsi" w:hAnsiTheme="minorHAnsi" w:cstheme="minorHAnsi"/>
          <w:b/>
          <w:bCs/>
        </w:rPr>
        <w:tab/>
        <w:t xml:space="preserve">Restrict </w:t>
      </w:r>
      <w:r w:rsidRPr="00A3042C">
        <w:rPr>
          <w:rFonts w:asciiTheme="minorHAnsi" w:hAnsiTheme="minorHAnsi" w:cstheme="minorHAnsi"/>
        </w:rPr>
        <w:t>– the board member’s involvement in discussion and/or decision-making on the matter is restricted to the extent that matches the public interest.  Monitoring occurs to check</w:t>
      </w:r>
      <w:r>
        <w:rPr>
          <w:rFonts w:asciiTheme="minorHAnsi" w:hAnsiTheme="minorHAnsi" w:cstheme="minorHAnsi"/>
        </w:rPr>
        <w:t xml:space="preserve"> whether</w:t>
      </w:r>
      <w:r w:rsidRPr="00A3042C">
        <w:rPr>
          <w:rFonts w:asciiTheme="minorHAnsi" w:hAnsiTheme="minorHAnsi" w:cstheme="minorHAnsi"/>
        </w:rPr>
        <w:t xml:space="preserve"> this remains the appropriate option.</w:t>
      </w:r>
    </w:p>
    <w:p w:rsidR="00971A8A" w:rsidRPr="00A3042C" w:rsidRDefault="00971A8A" w:rsidP="00971A8A">
      <w:pPr>
        <w:tabs>
          <w:tab w:val="left" w:pos="284"/>
        </w:tabs>
        <w:spacing w:after="140" w:line="260" w:lineRule="atLeast"/>
        <w:ind w:left="284" w:hanging="284"/>
        <w:rPr>
          <w:rFonts w:asciiTheme="minorHAnsi" w:hAnsiTheme="minorHAnsi" w:cstheme="minorHAnsi"/>
        </w:rPr>
      </w:pPr>
      <w:r w:rsidRPr="000A1A91">
        <w:rPr>
          <w:rFonts w:asciiTheme="minorHAnsi" w:hAnsiTheme="minorHAnsi" w:cstheme="minorHAnsi"/>
          <w:bCs/>
        </w:rPr>
        <w:t>4.</w:t>
      </w:r>
      <w:r w:rsidRPr="000A1A91">
        <w:rPr>
          <w:rFonts w:asciiTheme="minorHAnsi" w:hAnsiTheme="minorHAnsi" w:cstheme="minorHAnsi"/>
          <w:bCs/>
        </w:rPr>
        <w:tab/>
      </w:r>
      <w:r w:rsidRPr="00A3042C">
        <w:rPr>
          <w:rFonts w:asciiTheme="minorHAnsi" w:hAnsiTheme="minorHAnsi" w:cstheme="minorHAnsi"/>
          <w:b/>
          <w:bCs/>
        </w:rPr>
        <w:t xml:space="preserve">Recruit </w:t>
      </w:r>
      <w:r w:rsidRPr="00A3042C">
        <w:rPr>
          <w:rFonts w:asciiTheme="minorHAnsi" w:hAnsiTheme="minorHAnsi" w:cstheme="minorHAnsi"/>
        </w:rPr>
        <w:t>– an impartial third party is engaged to provide advice (e.g. a probity adviser, lawyer, or governance expert from the department or the Victorian Public Sector Commission).</w:t>
      </w:r>
    </w:p>
    <w:p w:rsidR="00971A8A" w:rsidRPr="00A3042C" w:rsidRDefault="00971A8A" w:rsidP="00971A8A">
      <w:pPr>
        <w:tabs>
          <w:tab w:val="left" w:pos="284"/>
        </w:tabs>
        <w:spacing w:after="140" w:line="260" w:lineRule="atLeast"/>
        <w:ind w:left="284" w:hanging="284"/>
        <w:rPr>
          <w:rFonts w:asciiTheme="minorHAnsi" w:hAnsiTheme="minorHAnsi" w:cstheme="minorHAnsi"/>
        </w:rPr>
      </w:pPr>
      <w:r w:rsidRPr="000A1A91">
        <w:rPr>
          <w:rFonts w:asciiTheme="minorHAnsi" w:hAnsiTheme="minorHAnsi" w:cstheme="minorHAnsi"/>
          <w:bCs/>
        </w:rPr>
        <w:t>5.</w:t>
      </w:r>
      <w:r w:rsidRPr="000A1A91">
        <w:rPr>
          <w:rFonts w:asciiTheme="minorHAnsi" w:hAnsiTheme="minorHAnsi" w:cstheme="minorHAnsi"/>
          <w:bCs/>
        </w:rPr>
        <w:tab/>
      </w:r>
      <w:r w:rsidRPr="00A3042C">
        <w:rPr>
          <w:rFonts w:asciiTheme="minorHAnsi" w:hAnsiTheme="minorHAnsi" w:cstheme="minorHAnsi"/>
          <w:b/>
          <w:bCs/>
        </w:rPr>
        <w:t xml:space="preserve">Relinquish or resign </w:t>
      </w:r>
      <w:r w:rsidRPr="00A3042C">
        <w:rPr>
          <w:rFonts w:asciiTheme="minorHAnsi" w:hAnsiTheme="minorHAnsi" w:cstheme="minorHAnsi"/>
        </w:rPr>
        <w:t>– the board member relinquishes their private interest or steps down from their role with the other organisation on a temporary or permanent basis.  Alternatively, the board member resigns from the board itself.</w:t>
      </w:r>
    </w:p>
    <w:p w:rsidR="00B97DF4" w:rsidRDefault="00F76B43" w:rsidP="00B97DF4">
      <w:pPr>
        <w:spacing w:before="40" w:after="140"/>
      </w:pPr>
      <w:r>
        <w:t>(</w:t>
      </w:r>
      <w:r w:rsidR="00AE67F5">
        <w:t>I</w:t>
      </w:r>
      <w:r w:rsidR="00B97DF4" w:rsidRPr="00D01A78">
        <w:t xml:space="preserve">f the establishing Act </w:t>
      </w:r>
      <w:r w:rsidR="00EA0A51">
        <w:t>has</w:t>
      </w:r>
      <w:r w:rsidR="00B97DF4" w:rsidRPr="00D01A78">
        <w:t xml:space="preserve"> </w:t>
      </w:r>
      <w:r w:rsidR="00AE67F5">
        <w:t xml:space="preserve">additional </w:t>
      </w:r>
      <w:r w:rsidR="00B97DF4" w:rsidRPr="00D01A78">
        <w:t xml:space="preserve">requirements for managing conflicts </w:t>
      </w:r>
      <w:r w:rsidR="00AE67F5">
        <w:t>add</w:t>
      </w:r>
      <w:r w:rsidR="00EA0A51">
        <w:t xml:space="preserve"> these in</w:t>
      </w:r>
      <w:r w:rsidR="00AE67F5">
        <w:t>to</w:t>
      </w:r>
      <w:r w:rsidR="00EA0A51">
        <w:t xml:space="preserve"> the board’s policy</w:t>
      </w:r>
      <w:r w:rsidR="00B97DF4">
        <w:t>.</w:t>
      </w:r>
      <w:r w:rsidR="00D92A8C">
        <w:t xml:space="preserve">  </w:t>
      </w:r>
      <w:r w:rsidR="00B954A7">
        <w:br/>
      </w:r>
      <w:r w:rsidR="00D92A8C">
        <w:t xml:space="preserve">The model policy can be adapted </w:t>
      </w:r>
      <w:r w:rsidR="00AE67F5">
        <w:t>accordingly</w:t>
      </w:r>
      <w:r w:rsidR="00D92A8C">
        <w:t>.</w:t>
      </w:r>
      <w:r>
        <w:t>)</w:t>
      </w:r>
    </w:p>
    <w:p w:rsidR="00EA0A51" w:rsidRPr="00B739FD" w:rsidRDefault="00EA0A51" w:rsidP="00EA0A51">
      <w:pPr>
        <w:spacing w:after="60"/>
        <w:rPr>
          <w:i/>
        </w:rPr>
      </w:pPr>
      <w:r w:rsidRPr="00B739FD">
        <w:rPr>
          <w:i/>
        </w:rPr>
        <w:t xml:space="preserve">The process for deciding which </w:t>
      </w:r>
      <w:r>
        <w:rPr>
          <w:i/>
        </w:rPr>
        <w:t xml:space="preserve">of the above </w:t>
      </w:r>
      <w:r w:rsidRPr="00B739FD">
        <w:rPr>
          <w:i/>
        </w:rPr>
        <w:t>option</w:t>
      </w:r>
      <w:r>
        <w:rPr>
          <w:i/>
        </w:rPr>
        <w:t>s</w:t>
      </w:r>
      <w:r w:rsidRPr="00B739FD">
        <w:rPr>
          <w:i/>
        </w:rPr>
        <w:t xml:space="preserve"> to use is set out </w:t>
      </w:r>
      <w:r>
        <w:rPr>
          <w:i/>
        </w:rPr>
        <w:t>in Appendix 3</w:t>
      </w:r>
      <w:r w:rsidRPr="00B739FD">
        <w:rPr>
          <w:i/>
        </w:rPr>
        <w:t xml:space="preserve">.  </w:t>
      </w:r>
    </w:p>
    <w:p w:rsidR="00B97DF4" w:rsidRPr="00C7437B" w:rsidRDefault="00B97DF4" w:rsidP="00B97DF4">
      <w:pPr>
        <w:pStyle w:val="Heading2"/>
        <w:shd w:val="clear" w:color="auto" w:fill="E1EBF7" w:themeFill="text2" w:themeFillTint="1A"/>
        <w:rPr>
          <w:rStyle w:val="Heading2Char"/>
          <w:kern w:val="32"/>
          <w:sz w:val="36"/>
          <w:szCs w:val="36"/>
          <w:shd w:val="clear" w:color="auto" w:fill="E1EBF7" w:themeFill="text2" w:themeFillTint="1A"/>
        </w:rPr>
      </w:pPr>
      <w:r w:rsidRPr="00C7437B">
        <w:rPr>
          <w:rStyle w:val="Heading2Char"/>
          <w:kern w:val="32"/>
          <w:sz w:val="36"/>
          <w:szCs w:val="36"/>
          <w:shd w:val="clear" w:color="auto" w:fill="E1EBF7" w:themeFill="text2" w:themeFillTint="1A"/>
        </w:rPr>
        <w:t>Appendix 3: What is the decision process</w:t>
      </w:r>
      <w:r w:rsidR="00C7437B">
        <w:rPr>
          <w:rStyle w:val="Heading2Char"/>
          <w:kern w:val="32"/>
          <w:sz w:val="36"/>
          <w:szCs w:val="36"/>
          <w:shd w:val="clear" w:color="auto" w:fill="E1EBF7" w:themeFill="text2" w:themeFillTint="1A"/>
        </w:rPr>
        <w:t xml:space="preserve"> for choosing an option</w:t>
      </w:r>
      <w:r w:rsidRPr="00C7437B">
        <w:rPr>
          <w:rStyle w:val="Heading2Char"/>
          <w:kern w:val="32"/>
          <w:sz w:val="36"/>
          <w:szCs w:val="36"/>
          <w:shd w:val="clear" w:color="auto" w:fill="E1EBF7" w:themeFill="text2" w:themeFillTint="1A"/>
        </w:rPr>
        <w:t>?</w:t>
      </w:r>
    </w:p>
    <w:p w:rsidR="00B97DF4" w:rsidRDefault="00B97DF4" w:rsidP="00736A45">
      <w:pPr>
        <w:spacing w:after="100"/>
      </w:pPr>
      <w:r>
        <w:t>DELWP recommends the following process for choosing the best option to manage a particular conflict of interest:</w:t>
      </w:r>
    </w:p>
    <w:p w:rsidR="00B97DF4" w:rsidRPr="00750190" w:rsidRDefault="00B97DF4" w:rsidP="00281D95">
      <w:pPr>
        <w:pStyle w:val="Heading2"/>
        <w:spacing w:before="140" w:after="80"/>
      </w:pPr>
      <w:r>
        <w:t xml:space="preserve">a)  </w:t>
      </w:r>
      <w:r w:rsidRPr="00750190">
        <w:t>Is the conflict material?</w:t>
      </w:r>
    </w:p>
    <w:p w:rsidR="00B97DF4" w:rsidRPr="00D01A78" w:rsidRDefault="00B97DF4" w:rsidP="00736A45">
      <w:pPr>
        <w:spacing w:before="60" w:after="100"/>
      </w:pPr>
      <w:r>
        <w:t>T</w:t>
      </w:r>
      <w:r w:rsidRPr="00D01A78">
        <w:t xml:space="preserve">he board </w:t>
      </w:r>
      <w:r>
        <w:t>should start by deciding</w:t>
      </w:r>
      <w:r w:rsidRPr="00D01A78">
        <w:t xml:space="preserve"> whether the conflict is </w:t>
      </w:r>
      <w:r w:rsidRPr="00521DEC">
        <w:t>material</w:t>
      </w:r>
      <w:r w:rsidR="00521DEC">
        <w:t xml:space="preserve"> (serious)</w:t>
      </w:r>
      <w:r w:rsidRPr="00521DEC">
        <w:t xml:space="preserve">.  To do so, it should </w:t>
      </w:r>
      <w:r w:rsidR="00C56138">
        <w:t>take</w:t>
      </w:r>
      <w:r w:rsidRPr="00521DEC">
        <w:t xml:space="preserve"> into account</w:t>
      </w:r>
      <w:r>
        <w:rPr>
          <w:rStyle w:val="Emphasis-Bold"/>
        </w:rPr>
        <w:t xml:space="preserve"> </w:t>
      </w:r>
      <w:r w:rsidRPr="00D01A78">
        <w:t>all the relevant factors and circumstances, including:</w:t>
      </w:r>
    </w:p>
    <w:p w:rsidR="00B97DF4" w:rsidRPr="0080599E" w:rsidRDefault="00B97DF4" w:rsidP="00B97DF4">
      <w:pPr>
        <w:pStyle w:val="ListBullet"/>
        <w:spacing w:after="80"/>
      </w:pPr>
      <w:r>
        <w:t>t</w:t>
      </w:r>
      <w:r w:rsidRPr="0080599E">
        <w:t xml:space="preserve">he </w:t>
      </w:r>
      <w:r w:rsidRPr="00E72F0F">
        <w:rPr>
          <w:b/>
        </w:rPr>
        <w:t>objectives</w:t>
      </w:r>
      <w:r w:rsidRPr="00E72F0F">
        <w:t xml:space="preserve"> and </w:t>
      </w:r>
      <w:r w:rsidRPr="00E72F0F">
        <w:rPr>
          <w:b/>
        </w:rPr>
        <w:t>functions</w:t>
      </w:r>
      <w:r w:rsidRPr="0080599E">
        <w:t xml:space="preserve"> of the </w:t>
      </w:r>
      <w:r w:rsidR="00736A45">
        <w:t>agency</w:t>
      </w:r>
    </w:p>
    <w:p w:rsidR="00B97DF4" w:rsidRDefault="00B97DF4" w:rsidP="00B97DF4">
      <w:pPr>
        <w:pStyle w:val="ListBullet"/>
        <w:spacing w:after="80"/>
      </w:pPr>
      <w:r>
        <w:t>t</w:t>
      </w:r>
      <w:r w:rsidRPr="0080599E">
        <w:t xml:space="preserve">he </w:t>
      </w:r>
      <w:r w:rsidRPr="00E72F0F">
        <w:rPr>
          <w:b/>
        </w:rPr>
        <w:t>matter</w:t>
      </w:r>
      <w:r w:rsidRPr="0080599E">
        <w:t xml:space="preserve"> </w:t>
      </w:r>
      <w:r w:rsidR="00736A45">
        <w:t>to be discussed and determined</w:t>
      </w:r>
    </w:p>
    <w:p w:rsidR="00B97DF4" w:rsidRDefault="00B97DF4" w:rsidP="00B97DF4">
      <w:pPr>
        <w:pStyle w:val="ListBullet"/>
        <w:spacing w:after="80"/>
      </w:pPr>
      <w:r>
        <w:t>t</w:t>
      </w:r>
      <w:r w:rsidRPr="0080599E">
        <w:t xml:space="preserve">he </w:t>
      </w:r>
      <w:r w:rsidRPr="00E72F0F">
        <w:rPr>
          <w:b/>
        </w:rPr>
        <w:t>nature</w:t>
      </w:r>
      <w:r w:rsidRPr="0080599E">
        <w:t xml:space="preserve"> </w:t>
      </w:r>
      <w:r>
        <w:t>of the conflict (</w:t>
      </w:r>
      <w:r w:rsidRPr="00E361A2">
        <w:t>real, potential, or perceived</w:t>
      </w:r>
      <w:r w:rsidR="00736A45">
        <w:t>?)</w:t>
      </w:r>
    </w:p>
    <w:p w:rsidR="00B97DF4" w:rsidRPr="00E361A2" w:rsidRDefault="00B97DF4" w:rsidP="00B97DF4">
      <w:pPr>
        <w:pStyle w:val="ListBullet"/>
        <w:spacing w:after="80"/>
      </w:pPr>
      <w:r>
        <w:t xml:space="preserve">the </w:t>
      </w:r>
      <w:r w:rsidRPr="00E72F0F">
        <w:rPr>
          <w:b/>
        </w:rPr>
        <w:t>severity</w:t>
      </w:r>
      <w:r>
        <w:t xml:space="preserve"> of the conflict, including:</w:t>
      </w:r>
    </w:p>
    <w:p w:rsidR="00B97DF4" w:rsidRPr="00E361A2" w:rsidRDefault="00B97DF4" w:rsidP="00B97DF4">
      <w:pPr>
        <w:pStyle w:val="ListBullet2"/>
        <w:spacing w:after="80"/>
      </w:pPr>
      <w:r w:rsidRPr="00E361A2">
        <w:t xml:space="preserve">the amount, scope, and likelihood of any expected benefit (e.g. is it a large benefit primarily to the </w:t>
      </w:r>
      <w:r>
        <w:t>board</w:t>
      </w:r>
      <w:r w:rsidRPr="00E361A2">
        <w:t xml:space="preserve"> member or a small benefit that thousands of people including the </w:t>
      </w:r>
      <w:r>
        <w:t>board</w:t>
      </w:r>
      <w:r w:rsidR="008340D1">
        <w:t xml:space="preserve"> member will receive?)</w:t>
      </w:r>
    </w:p>
    <w:p w:rsidR="00B97DF4" w:rsidRDefault="00B97DF4" w:rsidP="00B97DF4">
      <w:pPr>
        <w:pStyle w:val="ListBullet2"/>
        <w:spacing w:after="80"/>
      </w:pPr>
      <w:r>
        <w:t xml:space="preserve">any </w:t>
      </w:r>
      <w:r w:rsidRPr="00C447DB">
        <w:t xml:space="preserve">other </w:t>
      </w:r>
      <w:r w:rsidRPr="00E361A2">
        <w:t xml:space="preserve">relevant circumstances (e.g. if the conflict relates to a </w:t>
      </w:r>
      <w:r>
        <w:t>board</w:t>
      </w:r>
      <w:r w:rsidRPr="00E361A2">
        <w:t xml:space="preserve"> member’s partner working at an organisation about which the </w:t>
      </w:r>
      <w:r>
        <w:t>board</w:t>
      </w:r>
      <w:r w:rsidRPr="00E361A2">
        <w:t xml:space="preserve"> is to make a decision: is the partner currently working there as the CEO?  Or did they leave a few years ago from a large organisation in which their work was not connected to the decision being made by the </w:t>
      </w:r>
      <w:r>
        <w:t>board</w:t>
      </w:r>
      <w:r w:rsidRPr="00E361A2">
        <w:t>?)</w:t>
      </w:r>
    </w:p>
    <w:p w:rsidR="00B97DF4" w:rsidRDefault="00B97DF4" w:rsidP="00B97DF4">
      <w:pPr>
        <w:pStyle w:val="ListBullet"/>
        <w:spacing w:before="60" w:after="80"/>
      </w:pPr>
      <w:r>
        <w:t xml:space="preserve">the </w:t>
      </w:r>
      <w:r w:rsidRPr="008C6FD8">
        <w:rPr>
          <w:b/>
        </w:rPr>
        <w:t>potential effect</w:t>
      </w:r>
      <w:r>
        <w:t xml:space="preserve"> of the conflict, including:</w:t>
      </w:r>
    </w:p>
    <w:p w:rsidR="00B97DF4" w:rsidRPr="00E361A2" w:rsidRDefault="00B97DF4" w:rsidP="00B97DF4">
      <w:pPr>
        <w:pStyle w:val="ListBullet2"/>
        <w:spacing w:before="60" w:after="40"/>
      </w:pPr>
      <w:r>
        <w:t>t</w:t>
      </w:r>
      <w:r w:rsidRPr="00E361A2">
        <w:t xml:space="preserve">he extent to which the </w:t>
      </w:r>
      <w:r>
        <w:t>board</w:t>
      </w:r>
      <w:r w:rsidRPr="00E361A2">
        <w:t xml:space="preserve"> member’s ability to make an impartial decision in the public interest could be compromised </w:t>
      </w:r>
      <w:r>
        <w:t>(</w:t>
      </w:r>
      <w:r w:rsidRPr="00E361A2">
        <w:t xml:space="preserve">or </w:t>
      </w:r>
      <w:r>
        <w:t xml:space="preserve">could </w:t>
      </w:r>
      <w:r w:rsidRPr="00E361A2">
        <w:t>reasonably be seen to be compromised</w:t>
      </w:r>
      <w:r>
        <w:t>); and</w:t>
      </w:r>
    </w:p>
    <w:p w:rsidR="00B97DF4" w:rsidRPr="00E361A2" w:rsidRDefault="00B97DF4" w:rsidP="00B97DF4">
      <w:pPr>
        <w:pStyle w:val="ListBullet2"/>
        <w:spacing w:before="60" w:after="40"/>
      </w:pPr>
      <w:r>
        <w:t>t</w:t>
      </w:r>
      <w:r w:rsidRPr="00E361A2">
        <w:t xml:space="preserve">he </w:t>
      </w:r>
      <w:r>
        <w:t xml:space="preserve">overall </w:t>
      </w:r>
      <w:r w:rsidRPr="00E361A2">
        <w:t xml:space="preserve">likelihood that the conflict of interest may affect public confidence in the integrity of the </w:t>
      </w:r>
      <w:r>
        <w:t>board</w:t>
      </w:r>
      <w:r w:rsidRPr="00E361A2">
        <w:t xml:space="preserve"> and its decisions.</w:t>
      </w:r>
    </w:p>
    <w:p w:rsidR="00B97DF4" w:rsidRPr="00D01A78" w:rsidRDefault="00B97DF4" w:rsidP="001E3468">
      <w:pPr>
        <w:pStyle w:val="Heading2"/>
        <w:spacing w:before="140" w:after="100"/>
      </w:pPr>
      <w:r>
        <w:t xml:space="preserve">b)  </w:t>
      </w:r>
      <w:r w:rsidRPr="00D01A78">
        <w:t xml:space="preserve">Managing </w:t>
      </w:r>
      <w:r w:rsidRPr="00B016D1">
        <w:rPr>
          <w:u w:val="single"/>
        </w:rPr>
        <w:t>material</w:t>
      </w:r>
      <w:r w:rsidRPr="00D01A78">
        <w:t xml:space="preserve"> conflicts of interest </w:t>
      </w:r>
    </w:p>
    <w:p w:rsidR="00B97DF4" w:rsidRPr="00D01A78" w:rsidRDefault="00B97DF4" w:rsidP="004D25A1">
      <w:pPr>
        <w:spacing w:before="40" w:after="90"/>
      </w:pPr>
      <w:r w:rsidRPr="00D01A78">
        <w:t xml:space="preserve">The board’s </w:t>
      </w:r>
      <w:r w:rsidRPr="00E72F0F">
        <w:t>standard procedure</w:t>
      </w:r>
      <w:r w:rsidRPr="00D01A78">
        <w:t xml:space="preserve"> for managing a material conflict of interest </w:t>
      </w:r>
      <w:r>
        <w:t>should be</w:t>
      </w:r>
      <w:r w:rsidRPr="00D01A78">
        <w:t xml:space="preserve"> to </w:t>
      </w:r>
      <w:r w:rsidRPr="00D01A78">
        <w:rPr>
          <w:b/>
        </w:rPr>
        <w:t>remove</w:t>
      </w:r>
      <w:r w:rsidRPr="00D01A78">
        <w:t xml:space="preserve"> the board member from all participation in the matter.  The board member </w:t>
      </w:r>
      <w:r>
        <w:t>should</w:t>
      </w:r>
      <w:r w:rsidRPr="00D01A78">
        <w:t>:</w:t>
      </w:r>
    </w:p>
    <w:p w:rsidR="00B97DF4" w:rsidRPr="00D01A78" w:rsidRDefault="00B97DF4" w:rsidP="004D25A1">
      <w:pPr>
        <w:pStyle w:val="ListBullet"/>
        <w:spacing w:after="90"/>
      </w:pPr>
      <w:r w:rsidRPr="00D01A78">
        <w:t>leave the room at the start of the relevant agenda item and not return until the start of the next agenda item;</w:t>
      </w:r>
    </w:p>
    <w:p w:rsidR="00B97DF4" w:rsidRPr="00D01A78" w:rsidRDefault="00B97DF4" w:rsidP="004D25A1">
      <w:pPr>
        <w:pStyle w:val="ListBullet"/>
        <w:spacing w:after="90"/>
      </w:pPr>
      <w:r w:rsidRPr="00D01A78">
        <w:t>not discuss the matter at all with any other board member (either in the meeting or elsewhere); and</w:t>
      </w:r>
    </w:p>
    <w:p w:rsidR="00B97DF4" w:rsidRPr="00D01A78" w:rsidRDefault="00B97DF4" w:rsidP="00736A45">
      <w:pPr>
        <w:pStyle w:val="ListBullet"/>
        <w:spacing w:after="0" w:line="240" w:lineRule="atLeast"/>
      </w:pPr>
      <w:r w:rsidRPr="00D01A78">
        <w:t>not participate in any board decision on the matter.</w:t>
      </w:r>
    </w:p>
    <w:p w:rsidR="00B97DF4" w:rsidRPr="00D01A78" w:rsidRDefault="00B97DF4" w:rsidP="00736A45">
      <w:pPr>
        <w:spacing w:after="120" w:line="260" w:lineRule="atLeast"/>
      </w:pPr>
      <w:r w:rsidRPr="00D01A78">
        <w:t xml:space="preserve">The standard procedure </w:t>
      </w:r>
      <w:r>
        <w:t>should</w:t>
      </w:r>
      <w:r w:rsidRPr="00D01A78">
        <w:t xml:space="preserve"> be followed unless the board determines and records in the minutes clear reasons why it is not in the public interest.  </w:t>
      </w:r>
    </w:p>
    <w:p w:rsidR="00B97DF4" w:rsidRPr="00D7062E" w:rsidRDefault="00B97DF4" w:rsidP="00965973">
      <w:pPr>
        <w:pStyle w:val="Heading3"/>
      </w:pPr>
      <w:r w:rsidRPr="00D7062E">
        <w:t xml:space="preserve">Stronger option for managing a material conflict </w:t>
      </w:r>
    </w:p>
    <w:p w:rsidR="00B97DF4" w:rsidRPr="00D01A78" w:rsidRDefault="00B97DF4" w:rsidP="00B97DF4">
      <w:pPr>
        <w:spacing w:before="40" w:line="260" w:lineRule="atLeast"/>
      </w:pPr>
      <w:r w:rsidRPr="00D01A78">
        <w:t xml:space="preserve">If the public could reasonably form the view that the conflict </w:t>
      </w:r>
      <w:r w:rsidR="00DF6B79">
        <w:t xml:space="preserve">of interest </w:t>
      </w:r>
      <w:r w:rsidRPr="00D01A78">
        <w:t>is of unacceptable frequency and/or duration then</w:t>
      </w:r>
      <w:r w:rsidR="00DF6B79">
        <w:t>,</w:t>
      </w:r>
      <w:r w:rsidRPr="00D01A78">
        <w:t xml:space="preserve"> to maintain public confidence and protect the reputation of the organisation</w:t>
      </w:r>
      <w:r w:rsidR="00DF6B79">
        <w:t>,</w:t>
      </w:r>
      <w:r w:rsidRPr="00D01A78">
        <w:t xml:space="preserve"> it may be necessary, in the </w:t>
      </w:r>
      <w:r w:rsidRPr="00D7062E">
        <w:t>public interest,</w:t>
      </w:r>
      <w:r w:rsidRPr="00D01A78">
        <w:t xml:space="preserve"> for the board member to:</w:t>
      </w:r>
    </w:p>
    <w:p w:rsidR="00B97DF4" w:rsidRPr="00D01A78" w:rsidRDefault="00B97DF4" w:rsidP="00B97DF4">
      <w:pPr>
        <w:pStyle w:val="ListBullet"/>
        <w:spacing w:before="60"/>
      </w:pPr>
      <w:r w:rsidRPr="00D01A78">
        <w:t>relinquish their private interest;</w:t>
      </w:r>
    </w:p>
    <w:p w:rsidR="00B97DF4" w:rsidRPr="00D01A78" w:rsidRDefault="00B97DF4" w:rsidP="00B97DF4">
      <w:pPr>
        <w:pStyle w:val="ListBullet"/>
        <w:spacing w:before="60"/>
      </w:pPr>
      <w:r w:rsidRPr="00D01A78">
        <w:t>resign or stand down on a temporary basis from the other organisation to which he/she has a duty; or</w:t>
      </w:r>
    </w:p>
    <w:p w:rsidR="00B97DF4" w:rsidRPr="00D01A78" w:rsidRDefault="00B97DF4" w:rsidP="00B97DF4">
      <w:pPr>
        <w:pStyle w:val="ListBullet"/>
        <w:spacing w:before="60"/>
      </w:pPr>
      <w:r w:rsidRPr="00D01A78">
        <w:t>resign from the board.</w:t>
      </w:r>
    </w:p>
    <w:p w:rsidR="00B97DF4" w:rsidRPr="00935AFE" w:rsidRDefault="00B97DF4" w:rsidP="00B97DF4">
      <w:pPr>
        <w:spacing w:line="260" w:lineRule="atLeast"/>
      </w:pPr>
      <w:r w:rsidRPr="00D01A78">
        <w:t>If the board is unsure whether a stronger optio</w:t>
      </w:r>
      <w:r w:rsidR="005C3E94">
        <w:t xml:space="preserve">n is in the public interest DELWP </w:t>
      </w:r>
      <w:r>
        <w:t>should</w:t>
      </w:r>
      <w:r w:rsidRPr="00D01A78">
        <w:t xml:space="preserve"> be contacted for advice.     </w:t>
      </w:r>
    </w:p>
    <w:p w:rsidR="00B97DF4" w:rsidRPr="00D7062E" w:rsidRDefault="00B97DF4" w:rsidP="00965973">
      <w:pPr>
        <w:pStyle w:val="Heading3"/>
      </w:pPr>
      <w:r w:rsidRPr="00D7062E">
        <w:t xml:space="preserve">Lesser options for managing a material conflict </w:t>
      </w:r>
    </w:p>
    <w:p w:rsidR="00B97DF4" w:rsidRPr="00D01A78" w:rsidRDefault="00B97DF4" w:rsidP="00C6753A">
      <w:r w:rsidRPr="00D01A78">
        <w:t xml:space="preserve">A lesser option (record, restrict or </w:t>
      </w:r>
      <w:r>
        <w:t>recruit</w:t>
      </w:r>
      <w:r w:rsidRPr="00D01A78">
        <w:t xml:space="preserve">) will not usually be in the public interest for managing material conflicts of interest.  If the board is unsure whether a lesser option is in the public interest </w:t>
      </w:r>
      <w:r w:rsidR="00C6753A">
        <w:t>it</w:t>
      </w:r>
      <w:r w:rsidRPr="00D01A78">
        <w:t xml:space="preserve"> </w:t>
      </w:r>
      <w:r w:rsidR="003136C0">
        <w:t>should</w:t>
      </w:r>
      <w:r w:rsidRPr="00D01A78">
        <w:t xml:space="preserve"> err on the side of caution.</w:t>
      </w:r>
    </w:p>
    <w:p w:rsidR="00B97DF4" w:rsidRPr="00D01A78" w:rsidRDefault="00B97DF4" w:rsidP="00C6753A">
      <w:r w:rsidRPr="00D01A78">
        <w:t xml:space="preserve">If the board decides on a lesser option then, in addition to minuting why it is in the public interest, careful monitoring </w:t>
      </w:r>
      <w:r w:rsidR="00C6753A">
        <w:t>should</w:t>
      </w:r>
      <w:r w:rsidRPr="00D01A78">
        <w:t xml:space="preserve"> occur to ensure </w:t>
      </w:r>
      <w:r w:rsidR="0031273B">
        <w:t>that it</w:t>
      </w:r>
      <w:r w:rsidRPr="00D01A78">
        <w:t xml:space="preserve"> remains appropriate. </w:t>
      </w:r>
    </w:p>
    <w:p w:rsidR="00B97DF4" w:rsidRPr="00D01A78" w:rsidRDefault="00B97DF4" w:rsidP="00B97DF4">
      <w:pPr>
        <w:shd w:val="clear" w:color="auto" w:fill="E1EBF7" w:themeFill="text2" w:themeFillTint="1A"/>
        <w:spacing w:after="40"/>
        <w:rPr>
          <w:b/>
        </w:rPr>
      </w:pPr>
      <w:r w:rsidRPr="00D01A78">
        <w:rPr>
          <w:b/>
        </w:rPr>
        <w:t>Examples</w:t>
      </w:r>
    </w:p>
    <w:p w:rsidR="00B97DF4" w:rsidRPr="00D01A78" w:rsidRDefault="00B97DF4" w:rsidP="00B97DF4">
      <w:pPr>
        <w:shd w:val="clear" w:color="auto" w:fill="E1EBF7" w:themeFill="text2" w:themeFillTint="1A"/>
        <w:spacing w:before="20" w:after="20" w:line="240" w:lineRule="atLeast"/>
      </w:pPr>
      <w:r w:rsidRPr="00D01A78">
        <w:t>Examples of where a lesser optio</w:t>
      </w:r>
      <w:r w:rsidR="006328D7">
        <w:t>n may be in the public interest</w:t>
      </w:r>
      <w:r w:rsidRPr="00D01A78">
        <w:t xml:space="preserve"> include:</w:t>
      </w:r>
    </w:p>
    <w:p w:rsidR="00B97DF4" w:rsidRPr="00D01A78" w:rsidRDefault="00B97DF4" w:rsidP="00B97DF4">
      <w:pPr>
        <w:pStyle w:val="ListBullet"/>
        <w:shd w:val="clear" w:color="auto" w:fill="E1EBF7" w:themeFill="text2" w:themeFillTint="1A"/>
        <w:spacing w:line="260" w:lineRule="atLeast"/>
      </w:pPr>
      <w:r w:rsidRPr="00297948">
        <w:rPr>
          <w:b/>
        </w:rPr>
        <w:t>Discussion:</w:t>
      </w:r>
      <w:r w:rsidRPr="00D01A78">
        <w:t xml:space="preserve"> If the ‘conflicted’ board member was appointed on the basis o</w:t>
      </w:r>
      <w:r w:rsidR="00A62A56">
        <w:t>f their knowledge of the matter then</w:t>
      </w:r>
      <w:r w:rsidRPr="00D01A78">
        <w:t xml:space="preserve"> it may be in the public interest for them to be present for par</w:t>
      </w:r>
      <w:r>
        <w:t>t of the board’s discussions.  (</w:t>
      </w:r>
      <w:r w:rsidRPr="00D01A78">
        <w:t xml:space="preserve">However, if an ‘unconflicted’ board member is absent who also has </w:t>
      </w:r>
      <w:r w:rsidR="006328D7">
        <w:t xml:space="preserve">this expertise </w:t>
      </w:r>
      <w:r w:rsidR="00A62A56">
        <w:t xml:space="preserve">then </w:t>
      </w:r>
      <w:r w:rsidRPr="00D01A78">
        <w:t xml:space="preserve">it will usually be in the public interest for discussion to occur at the next meeting instead.) </w:t>
      </w:r>
      <w:r w:rsidR="00297948">
        <w:br w:type="column"/>
      </w:r>
      <w:r w:rsidRPr="00297948">
        <w:rPr>
          <w:b/>
        </w:rPr>
        <w:t>Decision</w:t>
      </w:r>
      <w:r w:rsidRPr="00D01A78">
        <w:t xml:space="preserve">: If the recommended procedure </w:t>
      </w:r>
      <w:r w:rsidR="00275B24">
        <w:t xml:space="preserve">of ‘remove’ </w:t>
      </w:r>
      <w:r w:rsidRPr="00D01A78">
        <w:t>would mean that there is no quorum for the decision even if all ‘unconflicted’ board members are present then a lesser option will be in the public interest.</w:t>
      </w:r>
      <w:r>
        <w:t xml:space="preserve">  (</w:t>
      </w:r>
      <w:r w:rsidRPr="00D01A78">
        <w:t>However, if ‘unconflicted’ board member/s are absent then it will usually be in the public interest for the decision to be held over to the next board meeting instead.)</w:t>
      </w:r>
      <w:r>
        <w:t xml:space="preserve">  </w:t>
      </w:r>
      <w:r w:rsidRPr="00297948">
        <w:rPr>
          <w:i/>
        </w:rPr>
        <w:t>If this is a common occurrence DELWP should be notified.</w:t>
      </w:r>
    </w:p>
    <w:p w:rsidR="00B97DF4" w:rsidRPr="00D01A78" w:rsidRDefault="00B97DF4" w:rsidP="00965973">
      <w:pPr>
        <w:pStyle w:val="Heading2"/>
        <w:spacing w:before="300"/>
      </w:pPr>
      <w:r>
        <w:t xml:space="preserve">c)  </w:t>
      </w:r>
      <w:r w:rsidRPr="00D01A78">
        <w:t xml:space="preserve">Managing </w:t>
      </w:r>
      <w:r w:rsidRPr="00B016D1">
        <w:rPr>
          <w:u w:val="single"/>
        </w:rPr>
        <w:t>non-material</w:t>
      </w:r>
      <w:r w:rsidRPr="00D01A78">
        <w:t xml:space="preserve"> conflicts of interest</w:t>
      </w:r>
    </w:p>
    <w:p w:rsidR="00B97DF4" w:rsidRPr="00D01A78" w:rsidRDefault="00B97DF4" w:rsidP="00B97DF4">
      <w:pPr>
        <w:spacing w:before="60" w:line="260" w:lineRule="atLeast"/>
      </w:pPr>
      <w:r w:rsidRPr="00D01A78">
        <w:t xml:space="preserve">For a non-material conflict of interest, there is more likelihood that a lesser option (record, restrict or </w:t>
      </w:r>
      <w:r>
        <w:t>recruit</w:t>
      </w:r>
      <w:r w:rsidRPr="00D01A78">
        <w:t xml:space="preserve">) will be in the public interest.  In making its decision, the board </w:t>
      </w:r>
      <w:r w:rsidR="00297948">
        <w:t>should</w:t>
      </w:r>
      <w:r w:rsidRPr="00D01A78">
        <w:t xml:space="preserve"> take into account all relevant factors </w:t>
      </w:r>
      <w:r w:rsidR="002155AA">
        <w:t xml:space="preserve">- </w:t>
      </w:r>
      <w:r w:rsidRPr="00D01A78">
        <w:t>e.g. the lower the severity of the conflict, the more likely that a lesser option</w:t>
      </w:r>
      <w:r w:rsidR="002155AA">
        <w:t xml:space="preserve"> will be in the public interest</w:t>
      </w:r>
      <w:r w:rsidRPr="00D01A78">
        <w:t xml:space="preserve">.  </w:t>
      </w:r>
    </w:p>
    <w:p w:rsidR="00B97DF4" w:rsidRDefault="00B97DF4" w:rsidP="0012469D">
      <w:r w:rsidRPr="00627435">
        <w:t xml:space="preserve">If the board decides on a lesser option then, in addition to minuting why it is in the public interest, careful monitoring </w:t>
      </w:r>
      <w:r w:rsidR="00297948">
        <w:t>should</w:t>
      </w:r>
      <w:r w:rsidRPr="00627435">
        <w:t xml:space="preserve"> occur to ensure that it remains appropriate </w:t>
      </w:r>
      <w:r w:rsidR="00D62D2F">
        <w:t xml:space="preserve">- </w:t>
      </w:r>
      <w:r w:rsidRPr="00627435">
        <w:t xml:space="preserve">e.g. the board may initially </w:t>
      </w:r>
      <w:r w:rsidR="00D62D2F">
        <w:t>decide</w:t>
      </w:r>
      <w:r w:rsidRPr="00627435">
        <w:t xml:space="preserve"> to only ‘record’ the conflict but after monitoring may decide instead that the board member can participate in part of the discussion but must be removed from al</w:t>
      </w:r>
      <w:r w:rsidR="00D62D2F">
        <w:t>l decision-making on the matter</w:t>
      </w:r>
      <w:r w:rsidRPr="00627435">
        <w:t>.</w:t>
      </w:r>
      <w:r w:rsidRPr="00D01A78">
        <w:t xml:space="preserve">  </w:t>
      </w:r>
    </w:p>
    <w:p w:rsidR="00B97DF4" w:rsidRPr="00E361A2" w:rsidRDefault="00B97DF4" w:rsidP="00B97DF4">
      <w:pPr>
        <w:spacing w:before="80" w:after="0" w:line="260" w:lineRule="atLeast"/>
      </w:pPr>
      <w:r>
        <w:t xml:space="preserve">If the board is unsure whether a lesser option is in the public interest it will err on the side of caution and decide on the standard procedure of </w:t>
      </w:r>
      <w:r>
        <w:rPr>
          <w:b/>
        </w:rPr>
        <w:t>remove</w:t>
      </w:r>
      <w:r w:rsidR="00580A4F">
        <w:t xml:space="preserve"> - </w:t>
      </w:r>
      <w:r>
        <w:t>i.e.</w:t>
      </w:r>
      <w:r>
        <w:rPr>
          <w:b/>
        </w:rPr>
        <w:t xml:space="preserve"> </w:t>
      </w:r>
      <w:r>
        <w:t>the board member leave</w:t>
      </w:r>
      <w:r w:rsidR="00294DBE">
        <w:t>s</w:t>
      </w:r>
      <w:r>
        <w:t xml:space="preserve"> the room and </w:t>
      </w:r>
      <w:r w:rsidR="00294DBE">
        <w:t xml:space="preserve">does </w:t>
      </w:r>
      <w:r>
        <w:t>not participate in any discussion o</w:t>
      </w:r>
      <w:r w:rsidR="00580A4F">
        <w:t>r decision-making on the matter</w:t>
      </w:r>
      <w:r>
        <w:t>.</w:t>
      </w:r>
    </w:p>
    <w:p w:rsidR="002D612C" w:rsidRDefault="002D612C" w:rsidP="002D612C">
      <w:pPr>
        <w:pStyle w:val="Heading1"/>
      </w:pPr>
      <w:r>
        <w:t>Further information</w:t>
      </w:r>
    </w:p>
    <w:p w:rsidR="00CB1E49" w:rsidRDefault="00CB1E49" w:rsidP="00CB1E49">
      <w:r w:rsidRPr="00A66B72">
        <w:t>On Board</w:t>
      </w:r>
      <w:r w:rsidRPr="00A66B72">
        <w:rPr>
          <w:rStyle w:val="Emphasis-Bold"/>
          <w:rFonts w:eastAsiaTheme="majorEastAsia"/>
        </w:rPr>
        <w:t xml:space="preserve"> </w:t>
      </w:r>
      <w:r w:rsidRPr="00A66B72">
        <w:rPr>
          <w:rStyle w:val="Emphasis-Bold"/>
          <w:rFonts w:eastAsiaTheme="majorEastAsia"/>
          <w:b w:val="0"/>
        </w:rPr>
        <w:t>(</w:t>
      </w:r>
      <w:hyperlink r:id="rId17" w:history="1">
        <w:r w:rsidRPr="00A3042C">
          <w:rPr>
            <w:rStyle w:val="Hyperlink"/>
            <w:rFonts w:eastAsiaTheme="majorEastAsia"/>
          </w:rPr>
          <w:t>www.delwp.vic.gov.au/onboard</w:t>
        </w:r>
      </w:hyperlink>
      <w:r w:rsidRPr="00A66B72">
        <w:rPr>
          <w:rStyle w:val="Emphasis-Bold"/>
          <w:rFonts w:eastAsiaTheme="majorEastAsia"/>
          <w:b w:val="0"/>
        </w:rPr>
        <w:t>)</w:t>
      </w:r>
      <w:r w:rsidRPr="00A3042C">
        <w:t>, in particular, the</w:t>
      </w:r>
      <w:r>
        <w:t xml:space="preserve"> </w:t>
      </w:r>
      <w:hyperlink r:id="rId18" w:history="1">
        <w:r w:rsidRPr="00A3042C">
          <w:rPr>
            <w:rStyle w:val="Hyperlink"/>
          </w:rPr>
          <w:t>Conflict of Interest</w:t>
        </w:r>
      </w:hyperlink>
      <w:r>
        <w:t xml:space="preserve"> </w:t>
      </w:r>
      <w:r w:rsidRPr="00A3042C">
        <w:t>support module</w:t>
      </w:r>
      <w:r>
        <w:t xml:space="preserve">. </w:t>
      </w:r>
    </w:p>
    <w:p w:rsidR="00AA13BD" w:rsidRPr="00FC4E61" w:rsidRDefault="00CB1E49" w:rsidP="00A61E04">
      <w:pPr>
        <w:rPr>
          <w:rFonts w:eastAsia="Calibri"/>
        </w:rPr>
      </w:pPr>
      <w:r>
        <w:t>DELWP also offers support to its agencies through DELWP divisions and regional offices.  Please contact your agency’s usual DELWP relationship manager or team or phone the Customer Service Centre on 136 186.</w:t>
      </w:r>
      <w:r w:rsidR="001F256D" w:rsidRPr="00732FB1">
        <w:rPr>
          <w:noProof/>
          <w:color w:val="228591"/>
          <w:lang w:eastAsia="en-AU"/>
        </w:rPr>
        <mc:AlternateContent>
          <mc:Choice Requires="wpc">
            <w:drawing>
              <wp:anchor distT="0" distB="0" distL="114300" distR="114300" simplePos="0" relativeHeight="251659776" behindDoc="0" locked="1" layoutInCell="1" allowOverlap="1" wp14:anchorId="057840F4" wp14:editId="71608397">
                <wp:simplePos x="0" y="0"/>
                <wp:positionH relativeFrom="page">
                  <wp:posOffset>340995</wp:posOffset>
                </wp:positionH>
                <wp:positionV relativeFrom="page">
                  <wp:posOffset>8352790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9"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0"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1"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2"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1F256D" w:rsidP="001F256D">
                              <w:pPr>
                                <w:widowControl w:val="0"/>
                                <w:spacing w:after="100" w:line="200" w:lineRule="atLeast"/>
                                <w:rPr>
                                  <w:rFonts w:asciiTheme="minorHAnsi" w:hAnsiTheme="minorHAnsi"/>
                                  <w:sz w:val="15"/>
                                  <w:szCs w:val="15"/>
                                </w:rPr>
                              </w:pPr>
                              <w:r>
                                <w:rPr>
                                  <w:rFonts w:asciiTheme="minorHAnsi" w:hAnsiTheme="minorHAnsi"/>
                                  <w:sz w:val="15"/>
                                  <w:szCs w:val="15"/>
                                </w:rPr>
                                <w:t>10</w:t>
                              </w:r>
                              <w:r w:rsidRPr="0022751F">
                                <w:rPr>
                                  <w:rFonts w:asciiTheme="minorHAnsi" w:hAnsiTheme="minorHAnsi"/>
                                  <w:sz w:val="15"/>
                                  <w:szCs w:val="15"/>
                                </w:rPr>
                                <w:t xml:space="preserve"> </w:t>
                              </w:r>
                              <w:r w:rsidR="00C2430C">
                                <w:rPr>
                                  <w:rFonts w:asciiTheme="minorHAnsi" w:hAnsiTheme="minorHAnsi"/>
                                  <w:sz w:val="15"/>
                                  <w:szCs w:val="15"/>
                                </w:rPr>
                                <w:t>September</w:t>
                              </w:r>
                              <w:r w:rsidRPr="0022751F">
                                <w:rPr>
                                  <w:rFonts w:asciiTheme="minorHAnsi" w:hAnsiTheme="minorHAnsi"/>
                                  <w:sz w:val="15"/>
                                  <w:szCs w:val="15"/>
                                </w:rPr>
                                <w:t xml:space="preserve"> 2015 (</w:t>
                              </w:r>
                              <w:r>
                                <w:rPr>
                                  <w:rStyle w:val="Emphasis-Bold"/>
                                  <w:rFonts w:asciiTheme="minorHAnsi" w:hAnsiTheme="minorHAnsi"/>
                                  <w:sz w:val="15"/>
                                  <w:szCs w:val="15"/>
                                </w:rPr>
                                <w:t>version 2</w:t>
                              </w:r>
                              <w:r w:rsidR="00715A65">
                                <w:rPr>
                                  <w:rStyle w:val="Emphasis-Bold"/>
                                  <w:rFonts w:asciiTheme="minorHAnsi" w:hAnsiTheme="minorHAnsi"/>
                                  <w:sz w:val="15"/>
                                  <w:szCs w:val="15"/>
                                </w:rPr>
                                <w:t>.05</w:t>
                              </w:r>
                              <w:r w:rsidRPr="0022751F">
                                <w:rPr>
                                  <w:rFonts w:asciiTheme="minorHAnsi" w:hAnsiTheme="minorHAnsi"/>
                                  <w:sz w:val="15"/>
                                  <w:szCs w:val="15"/>
                                </w:rPr>
                                <w:t xml:space="preserve">) </w:t>
                              </w:r>
                              <w:r w:rsidR="00D15DC3">
                                <w:rPr>
                                  <w:rFonts w:asciiTheme="minorHAnsi" w:hAnsiTheme="minorHAnsi"/>
                                  <w:sz w:val="15"/>
                                  <w:szCs w:val="15"/>
                                </w:rPr>
                                <w:t>– 53.</w:t>
                              </w:r>
                              <w:r w:rsidR="00B21609">
                                <w:rPr>
                                  <w:rFonts w:asciiTheme="minorHAnsi" w:hAnsiTheme="minorHAnsi"/>
                                  <w:sz w:val="15"/>
                                  <w:szCs w:val="15"/>
                                </w:rPr>
                                <w:t>02</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7C807940" wp14:editId="67B88841">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4"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05730"/>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6.85pt;margin-top:657.7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s2t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5"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6"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7"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8"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1F256D" w:rsidP="001F256D">
                        <w:pPr>
                          <w:widowControl w:val="0"/>
                          <w:spacing w:after="100" w:line="200" w:lineRule="atLeast"/>
                          <w:rPr>
                            <w:rFonts w:asciiTheme="minorHAnsi" w:hAnsiTheme="minorHAnsi"/>
                            <w:sz w:val="15"/>
                            <w:szCs w:val="15"/>
                          </w:rPr>
                        </w:pPr>
                        <w:r>
                          <w:rPr>
                            <w:rFonts w:asciiTheme="minorHAnsi" w:hAnsiTheme="minorHAnsi"/>
                            <w:sz w:val="15"/>
                            <w:szCs w:val="15"/>
                          </w:rPr>
                          <w:t>10</w:t>
                        </w:r>
                        <w:r w:rsidRPr="0022751F">
                          <w:rPr>
                            <w:rFonts w:asciiTheme="minorHAnsi" w:hAnsiTheme="minorHAnsi"/>
                            <w:sz w:val="15"/>
                            <w:szCs w:val="15"/>
                          </w:rPr>
                          <w:t xml:space="preserve"> </w:t>
                        </w:r>
                        <w:r w:rsidR="00C2430C">
                          <w:rPr>
                            <w:rFonts w:asciiTheme="minorHAnsi" w:hAnsiTheme="minorHAnsi"/>
                            <w:sz w:val="15"/>
                            <w:szCs w:val="15"/>
                          </w:rPr>
                          <w:t>September</w:t>
                        </w:r>
                        <w:r w:rsidRPr="0022751F">
                          <w:rPr>
                            <w:rFonts w:asciiTheme="minorHAnsi" w:hAnsiTheme="minorHAnsi"/>
                            <w:sz w:val="15"/>
                            <w:szCs w:val="15"/>
                          </w:rPr>
                          <w:t xml:space="preserve"> 2015 (</w:t>
                        </w:r>
                        <w:r>
                          <w:rPr>
                            <w:rStyle w:val="Emphasis-Bold"/>
                            <w:rFonts w:asciiTheme="minorHAnsi" w:hAnsiTheme="minorHAnsi"/>
                            <w:sz w:val="15"/>
                            <w:szCs w:val="15"/>
                          </w:rPr>
                          <w:t>version 2</w:t>
                        </w:r>
                        <w:r w:rsidR="00715A65">
                          <w:rPr>
                            <w:rStyle w:val="Emphasis-Bold"/>
                            <w:rFonts w:asciiTheme="minorHAnsi" w:hAnsiTheme="minorHAnsi"/>
                            <w:sz w:val="15"/>
                            <w:szCs w:val="15"/>
                          </w:rPr>
                          <w:t>.05</w:t>
                        </w:r>
                        <w:r w:rsidRPr="0022751F">
                          <w:rPr>
                            <w:rFonts w:asciiTheme="minorHAnsi" w:hAnsiTheme="minorHAnsi"/>
                            <w:sz w:val="15"/>
                            <w:szCs w:val="15"/>
                          </w:rPr>
                          <w:t xml:space="preserve">) </w:t>
                        </w:r>
                        <w:r w:rsidR="00D15DC3">
                          <w:rPr>
                            <w:rFonts w:asciiTheme="minorHAnsi" w:hAnsiTheme="minorHAnsi"/>
                            <w:sz w:val="15"/>
                            <w:szCs w:val="15"/>
                          </w:rPr>
                          <w:t>– 53.</w:t>
                        </w:r>
                        <w:r w:rsidR="00B21609">
                          <w:rPr>
                            <w:rFonts w:asciiTheme="minorHAnsi" w:hAnsiTheme="minorHAnsi"/>
                            <w:sz w:val="15"/>
                            <w:szCs w:val="15"/>
                          </w:rPr>
                          <w:t>02</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7C807940" wp14:editId="67B88841">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30"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057;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AA13BD" w:rsidRPr="00FC4E61" w:rsidSect="00BD3DA8">
      <w:type w:val="continuous"/>
      <w:pgSz w:w="11907" w:h="16840" w:code="9"/>
      <w:pgMar w:top="2268" w:right="567" w:bottom="851" w:left="1134" w:header="284" w:footer="1021"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5F2465" w:rsidP="000F55F1">
    <w:pPr>
      <w:pStyle w:val="ImprintText"/>
      <w:spacing w:before="300" w:after="0"/>
    </w:pPr>
    <w:r>
      <w:rPr>
        <w:noProof/>
        <w:lang w:eastAsia="en-AU"/>
      </w:rPr>
      <w:drawing>
        <wp:anchor distT="0" distB="0" distL="114300" distR="114300" simplePos="0" relativeHeight="251665408" behindDoc="0" locked="0" layoutInCell="1" allowOverlap="1" wp14:anchorId="64D755F5" wp14:editId="34097225">
          <wp:simplePos x="0" y="0"/>
          <wp:positionH relativeFrom="column">
            <wp:posOffset>5375910</wp:posOffset>
          </wp:positionH>
          <wp:positionV relativeFrom="paragraph">
            <wp:posOffset>80010</wp:posOffset>
          </wp:positionV>
          <wp:extent cx="1160145" cy="33655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926A93">
          <w:rPr>
            <w:noProof/>
            <w:szCs w:val="16"/>
          </w:rPr>
          <w:t>5</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693BC9">
          <w:rPr>
            <w:noProof/>
            <w:szCs w:val="16"/>
          </w:rPr>
          <w:t>5</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5F2465"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3D953476" wp14:editId="200A5D0C">
          <wp:simplePos x="0" y="0"/>
          <wp:positionH relativeFrom="column">
            <wp:posOffset>5129726</wp:posOffset>
          </wp:positionH>
          <wp:positionV relativeFrom="paragraph">
            <wp:posOffset>118793</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926A93">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693BC9">
          <w:rPr>
            <w:noProof/>
            <w:szCs w:val="16"/>
          </w:rPr>
          <w:t>5</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 w:id="1">
    <w:p w:rsidR="00906201" w:rsidRDefault="00906201" w:rsidP="00906201">
      <w:pPr>
        <w:pStyle w:val="FootnoteText"/>
      </w:pPr>
      <w:r>
        <w:rPr>
          <w:rStyle w:val="FootnoteReference"/>
        </w:rPr>
        <w:footnoteRef/>
      </w:r>
      <w:r>
        <w:t xml:space="preserve"> </w:t>
      </w:r>
      <w:r>
        <w:tab/>
        <w:t xml:space="preserve">The DOPI form for use by DELWP agencies is available from the </w:t>
      </w:r>
      <w:hyperlink r:id="rId1" w:history="1">
        <w:r w:rsidRPr="00A3042C">
          <w:rPr>
            <w:rStyle w:val="Hyperlink"/>
          </w:rPr>
          <w:t>Conflict of Interest</w:t>
        </w:r>
      </w:hyperlink>
      <w:r>
        <w:t xml:space="preserve"> support module on Board.</w:t>
      </w:r>
    </w:p>
  </w:footnote>
  <w:footnote w:id="2">
    <w:p w:rsidR="00843B17" w:rsidRDefault="00843B17" w:rsidP="00843B17">
      <w:pPr>
        <w:pStyle w:val="FootnoteText"/>
      </w:pPr>
      <w:r>
        <w:rPr>
          <w:rStyle w:val="FootnoteReference"/>
        </w:rPr>
        <w:footnoteRef/>
      </w:r>
      <w:r>
        <w:t xml:space="preserve"> </w:t>
      </w:r>
      <w:r>
        <w:tab/>
        <w:t>DOPIs are a requirement for all Victorian public sector boards</w:t>
      </w:r>
      <w:r w:rsidR="007B7CAB">
        <w:t>. For details see</w:t>
      </w:r>
      <w:r>
        <w:t xml:space="preserve"> the </w:t>
      </w:r>
      <w:r w:rsidRPr="00843B17">
        <w:rPr>
          <w:i/>
        </w:rPr>
        <w:t>Appointment and Remuneration Guidelines</w:t>
      </w:r>
      <w:r>
        <w:t xml:space="preserve"> issued by the Department of Premier and Cabinet.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76022BE6" wp14:editId="4C5B1675">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500777" w:rsidP="00976C6C">
          <w:pPr>
            <w:pStyle w:val="CertHDWhite"/>
            <w:tabs>
              <w:tab w:val="left" w:pos="3544"/>
              <w:tab w:val="left" w:pos="7513"/>
            </w:tabs>
            <w:rPr>
              <w:sz w:val="28"/>
              <w:szCs w:val="28"/>
            </w:rPr>
          </w:pPr>
          <w:r>
            <w:rPr>
              <w:sz w:val="28"/>
              <w:szCs w:val="28"/>
            </w:rPr>
            <w:t>Conflict of interest</w:t>
          </w:r>
          <w:r w:rsidR="00976C6C">
            <w:rPr>
              <w:sz w:val="28"/>
              <w:szCs w:val="28"/>
            </w:rPr>
            <w:t xml:space="preserve"> – (3</w:t>
          </w:r>
          <w:r w:rsidR="000C753A">
            <w:rPr>
              <w:sz w:val="28"/>
              <w:szCs w:val="28"/>
            </w:rPr>
            <w:t xml:space="preserve">) </w:t>
          </w:r>
          <w:r w:rsidR="00976C6C">
            <w:rPr>
              <w:sz w:val="28"/>
              <w:szCs w:val="28"/>
            </w:rPr>
            <w:t>An overview</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4C6B19A1" wp14:editId="43C30E21">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8738F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3">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2"/>
  </w:num>
  <w:num w:numId="14">
    <w:abstractNumId w:val="17"/>
  </w:num>
  <w:num w:numId="15">
    <w:abstractNumId w:val="21"/>
  </w:num>
  <w:num w:numId="16">
    <w:abstractNumId w:val="11"/>
  </w:num>
  <w:num w:numId="17">
    <w:abstractNumId w:val="21"/>
  </w:num>
  <w:num w:numId="18">
    <w:abstractNumId w:val="21"/>
  </w:num>
  <w:num w:numId="19">
    <w:abstractNumId w:val="21"/>
  </w:num>
  <w:num w:numId="20">
    <w:abstractNumId w:val="10"/>
  </w:num>
  <w:num w:numId="21">
    <w:abstractNumId w:val="13"/>
  </w:num>
  <w:num w:numId="22">
    <w:abstractNumId w:val="18"/>
  </w:num>
  <w:num w:numId="23">
    <w:abstractNumId w:val="20"/>
  </w:num>
  <w:num w:numId="24">
    <w:abstractNumId w:val="12"/>
  </w:num>
  <w:num w:numId="25">
    <w:abstractNumId w:val="1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1"/>
  </w:num>
  <w:num w:numId="36">
    <w:abstractNumId w:val="21"/>
  </w:num>
  <w:num w:numId="37">
    <w:abstractNumId w:val="10"/>
  </w:num>
  <w:num w:numId="38">
    <w:abstractNumId w:val="15"/>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219"/>
    <w:rsid w:val="00003F84"/>
    <w:rsid w:val="00004C07"/>
    <w:rsid w:val="0000684F"/>
    <w:rsid w:val="00012793"/>
    <w:rsid w:val="00013BCA"/>
    <w:rsid w:val="00013D7A"/>
    <w:rsid w:val="00017A37"/>
    <w:rsid w:val="00023243"/>
    <w:rsid w:val="0003050C"/>
    <w:rsid w:val="00031FA3"/>
    <w:rsid w:val="00034A8C"/>
    <w:rsid w:val="00034D96"/>
    <w:rsid w:val="0003535F"/>
    <w:rsid w:val="00042EE4"/>
    <w:rsid w:val="0004460F"/>
    <w:rsid w:val="000473F1"/>
    <w:rsid w:val="00047E58"/>
    <w:rsid w:val="0005215B"/>
    <w:rsid w:val="00055FEF"/>
    <w:rsid w:val="00056393"/>
    <w:rsid w:val="00062DAF"/>
    <w:rsid w:val="00063E31"/>
    <w:rsid w:val="000645D2"/>
    <w:rsid w:val="00065CAC"/>
    <w:rsid w:val="00075307"/>
    <w:rsid w:val="00077758"/>
    <w:rsid w:val="00084C46"/>
    <w:rsid w:val="00086EFB"/>
    <w:rsid w:val="0008754B"/>
    <w:rsid w:val="0009699E"/>
    <w:rsid w:val="000A1A91"/>
    <w:rsid w:val="000A5AE3"/>
    <w:rsid w:val="000B5903"/>
    <w:rsid w:val="000B65E4"/>
    <w:rsid w:val="000C1E27"/>
    <w:rsid w:val="000C3259"/>
    <w:rsid w:val="000C39E4"/>
    <w:rsid w:val="000C753A"/>
    <w:rsid w:val="000D414F"/>
    <w:rsid w:val="000D54BA"/>
    <w:rsid w:val="000E0D4A"/>
    <w:rsid w:val="000E37C5"/>
    <w:rsid w:val="000E3D14"/>
    <w:rsid w:val="000E7036"/>
    <w:rsid w:val="000F0E58"/>
    <w:rsid w:val="000F1B8D"/>
    <w:rsid w:val="000F423C"/>
    <w:rsid w:val="000F55F1"/>
    <w:rsid w:val="001013E9"/>
    <w:rsid w:val="00103C23"/>
    <w:rsid w:val="00104C68"/>
    <w:rsid w:val="00107C8C"/>
    <w:rsid w:val="00107F01"/>
    <w:rsid w:val="00111811"/>
    <w:rsid w:val="00113F41"/>
    <w:rsid w:val="00120C40"/>
    <w:rsid w:val="00120F3F"/>
    <w:rsid w:val="0012469D"/>
    <w:rsid w:val="00125376"/>
    <w:rsid w:val="00131FA8"/>
    <w:rsid w:val="00135491"/>
    <w:rsid w:val="00135E62"/>
    <w:rsid w:val="0014585D"/>
    <w:rsid w:val="00154170"/>
    <w:rsid w:val="00154577"/>
    <w:rsid w:val="001635B1"/>
    <w:rsid w:val="00163B59"/>
    <w:rsid w:val="00167A3F"/>
    <w:rsid w:val="0017095A"/>
    <w:rsid w:val="00176AE1"/>
    <w:rsid w:val="00177115"/>
    <w:rsid w:val="00181FBC"/>
    <w:rsid w:val="00182500"/>
    <w:rsid w:val="001855F2"/>
    <w:rsid w:val="00193DBE"/>
    <w:rsid w:val="0019675E"/>
    <w:rsid w:val="001A0391"/>
    <w:rsid w:val="001A067B"/>
    <w:rsid w:val="001A243B"/>
    <w:rsid w:val="001A3C24"/>
    <w:rsid w:val="001A3D7A"/>
    <w:rsid w:val="001A4A93"/>
    <w:rsid w:val="001A6099"/>
    <w:rsid w:val="001A70BE"/>
    <w:rsid w:val="001B11D5"/>
    <w:rsid w:val="001B2943"/>
    <w:rsid w:val="001B3824"/>
    <w:rsid w:val="001B64A3"/>
    <w:rsid w:val="001C14C3"/>
    <w:rsid w:val="001C1ADC"/>
    <w:rsid w:val="001C3014"/>
    <w:rsid w:val="001C3CA8"/>
    <w:rsid w:val="001C3D80"/>
    <w:rsid w:val="001C49BF"/>
    <w:rsid w:val="001E1ADF"/>
    <w:rsid w:val="001E2024"/>
    <w:rsid w:val="001E3468"/>
    <w:rsid w:val="001E46F0"/>
    <w:rsid w:val="001F1665"/>
    <w:rsid w:val="001F256D"/>
    <w:rsid w:val="001F40CB"/>
    <w:rsid w:val="002015AD"/>
    <w:rsid w:val="0020255B"/>
    <w:rsid w:val="00207644"/>
    <w:rsid w:val="00211E55"/>
    <w:rsid w:val="002122D2"/>
    <w:rsid w:val="002155AA"/>
    <w:rsid w:val="00217D52"/>
    <w:rsid w:val="00220902"/>
    <w:rsid w:val="0022751F"/>
    <w:rsid w:val="00235CF5"/>
    <w:rsid w:val="00236DA4"/>
    <w:rsid w:val="002405E1"/>
    <w:rsid w:val="0024281C"/>
    <w:rsid w:val="00246D68"/>
    <w:rsid w:val="002470D0"/>
    <w:rsid w:val="002510AA"/>
    <w:rsid w:val="002526EA"/>
    <w:rsid w:val="00261DCB"/>
    <w:rsid w:val="00262D53"/>
    <w:rsid w:val="00271B91"/>
    <w:rsid w:val="00275488"/>
    <w:rsid w:val="002757E7"/>
    <w:rsid w:val="00275B24"/>
    <w:rsid w:val="0028049D"/>
    <w:rsid w:val="00281D95"/>
    <w:rsid w:val="00285925"/>
    <w:rsid w:val="00294DBE"/>
    <w:rsid w:val="002973DD"/>
    <w:rsid w:val="00297948"/>
    <w:rsid w:val="002B3DC7"/>
    <w:rsid w:val="002B43DB"/>
    <w:rsid w:val="002C12AF"/>
    <w:rsid w:val="002C4BC3"/>
    <w:rsid w:val="002C5BA2"/>
    <w:rsid w:val="002D2478"/>
    <w:rsid w:val="002D3CC8"/>
    <w:rsid w:val="002D612C"/>
    <w:rsid w:val="002D680B"/>
    <w:rsid w:val="002D7E3C"/>
    <w:rsid w:val="002D7EA0"/>
    <w:rsid w:val="002E2EC1"/>
    <w:rsid w:val="002E3028"/>
    <w:rsid w:val="002F00BD"/>
    <w:rsid w:val="002F0D7E"/>
    <w:rsid w:val="003011AF"/>
    <w:rsid w:val="003056B5"/>
    <w:rsid w:val="003065A0"/>
    <w:rsid w:val="0031273B"/>
    <w:rsid w:val="003136C0"/>
    <w:rsid w:val="003139DC"/>
    <w:rsid w:val="00315A78"/>
    <w:rsid w:val="003202D2"/>
    <w:rsid w:val="00321F9E"/>
    <w:rsid w:val="00327CF0"/>
    <w:rsid w:val="00330679"/>
    <w:rsid w:val="00330D84"/>
    <w:rsid w:val="00332EA5"/>
    <w:rsid w:val="00340B78"/>
    <w:rsid w:val="00342B3E"/>
    <w:rsid w:val="00345CC7"/>
    <w:rsid w:val="00350C01"/>
    <w:rsid w:val="0036130E"/>
    <w:rsid w:val="00361402"/>
    <w:rsid w:val="00367611"/>
    <w:rsid w:val="00377872"/>
    <w:rsid w:val="00385DE1"/>
    <w:rsid w:val="00391FEF"/>
    <w:rsid w:val="00394295"/>
    <w:rsid w:val="003A07D6"/>
    <w:rsid w:val="003A21AE"/>
    <w:rsid w:val="003A38C0"/>
    <w:rsid w:val="003A5FCB"/>
    <w:rsid w:val="003B0E01"/>
    <w:rsid w:val="003B43DE"/>
    <w:rsid w:val="003B4CA0"/>
    <w:rsid w:val="003B7FB8"/>
    <w:rsid w:val="003C0AE2"/>
    <w:rsid w:val="003C2962"/>
    <w:rsid w:val="003C55AD"/>
    <w:rsid w:val="003C64BD"/>
    <w:rsid w:val="003D387F"/>
    <w:rsid w:val="003D5A39"/>
    <w:rsid w:val="003E0B9A"/>
    <w:rsid w:val="003E1D07"/>
    <w:rsid w:val="003F1932"/>
    <w:rsid w:val="003F3A22"/>
    <w:rsid w:val="003F437F"/>
    <w:rsid w:val="003F519F"/>
    <w:rsid w:val="003F5A5C"/>
    <w:rsid w:val="00404EF3"/>
    <w:rsid w:val="00405E81"/>
    <w:rsid w:val="00406463"/>
    <w:rsid w:val="00410387"/>
    <w:rsid w:val="004168CB"/>
    <w:rsid w:val="00426499"/>
    <w:rsid w:val="00426CED"/>
    <w:rsid w:val="0043327C"/>
    <w:rsid w:val="0043348E"/>
    <w:rsid w:val="00433C8A"/>
    <w:rsid w:val="0043690C"/>
    <w:rsid w:val="004369CB"/>
    <w:rsid w:val="0044173F"/>
    <w:rsid w:val="004426E1"/>
    <w:rsid w:val="00444C32"/>
    <w:rsid w:val="004469C1"/>
    <w:rsid w:val="004548F3"/>
    <w:rsid w:val="00455AC0"/>
    <w:rsid w:val="00455EFA"/>
    <w:rsid w:val="00464027"/>
    <w:rsid w:val="00470266"/>
    <w:rsid w:val="0047132F"/>
    <w:rsid w:val="004752E5"/>
    <w:rsid w:val="0047538B"/>
    <w:rsid w:val="0047767A"/>
    <w:rsid w:val="00482508"/>
    <w:rsid w:val="00487611"/>
    <w:rsid w:val="004969C1"/>
    <w:rsid w:val="00497844"/>
    <w:rsid w:val="004A32F8"/>
    <w:rsid w:val="004A38F2"/>
    <w:rsid w:val="004A564B"/>
    <w:rsid w:val="004B24A5"/>
    <w:rsid w:val="004D25A1"/>
    <w:rsid w:val="004E02B2"/>
    <w:rsid w:val="004E0DA3"/>
    <w:rsid w:val="004E1977"/>
    <w:rsid w:val="004E4BDF"/>
    <w:rsid w:val="004E6888"/>
    <w:rsid w:val="004E6D65"/>
    <w:rsid w:val="004F0BEF"/>
    <w:rsid w:val="004F5E97"/>
    <w:rsid w:val="004F6433"/>
    <w:rsid w:val="004F79F8"/>
    <w:rsid w:val="00500777"/>
    <w:rsid w:val="005056EC"/>
    <w:rsid w:val="005056F5"/>
    <w:rsid w:val="0050769F"/>
    <w:rsid w:val="00510A2E"/>
    <w:rsid w:val="00512102"/>
    <w:rsid w:val="00512D4E"/>
    <w:rsid w:val="00521DEC"/>
    <w:rsid w:val="005229C6"/>
    <w:rsid w:val="00524C52"/>
    <w:rsid w:val="005304F7"/>
    <w:rsid w:val="0053107A"/>
    <w:rsid w:val="00533181"/>
    <w:rsid w:val="00534B38"/>
    <w:rsid w:val="00540762"/>
    <w:rsid w:val="00541CCA"/>
    <w:rsid w:val="00544B68"/>
    <w:rsid w:val="00555C2F"/>
    <w:rsid w:val="00557B17"/>
    <w:rsid w:val="0056076E"/>
    <w:rsid w:val="00565531"/>
    <w:rsid w:val="00567451"/>
    <w:rsid w:val="0057281A"/>
    <w:rsid w:val="00573554"/>
    <w:rsid w:val="00573E23"/>
    <w:rsid w:val="00573FD7"/>
    <w:rsid w:val="00575F3A"/>
    <w:rsid w:val="00580A4F"/>
    <w:rsid w:val="00580EFA"/>
    <w:rsid w:val="00582724"/>
    <w:rsid w:val="0058566F"/>
    <w:rsid w:val="005930D8"/>
    <w:rsid w:val="00593D99"/>
    <w:rsid w:val="005A4EE7"/>
    <w:rsid w:val="005A6192"/>
    <w:rsid w:val="005B0383"/>
    <w:rsid w:val="005B3CE8"/>
    <w:rsid w:val="005B4A26"/>
    <w:rsid w:val="005B55D4"/>
    <w:rsid w:val="005B55D9"/>
    <w:rsid w:val="005C0840"/>
    <w:rsid w:val="005C2D03"/>
    <w:rsid w:val="005C3439"/>
    <w:rsid w:val="005C3E94"/>
    <w:rsid w:val="005C70F5"/>
    <w:rsid w:val="005C7645"/>
    <w:rsid w:val="005E0CB7"/>
    <w:rsid w:val="005E1401"/>
    <w:rsid w:val="005E3C89"/>
    <w:rsid w:val="005E6463"/>
    <w:rsid w:val="005F2465"/>
    <w:rsid w:val="005F2C9F"/>
    <w:rsid w:val="00602D4A"/>
    <w:rsid w:val="00603134"/>
    <w:rsid w:val="00606451"/>
    <w:rsid w:val="00611762"/>
    <w:rsid w:val="00613215"/>
    <w:rsid w:val="00613B7F"/>
    <w:rsid w:val="00617901"/>
    <w:rsid w:val="0061797F"/>
    <w:rsid w:val="00621B48"/>
    <w:rsid w:val="00621E9B"/>
    <w:rsid w:val="006220D5"/>
    <w:rsid w:val="00623482"/>
    <w:rsid w:val="0062669A"/>
    <w:rsid w:val="006328D7"/>
    <w:rsid w:val="00632914"/>
    <w:rsid w:val="006351A8"/>
    <w:rsid w:val="0063635A"/>
    <w:rsid w:val="00645D03"/>
    <w:rsid w:val="0065542D"/>
    <w:rsid w:val="006554A4"/>
    <w:rsid w:val="00656186"/>
    <w:rsid w:val="00657072"/>
    <w:rsid w:val="006643F2"/>
    <w:rsid w:val="006670F9"/>
    <w:rsid w:val="00667BBF"/>
    <w:rsid w:val="00667E70"/>
    <w:rsid w:val="00670988"/>
    <w:rsid w:val="00673E37"/>
    <w:rsid w:val="006741C5"/>
    <w:rsid w:val="00675636"/>
    <w:rsid w:val="006767CB"/>
    <w:rsid w:val="006800DF"/>
    <w:rsid w:val="00681BED"/>
    <w:rsid w:val="006842B6"/>
    <w:rsid w:val="006925F6"/>
    <w:rsid w:val="00693BC9"/>
    <w:rsid w:val="0069559B"/>
    <w:rsid w:val="006A2476"/>
    <w:rsid w:val="006B3263"/>
    <w:rsid w:val="006B4615"/>
    <w:rsid w:val="006B4688"/>
    <w:rsid w:val="006B7935"/>
    <w:rsid w:val="006C254A"/>
    <w:rsid w:val="006C639C"/>
    <w:rsid w:val="006D2D9C"/>
    <w:rsid w:val="006E1378"/>
    <w:rsid w:val="006E48AC"/>
    <w:rsid w:val="006F53DB"/>
    <w:rsid w:val="006F707D"/>
    <w:rsid w:val="006F7A86"/>
    <w:rsid w:val="0070362A"/>
    <w:rsid w:val="00705440"/>
    <w:rsid w:val="007065B0"/>
    <w:rsid w:val="007078B0"/>
    <w:rsid w:val="007131A0"/>
    <w:rsid w:val="00715A65"/>
    <w:rsid w:val="0072061C"/>
    <w:rsid w:val="00724FD9"/>
    <w:rsid w:val="00725C38"/>
    <w:rsid w:val="00726C97"/>
    <w:rsid w:val="00731631"/>
    <w:rsid w:val="00732655"/>
    <w:rsid w:val="00732FB1"/>
    <w:rsid w:val="00736A45"/>
    <w:rsid w:val="00751678"/>
    <w:rsid w:val="007528D0"/>
    <w:rsid w:val="00752E36"/>
    <w:rsid w:val="0075546A"/>
    <w:rsid w:val="00756A07"/>
    <w:rsid w:val="00762889"/>
    <w:rsid w:val="00763884"/>
    <w:rsid w:val="007702BD"/>
    <w:rsid w:val="00777619"/>
    <w:rsid w:val="00780D2A"/>
    <w:rsid w:val="00780FAD"/>
    <w:rsid w:val="00783053"/>
    <w:rsid w:val="007830F8"/>
    <w:rsid w:val="00791D6C"/>
    <w:rsid w:val="00793CC9"/>
    <w:rsid w:val="007968BD"/>
    <w:rsid w:val="007A0889"/>
    <w:rsid w:val="007A0DD7"/>
    <w:rsid w:val="007A55AB"/>
    <w:rsid w:val="007A5D48"/>
    <w:rsid w:val="007B0E45"/>
    <w:rsid w:val="007B10CA"/>
    <w:rsid w:val="007B1469"/>
    <w:rsid w:val="007B37CB"/>
    <w:rsid w:val="007B4A19"/>
    <w:rsid w:val="007B62F8"/>
    <w:rsid w:val="007B6E26"/>
    <w:rsid w:val="007B7CAB"/>
    <w:rsid w:val="007C279A"/>
    <w:rsid w:val="007D06DC"/>
    <w:rsid w:val="007D4B4C"/>
    <w:rsid w:val="007D5D30"/>
    <w:rsid w:val="007E25DE"/>
    <w:rsid w:val="007E3E33"/>
    <w:rsid w:val="007E6690"/>
    <w:rsid w:val="007F2140"/>
    <w:rsid w:val="007F5211"/>
    <w:rsid w:val="007F620C"/>
    <w:rsid w:val="00801062"/>
    <w:rsid w:val="00802259"/>
    <w:rsid w:val="008041B7"/>
    <w:rsid w:val="008062AE"/>
    <w:rsid w:val="008110B2"/>
    <w:rsid w:val="00815894"/>
    <w:rsid w:val="00816097"/>
    <w:rsid w:val="00825E3D"/>
    <w:rsid w:val="00826EBF"/>
    <w:rsid w:val="00830108"/>
    <w:rsid w:val="008340D1"/>
    <w:rsid w:val="00834943"/>
    <w:rsid w:val="0083541B"/>
    <w:rsid w:val="008401F9"/>
    <w:rsid w:val="00843B17"/>
    <w:rsid w:val="00844D8A"/>
    <w:rsid w:val="00847946"/>
    <w:rsid w:val="0086170C"/>
    <w:rsid w:val="0086313F"/>
    <w:rsid w:val="008659FE"/>
    <w:rsid w:val="00865A63"/>
    <w:rsid w:val="008700D2"/>
    <w:rsid w:val="00872BAF"/>
    <w:rsid w:val="008732EE"/>
    <w:rsid w:val="00873DC4"/>
    <w:rsid w:val="008832F9"/>
    <w:rsid w:val="00887805"/>
    <w:rsid w:val="00894E3F"/>
    <w:rsid w:val="008979EB"/>
    <w:rsid w:val="008A11C6"/>
    <w:rsid w:val="008A1AE2"/>
    <w:rsid w:val="008A34B4"/>
    <w:rsid w:val="008A3B87"/>
    <w:rsid w:val="008A6BBA"/>
    <w:rsid w:val="008B15FC"/>
    <w:rsid w:val="008B61B5"/>
    <w:rsid w:val="008B7A39"/>
    <w:rsid w:val="008C1B1D"/>
    <w:rsid w:val="008C6BA1"/>
    <w:rsid w:val="008D1E0D"/>
    <w:rsid w:val="008D3F92"/>
    <w:rsid w:val="008E1DB8"/>
    <w:rsid w:val="008E39E1"/>
    <w:rsid w:val="008E66DF"/>
    <w:rsid w:val="008F0951"/>
    <w:rsid w:val="008F4932"/>
    <w:rsid w:val="008F6D1F"/>
    <w:rsid w:val="00906201"/>
    <w:rsid w:val="00915D5A"/>
    <w:rsid w:val="0091751D"/>
    <w:rsid w:val="00920D57"/>
    <w:rsid w:val="00921F0E"/>
    <w:rsid w:val="00926A93"/>
    <w:rsid w:val="00926BDE"/>
    <w:rsid w:val="00927E6A"/>
    <w:rsid w:val="00934A28"/>
    <w:rsid w:val="00936BF0"/>
    <w:rsid w:val="00942CDF"/>
    <w:rsid w:val="00945A38"/>
    <w:rsid w:val="009523BC"/>
    <w:rsid w:val="00953344"/>
    <w:rsid w:val="009537CD"/>
    <w:rsid w:val="00957315"/>
    <w:rsid w:val="00960CF0"/>
    <w:rsid w:val="00962D3B"/>
    <w:rsid w:val="0096491E"/>
    <w:rsid w:val="00965973"/>
    <w:rsid w:val="00966E96"/>
    <w:rsid w:val="00971A8A"/>
    <w:rsid w:val="00972191"/>
    <w:rsid w:val="00974044"/>
    <w:rsid w:val="00976C10"/>
    <w:rsid w:val="00976C6C"/>
    <w:rsid w:val="009801B3"/>
    <w:rsid w:val="00981EA2"/>
    <w:rsid w:val="00984578"/>
    <w:rsid w:val="009872FB"/>
    <w:rsid w:val="00990FC8"/>
    <w:rsid w:val="00992718"/>
    <w:rsid w:val="00992F1B"/>
    <w:rsid w:val="0099764A"/>
    <w:rsid w:val="009A3F4B"/>
    <w:rsid w:val="009A44AB"/>
    <w:rsid w:val="009A4C27"/>
    <w:rsid w:val="009A69A3"/>
    <w:rsid w:val="009B1DEB"/>
    <w:rsid w:val="009B459F"/>
    <w:rsid w:val="009C3B5A"/>
    <w:rsid w:val="009C699B"/>
    <w:rsid w:val="009C7EBB"/>
    <w:rsid w:val="009D2690"/>
    <w:rsid w:val="009D629C"/>
    <w:rsid w:val="009E0C81"/>
    <w:rsid w:val="009E666D"/>
    <w:rsid w:val="009E66AE"/>
    <w:rsid w:val="009F2D92"/>
    <w:rsid w:val="009F6FB2"/>
    <w:rsid w:val="00A0021E"/>
    <w:rsid w:val="00A03F08"/>
    <w:rsid w:val="00A04614"/>
    <w:rsid w:val="00A049D6"/>
    <w:rsid w:val="00A11FE6"/>
    <w:rsid w:val="00A14C3D"/>
    <w:rsid w:val="00A23F46"/>
    <w:rsid w:val="00A35096"/>
    <w:rsid w:val="00A357C2"/>
    <w:rsid w:val="00A36BC9"/>
    <w:rsid w:val="00A37BFA"/>
    <w:rsid w:val="00A417CA"/>
    <w:rsid w:val="00A500BE"/>
    <w:rsid w:val="00A50650"/>
    <w:rsid w:val="00A56C4D"/>
    <w:rsid w:val="00A61E04"/>
    <w:rsid w:val="00A62A56"/>
    <w:rsid w:val="00A6450E"/>
    <w:rsid w:val="00A6672D"/>
    <w:rsid w:val="00A66B72"/>
    <w:rsid w:val="00A66E6A"/>
    <w:rsid w:val="00A67D11"/>
    <w:rsid w:val="00A730A4"/>
    <w:rsid w:val="00A774CA"/>
    <w:rsid w:val="00A80E1B"/>
    <w:rsid w:val="00A83A7C"/>
    <w:rsid w:val="00A83AEB"/>
    <w:rsid w:val="00A85593"/>
    <w:rsid w:val="00A90034"/>
    <w:rsid w:val="00A91E9A"/>
    <w:rsid w:val="00A91ECD"/>
    <w:rsid w:val="00AA13BD"/>
    <w:rsid w:val="00AA6401"/>
    <w:rsid w:val="00AB0F13"/>
    <w:rsid w:val="00AB1938"/>
    <w:rsid w:val="00AB446A"/>
    <w:rsid w:val="00AB4944"/>
    <w:rsid w:val="00AB6453"/>
    <w:rsid w:val="00AB7D0A"/>
    <w:rsid w:val="00AC0691"/>
    <w:rsid w:val="00AC0ECF"/>
    <w:rsid w:val="00AC372B"/>
    <w:rsid w:val="00AC3B1A"/>
    <w:rsid w:val="00AC4BF7"/>
    <w:rsid w:val="00AD0A66"/>
    <w:rsid w:val="00AD1A2A"/>
    <w:rsid w:val="00AD6CAB"/>
    <w:rsid w:val="00AE1FBE"/>
    <w:rsid w:val="00AE67F5"/>
    <w:rsid w:val="00AE7491"/>
    <w:rsid w:val="00AE7772"/>
    <w:rsid w:val="00AF4DB4"/>
    <w:rsid w:val="00AF5303"/>
    <w:rsid w:val="00AF7D3C"/>
    <w:rsid w:val="00B046C5"/>
    <w:rsid w:val="00B068DA"/>
    <w:rsid w:val="00B077CF"/>
    <w:rsid w:val="00B1116C"/>
    <w:rsid w:val="00B137B4"/>
    <w:rsid w:val="00B21609"/>
    <w:rsid w:val="00B24A07"/>
    <w:rsid w:val="00B262B2"/>
    <w:rsid w:val="00B42F2A"/>
    <w:rsid w:val="00B47165"/>
    <w:rsid w:val="00B475BF"/>
    <w:rsid w:val="00B518B3"/>
    <w:rsid w:val="00B602BF"/>
    <w:rsid w:val="00B60419"/>
    <w:rsid w:val="00B63961"/>
    <w:rsid w:val="00B65608"/>
    <w:rsid w:val="00B65C5D"/>
    <w:rsid w:val="00B734D1"/>
    <w:rsid w:val="00B7648D"/>
    <w:rsid w:val="00B7762B"/>
    <w:rsid w:val="00B90B93"/>
    <w:rsid w:val="00B90C60"/>
    <w:rsid w:val="00B9285E"/>
    <w:rsid w:val="00B928AF"/>
    <w:rsid w:val="00B954A7"/>
    <w:rsid w:val="00B95745"/>
    <w:rsid w:val="00B97DF4"/>
    <w:rsid w:val="00BA342A"/>
    <w:rsid w:val="00BA5D84"/>
    <w:rsid w:val="00BA756C"/>
    <w:rsid w:val="00BB3448"/>
    <w:rsid w:val="00BB37E4"/>
    <w:rsid w:val="00BC0B4C"/>
    <w:rsid w:val="00BD3DA8"/>
    <w:rsid w:val="00BD4BC3"/>
    <w:rsid w:val="00BD6D0E"/>
    <w:rsid w:val="00BE3BD3"/>
    <w:rsid w:val="00BF0552"/>
    <w:rsid w:val="00BF24FE"/>
    <w:rsid w:val="00BF28EE"/>
    <w:rsid w:val="00BF3807"/>
    <w:rsid w:val="00BF62F9"/>
    <w:rsid w:val="00BF7625"/>
    <w:rsid w:val="00C057C3"/>
    <w:rsid w:val="00C061DD"/>
    <w:rsid w:val="00C07F3A"/>
    <w:rsid w:val="00C12A10"/>
    <w:rsid w:val="00C20463"/>
    <w:rsid w:val="00C2430C"/>
    <w:rsid w:val="00C33019"/>
    <w:rsid w:val="00C33F2A"/>
    <w:rsid w:val="00C36059"/>
    <w:rsid w:val="00C403BA"/>
    <w:rsid w:val="00C4278E"/>
    <w:rsid w:val="00C42F01"/>
    <w:rsid w:val="00C43860"/>
    <w:rsid w:val="00C46B5E"/>
    <w:rsid w:val="00C475B2"/>
    <w:rsid w:val="00C56138"/>
    <w:rsid w:val="00C56BA9"/>
    <w:rsid w:val="00C5761C"/>
    <w:rsid w:val="00C57CCE"/>
    <w:rsid w:val="00C651CE"/>
    <w:rsid w:val="00C6753A"/>
    <w:rsid w:val="00C7182C"/>
    <w:rsid w:val="00C71C37"/>
    <w:rsid w:val="00C73267"/>
    <w:rsid w:val="00C7437B"/>
    <w:rsid w:val="00C7474E"/>
    <w:rsid w:val="00C772CA"/>
    <w:rsid w:val="00C83916"/>
    <w:rsid w:val="00C86652"/>
    <w:rsid w:val="00C86B17"/>
    <w:rsid w:val="00C875D5"/>
    <w:rsid w:val="00CA19B7"/>
    <w:rsid w:val="00CA48E0"/>
    <w:rsid w:val="00CB1CB7"/>
    <w:rsid w:val="00CB1E49"/>
    <w:rsid w:val="00CB2CD3"/>
    <w:rsid w:val="00CB6FB3"/>
    <w:rsid w:val="00CC2EAD"/>
    <w:rsid w:val="00CC4303"/>
    <w:rsid w:val="00CC7B29"/>
    <w:rsid w:val="00CD0C9F"/>
    <w:rsid w:val="00CD2C4A"/>
    <w:rsid w:val="00CD32AF"/>
    <w:rsid w:val="00CD784C"/>
    <w:rsid w:val="00CE09A5"/>
    <w:rsid w:val="00CE10A1"/>
    <w:rsid w:val="00CE2CF3"/>
    <w:rsid w:val="00CE3D76"/>
    <w:rsid w:val="00CF41F7"/>
    <w:rsid w:val="00CF5E50"/>
    <w:rsid w:val="00D031F0"/>
    <w:rsid w:val="00D033C6"/>
    <w:rsid w:val="00D03DF8"/>
    <w:rsid w:val="00D053C5"/>
    <w:rsid w:val="00D06E67"/>
    <w:rsid w:val="00D114E4"/>
    <w:rsid w:val="00D11924"/>
    <w:rsid w:val="00D13102"/>
    <w:rsid w:val="00D15DC3"/>
    <w:rsid w:val="00D20E29"/>
    <w:rsid w:val="00D21AB3"/>
    <w:rsid w:val="00D27DA8"/>
    <w:rsid w:val="00D3293A"/>
    <w:rsid w:val="00D32969"/>
    <w:rsid w:val="00D33BE6"/>
    <w:rsid w:val="00D35BF0"/>
    <w:rsid w:val="00D408CF"/>
    <w:rsid w:val="00D45BD0"/>
    <w:rsid w:val="00D46F0A"/>
    <w:rsid w:val="00D47EDB"/>
    <w:rsid w:val="00D54DE0"/>
    <w:rsid w:val="00D57FF0"/>
    <w:rsid w:val="00D62D2F"/>
    <w:rsid w:val="00D634D8"/>
    <w:rsid w:val="00D63D0E"/>
    <w:rsid w:val="00D6700E"/>
    <w:rsid w:val="00D7062E"/>
    <w:rsid w:val="00D8058E"/>
    <w:rsid w:val="00D840DE"/>
    <w:rsid w:val="00D84684"/>
    <w:rsid w:val="00D86288"/>
    <w:rsid w:val="00D92A8C"/>
    <w:rsid w:val="00D92C9B"/>
    <w:rsid w:val="00DA0042"/>
    <w:rsid w:val="00DA0FA6"/>
    <w:rsid w:val="00DA6786"/>
    <w:rsid w:val="00DB2919"/>
    <w:rsid w:val="00DC41D6"/>
    <w:rsid w:val="00DC68E1"/>
    <w:rsid w:val="00DD0AB3"/>
    <w:rsid w:val="00DD3436"/>
    <w:rsid w:val="00DD4B14"/>
    <w:rsid w:val="00DD51AE"/>
    <w:rsid w:val="00DD69DA"/>
    <w:rsid w:val="00DE0473"/>
    <w:rsid w:val="00DE2624"/>
    <w:rsid w:val="00DE5117"/>
    <w:rsid w:val="00DF494B"/>
    <w:rsid w:val="00DF4EF9"/>
    <w:rsid w:val="00DF6665"/>
    <w:rsid w:val="00DF6B79"/>
    <w:rsid w:val="00E01765"/>
    <w:rsid w:val="00E01929"/>
    <w:rsid w:val="00E0193C"/>
    <w:rsid w:val="00E02650"/>
    <w:rsid w:val="00E07718"/>
    <w:rsid w:val="00E12A00"/>
    <w:rsid w:val="00E1532E"/>
    <w:rsid w:val="00E15A73"/>
    <w:rsid w:val="00E15BD0"/>
    <w:rsid w:val="00E16108"/>
    <w:rsid w:val="00E2394C"/>
    <w:rsid w:val="00E24BA8"/>
    <w:rsid w:val="00E30FFD"/>
    <w:rsid w:val="00E31B73"/>
    <w:rsid w:val="00E325A1"/>
    <w:rsid w:val="00E32EAE"/>
    <w:rsid w:val="00E33F9A"/>
    <w:rsid w:val="00E41EA2"/>
    <w:rsid w:val="00E433F5"/>
    <w:rsid w:val="00E434E6"/>
    <w:rsid w:val="00E51072"/>
    <w:rsid w:val="00E535D0"/>
    <w:rsid w:val="00E53B37"/>
    <w:rsid w:val="00E53E6B"/>
    <w:rsid w:val="00E56D27"/>
    <w:rsid w:val="00E6278D"/>
    <w:rsid w:val="00E67953"/>
    <w:rsid w:val="00E71F96"/>
    <w:rsid w:val="00E72F0F"/>
    <w:rsid w:val="00E81EF5"/>
    <w:rsid w:val="00E8448C"/>
    <w:rsid w:val="00E9178F"/>
    <w:rsid w:val="00E91DB4"/>
    <w:rsid w:val="00E941D2"/>
    <w:rsid w:val="00E9718F"/>
    <w:rsid w:val="00EA06EC"/>
    <w:rsid w:val="00EA0A51"/>
    <w:rsid w:val="00EA2B53"/>
    <w:rsid w:val="00EA31C2"/>
    <w:rsid w:val="00EB1B1C"/>
    <w:rsid w:val="00EB236F"/>
    <w:rsid w:val="00EB2BB2"/>
    <w:rsid w:val="00EB30F7"/>
    <w:rsid w:val="00EB75EA"/>
    <w:rsid w:val="00EC4DCD"/>
    <w:rsid w:val="00EC6F19"/>
    <w:rsid w:val="00EF1132"/>
    <w:rsid w:val="00EF2E7F"/>
    <w:rsid w:val="00F0013D"/>
    <w:rsid w:val="00F02153"/>
    <w:rsid w:val="00F031CC"/>
    <w:rsid w:val="00F04A1B"/>
    <w:rsid w:val="00F0569C"/>
    <w:rsid w:val="00F10174"/>
    <w:rsid w:val="00F10929"/>
    <w:rsid w:val="00F1125D"/>
    <w:rsid w:val="00F13B95"/>
    <w:rsid w:val="00F14A9D"/>
    <w:rsid w:val="00F15CF7"/>
    <w:rsid w:val="00F17EB5"/>
    <w:rsid w:val="00F239BE"/>
    <w:rsid w:val="00F267E1"/>
    <w:rsid w:val="00F26838"/>
    <w:rsid w:val="00F27E16"/>
    <w:rsid w:val="00F34162"/>
    <w:rsid w:val="00F348D0"/>
    <w:rsid w:val="00F3496A"/>
    <w:rsid w:val="00F46148"/>
    <w:rsid w:val="00F54CCE"/>
    <w:rsid w:val="00F553C7"/>
    <w:rsid w:val="00F64084"/>
    <w:rsid w:val="00F67782"/>
    <w:rsid w:val="00F708A6"/>
    <w:rsid w:val="00F71D96"/>
    <w:rsid w:val="00F74611"/>
    <w:rsid w:val="00F74678"/>
    <w:rsid w:val="00F76B43"/>
    <w:rsid w:val="00F81461"/>
    <w:rsid w:val="00F83A6F"/>
    <w:rsid w:val="00F845F4"/>
    <w:rsid w:val="00F86863"/>
    <w:rsid w:val="00F910D5"/>
    <w:rsid w:val="00F930FD"/>
    <w:rsid w:val="00F96CFF"/>
    <w:rsid w:val="00F97E7B"/>
    <w:rsid w:val="00FA01D6"/>
    <w:rsid w:val="00FA17D4"/>
    <w:rsid w:val="00FA17F4"/>
    <w:rsid w:val="00FA2BC8"/>
    <w:rsid w:val="00FA73B6"/>
    <w:rsid w:val="00FB0441"/>
    <w:rsid w:val="00FC01F8"/>
    <w:rsid w:val="00FC0C51"/>
    <w:rsid w:val="00FC1D32"/>
    <w:rsid w:val="00FC4E61"/>
    <w:rsid w:val="00FC58DC"/>
    <w:rsid w:val="00FC6C61"/>
    <w:rsid w:val="00FD1D2A"/>
    <w:rsid w:val="00FD32D7"/>
    <w:rsid w:val="00FD34FA"/>
    <w:rsid w:val="00FD674C"/>
    <w:rsid w:val="00FD74D6"/>
    <w:rsid w:val="00FE0078"/>
    <w:rsid w:val="00FE229F"/>
    <w:rsid w:val="00FE3525"/>
    <w:rsid w:val="00FE48C3"/>
    <w:rsid w:val="00FE4EB7"/>
    <w:rsid w:val="00FE56FD"/>
    <w:rsid w:val="00FE73C4"/>
    <w:rsid w:val="00FF0FE0"/>
    <w:rsid w:val="00FF14BD"/>
    <w:rsid w:val="00FF2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797F"/>
    <w:pPr>
      <w:spacing w:after="113" w:line="250" w:lineRule="atLeast"/>
    </w:pPr>
    <w:rPr>
      <w:rFonts w:ascii="Calibri" w:hAnsi="Calibri"/>
      <w:sz w:val="21"/>
      <w:szCs w:val="24"/>
      <w:lang w:eastAsia="en-US"/>
    </w:rPr>
  </w:style>
  <w:style w:type="paragraph" w:styleId="Heading1">
    <w:name w:val="heading 1"/>
    <w:basedOn w:val="Normal"/>
    <w:next w:val="Normal"/>
    <w:qFormat/>
    <w:rsid w:val="005B0383"/>
    <w:pPr>
      <w:keepNext/>
      <w:spacing w:before="200" w:after="120" w:line="264" w:lineRule="auto"/>
      <w:outlineLvl w:val="0"/>
    </w:pPr>
    <w:rPr>
      <w:rFonts w:cs="Arial"/>
      <w:bCs/>
      <w:color w:val="228591"/>
      <w:kern w:val="32"/>
      <w:sz w:val="36"/>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BA756C"/>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613B7F"/>
    <w:pPr>
      <w:numPr>
        <w:numId w:val="41"/>
      </w:numPr>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613B7F"/>
    <w:pPr>
      <w:numPr>
        <w:numId w:val="40"/>
      </w:numPr>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97DF4"/>
    <w:rPr>
      <w:rFonts w:asciiTheme="minorHAnsi" w:hAnsiTheme="minorHAnsi" w:cs="Arial"/>
      <w:b/>
      <w:bCs/>
      <w:iCs/>
      <w:color w:val="228591"/>
      <w:sz w:val="25"/>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797F"/>
    <w:pPr>
      <w:spacing w:after="113" w:line="250" w:lineRule="atLeast"/>
    </w:pPr>
    <w:rPr>
      <w:rFonts w:ascii="Calibri" w:hAnsi="Calibri"/>
      <w:sz w:val="21"/>
      <w:szCs w:val="24"/>
      <w:lang w:eastAsia="en-US"/>
    </w:rPr>
  </w:style>
  <w:style w:type="paragraph" w:styleId="Heading1">
    <w:name w:val="heading 1"/>
    <w:basedOn w:val="Normal"/>
    <w:next w:val="Normal"/>
    <w:qFormat/>
    <w:rsid w:val="005B0383"/>
    <w:pPr>
      <w:keepNext/>
      <w:spacing w:before="200" w:after="120" w:line="264" w:lineRule="auto"/>
      <w:outlineLvl w:val="0"/>
    </w:pPr>
    <w:rPr>
      <w:rFonts w:cs="Arial"/>
      <w:bCs/>
      <w:color w:val="228591"/>
      <w:kern w:val="32"/>
      <w:sz w:val="36"/>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BA756C"/>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613B7F"/>
    <w:pPr>
      <w:numPr>
        <w:numId w:val="41"/>
      </w:numPr>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613B7F"/>
    <w:pPr>
      <w:numPr>
        <w:numId w:val="40"/>
      </w:numPr>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97DF4"/>
    <w:rPr>
      <w:rFonts w:asciiTheme="minorHAnsi" w:hAnsiTheme="minorHAnsi" w:cs="Arial"/>
      <w:b/>
      <w:bCs/>
      <w:iCs/>
      <w:color w:val="228591"/>
      <w:sz w:val="25"/>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depi.vic.gov.au/about-us/boards-and-governance/on-board-governance-guides-and-resources/conflict-of-interest" TargetMode="External"/><Relationship Id="rId26"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delwp.vic.gov.au/onboard" TargetMode="External"/><Relationship Id="rId25"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hyperlink" Target="http://www.depi.vic.gov.au/about-us/boards-and-governance/on-board-governance-guides-and-resources/conflict-of-interest" TargetMode="External"/><Relationship Id="rId20" Type="http://schemas.openxmlformats.org/officeDocument/2006/relationships/hyperlink" Target="http://www.relayservice.com.au" TargetMode="External"/><Relationship Id="rId29"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lwp.vic.gov.au/committees" TargetMode="External"/><Relationship Id="rId24" Type="http://schemas.openxmlformats.org/officeDocument/2006/relationships/hyperlink" Target="http://creativecommons.org/licenses/by/4.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hyperlink" Target="http://www.delwp.vic.gov.au/onboard" TargetMode="External"/><Relationship Id="rId10" Type="http://schemas.openxmlformats.org/officeDocument/2006/relationships/hyperlink" Target="http://www.depi.vic.gov.au/about-us/boards-and-governance/on-board-governance-guides-and-resources/conflict-of-interest" TargetMode="External"/><Relationship Id="rId19" Type="http://schemas.openxmlformats.org/officeDocument/2006/relationships/hyperlink" Target="mailto:customer.service@delwp.vic.gov.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lwp.vic.gov.au/onboard" TargetMode="External"/><Relationship Id="rId14" Type="http://schemas.openxmlformats.org/officeDocument/2006/relationships/header" Target="header2.xml"/><Relationship Id="rId22" Type="http://schemas.openxmlformats.org/officeDocument/2006/relationships/hyperlink" Target="http://www.delwp.vic.gov.au/onboard" TargetMode="External"/><Relationship Id="rId27" Type="http://schemas.openxmlformats.org/officeDocument/2006/relationships/hyperlink" Target="http://www.delwp.vic.gov.au" TargetMode="External"/><Relationship Id="rId30" Type="http://schemas.openxmlformats.org/officeDocument/2006/relationships/hyperlink" Target="http://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depi.vic.gov.au/about-us/boards-and-governance/on-board-governance-guides-and-resources/conflict-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50EC-B19D-4941-A874-CEAA500F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5</Pages>
  <Words>2837</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2015-09-13T06:15:00Z</dcterms:created>
  <dcterms:modified xsi:type="dcterms:W3CDTF">2015-09-22T04:08:00Z</dcterms:modified>
</cp:coreProperties>
</file>