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06CEE6AF" w14:textId="77777777" w:rsidTr="003F46E9">
        <w:trPr>
          <w:trHeight w:hRule="exact" w:val="1418"/>
        </w:trPr>
        <w:tc>
          <w:tcPr>
            <w:tcW w:w="7761" w:type="dxa"/>
            <w:vAlign w:val="center"/>
          </w:tcPr>
          <w:p w14:paraId="06CEE6AE" w14:textId="77777777" w:rsidR="009B1003" w:rsidRPr="009B1003" w:rsidRDefault="00CB1341" w:rsidP="00CB1341">
            <w:pPr>
              <w:pStyle w:val="Title"/>
            </w:pPr>
            <w:r>
              <w:t xml:space="preserve"> Differences between public sector </w:t>
            </w:r>
            <w:r>
              <w:br/>
              <w:t>and private sector boards</w:t>
            </w:r>
          </w:p>
        </w:tc>
      </w:tr>
      <w:tr w:rsidR="00975ED3" w14:paraId="06CEE6B1" w14:textId="77777777" w:rsidTr="003F46E9">
        <w:trPr>
          <w:trHeight w:val="1247"/>
        </w:trPr>
        <w:tc>
          <w:tcPr>
            <w:tcW w:w="7761" w:type="dxa"/>
            <w:vAlign w:val="center"/>
          </w:tcPr>
          <w:p w14:paraId="06CEE6B0" w14:textId="3A95A457" w:rsidR="009B1003" w:rsidRPr="009B1003" w:rsidRDefault="00CB1341" w:rsidP="00CB1341">
            <w:pPr>
              <w:pStyle w:val="Subtitle"/>
            </w:pPr>
            <w:r>
              <w:t>Guidance Note</w:t>
            </w:r>
            <w:r w:rsidR="00175866">
              <w:t xml:space="preserve"> for board</w:t>
            </w:r>
            <w:r w:rsidR="008D7AD9">
              <w:t>s and other governing bodies</w:t>
            </w:r>
            <w:r w:rsidR="008D7AD9">
              <w:br/>
              <w:t xml:space="preserve">of public sector </w:t>
            </w:r>
            <w:r w:rsidR="008C46F2">
              <w:t>agencies</w:t>
            </w:r>
            <w:r w:rsidR="008D7AD9">
              <w:t>.</w:t>
            </w:r>
          </w:p>
        </w:tc>
      </w:tr>
    </w:tbl>
    <w:p w14:paraId="7BD1786F" w14:textId="65A772B8" w:rsidR="008D7AD9" w:rsidRDefault="008C46F2" w:rsidP="008D7AD9">
      <w:pPr>
        <w:pStyle w:val="IntroFeatureText"/>
        <w:sectPr w:rsidR="008D7AD9" w:rsidSect="00522BAB">
          <w:headerReference w:type="even" r:id="rId13"/>
          <w:headerReference w:type="default" r:id="rId14"/>
          <w:footerReference w:type="even" r:id="rId15"/>
          <w:footerReference w:type="default" r:id="rId16"/>
          <w:headerReference w:type="first" r:id="rId17"/>
          <w:footerReference w:type="first" r:id="rId18"/>
          <w:pgSz w:w="11907" w:h="16840" w:code="9"/>
          <w:pgMar w:top="2211" w:right="851" w:bottom="1418" w:left="851" w:header="284" w:footer="737" w:gutter="0"/>
          <w:cols w:space="284"/>
          <w:titlePg/>
          <w:docGrid w:linePitch="360"/>
        </w:sectPr>
      </w:pPr>
      <w:r>
        <w:t xml:space="preserve">Guidance on </w:t>
      </w:r>
      <w:r w:rsidR="00CB1341" w:rsidRPr="00411492">
        <w:t xml:space="preserve">how </w:t>
      </w:r>
      <w:proofErr w:type="gramStart"/>
      <w:r w:rsidR="00CB1341" w:rsidRPr="00411492">
        <w:t>publi</w:t>
      </w:r>
      <w:r>
        <w:t>c sector</w:t>
      </w:r>
      <w:proofErr w:type="gramEnd"/>
      <w:r>
        <w:t xml:space="preserve"> boards are different from</w:t>
      </w:r>
      <w:r w:rsidR="00CB1341" w:rsidRPr="00411492">
        <w:t xml:space="preserve"> those in the private sector</w:t>
      </w:r>
      <w:r w:rsidR="008D7AD9">
        <w:t>,</w:t>
      </w:r>
      <w:r w:rsidR="00CB1341" w:rsidRPr="00411492">
        <w:t xml:space="preserve"> and </w:t>
      </w:r>
      <w:r>
        <w:t>the issues needing extra</w:t>
      </w:r>
      <w:r w:rsidR="00CB1341" w:rsidRPr="00411492">
        <w:t xml:space="preserve"> deliberation and ac</w:t>
      </w:r>
      <w:r w:rsidR="00CB1341">
        <w:t>tion</w:t>
      </w:r>
      <w:r w:rsidR="00CB1341" w:rsidRPr="00411492">
        <w:t>.</w:t>
      </w:r>
    </w:p>
    <w:p w14:paraId="06CEE6B6" w14:textId="77777777" w:rsidR="00CB1341" w:rsidRPr="008D7AD9" w:rsidRDefault="00CB1341" w:rsidP="008D7AD9">
      <w:pPr>
        <w:pStyle w:val="Heading2"/>
      </w:pPr>
      <w:bookmarkStart w:id="0" w:name="Here"/>
      <w:bookmarkEnd w:id="0"/>
      <w:r w:rsidRPr="008D7AD9">
        <w:t>The ‘public interest’ overrides form and function</w:t>
      </w:r>
    </w:p>
    <w:p w14:paraId="45973DC1" w14:textId="32E9EA7A" w:rsidR="008D7AD9" w:rsidRPr="008D7AD9" w:rsidRDefault="00CB1341" w:rsidP="008D7AD9">
      <w:pPr>
        <w:pStyle w:val="BodyText"/>
      </w:pPr>
      <w:r w:rsidRPr="008D7AD9">
        <w:t>Th</w:t>
      </w:r>
      <w:r w:rsidR="008C46F2">
        <w:t>is</w:t>
      </w:r>
      <w:r w:rsidRPr="008D7AD9">
        <w:t xml:space="preserve"> guidance applies regardless of the legal form or constitution of the </w:t>
      </w:r>
      <w:r w:rsidR="008C46F2">
        <w:t>agency</w:t>
      </w:r>
      <w:r w:rsidRPr="008D7AD9">
        <w:t xml:space="preserve"> and whether its functions are service delivery, asset management, regulatory, issue resolution, advisory or assurance.</w:t>
      </w:r>
      <w:r w:rsidR="008D7AD9" w:rsidRPr="008D7AD9">
        <w:t xml:space="preserve"> </w:t>
      </w:r>
    </w:p>
    <w:p w14:paraId="06CEE6B7" w14:textId="5A8F46AD" w:rsidR="00CB1341" w:rsidRPr="00411492" w:rsidRDefault="00CB1341" w:rsidP="008D7AD9">
      <w:pPr>
        <w:pStyle w:val="BodyText"/>
      </w:pPr>
      <w:r w:rsidRPr="008D7AD9">
        <w:t>Each type of function involves serving ‘the public interest’ and elements</w:t>
      </w:r>
      <w:r w:rsidRPr="00411492">
        <w:t xml:space="preserve"> of:</w:t>
      </w:r>
    </w:p>
    <w:p w14:paraId="06CEE6B8" w14:textId="77777777" w:rsidR="00CB1341" w:rsidRPr="003C78D8" w:rsidRDefault="00CB1341" w:rsidP="003C78D8">
      <w:pPr>
        <w:pStyle w:val="ListBullet"/>
      </w:pPr>
      <w:r w:rsidRPr="003C78D8">
        <w:t>acknowledging or addressing government policy</w:t>
      </w:r>
    </w:p>
    <w:p w14:paraId="06CEE6B9" w14:textId="1805232D" w:rsidR="00CB1341" w:rsidRPr="003C78D8" w:rsidRDefault="00C749DA" w:rsidP="003C78D8">
      <w:pPr>
        <w:pStyle w:val="ListBullet"/>
      </w:pPr>
      <w:r>
        <w:t>engaging</w:t>
      </w:r>
      <w:r w:rsidR="00CB1341" w:rsidRPr="003C78D8">
        <w:t xml:space="preserve"> with public sector stakeholders</w:t>
      </w:r>
    </w:p>
    <w:p w14:paraId="06CEE6BA" w14:textId="77777777" w:rsidR="00CB1341" w:rsidRPr="003C78D8" w:rsidRDefault="00CB1341" w:rsidP="003C78D8">
      <w:pPr>
        <w:pStyle w:val="ListBullet"/>
      </w:pPr>
      <w:r w:rsidRPr="003C78D8">
        <w:t xml:space="preserve">satisfying public accountability requirements, and </w:t>
      </w:r>
    </w:p>
    <w:p w14:paraId="06CEE6BB" w14:textId="77777777" w:rsidR="00CB1341" w:rsidRDefault="00CB1341" w:rsidP="008273C5">
      <w:pPr>
        <w:pStyle w:val="ListBullet"/>
        <w:spacing w:after="360"/>
      </w:pPr>
      <w:r w:rsidRPr="003C78D8">
        <w:t>meeting higher integrity standards</w:t>
      </w:r>
      <w:r>
        <w:t>.</w:t>
      </w:r>
    </w:p>
    <w:tbl>
      <w:tblPr>
        <w:tblStyle w:val="PullOutBoxTable"/>
        <w:tblW w:w="4864" w:type="pct"/>
        <w:tblLook w:val="0600" w:firstRow="0" w:lastRow="0" w:firstColumn="0" w:lastColumn="0" w:noHBand="1" w:noVBand="1"/>
      </w:tblPr>
      <w:tblGrid>
        <w:gridCol w:w="4815"/>
      </w:tblGrid>
      <w:tr w:rsidR="00CB1341" w14:paraId="06CEE6BE" w14:textId="77777777" w:rsidTr="008273C5">
        <w:tc>
          <w:tcPr>
            <w:tcW w:w="5000" w:type="pct"/>
            <w:tcBorders>
              <w:top w:val="single" w:sz="4" w:space="0" w:color="00B2A9" w:themeColor="text2"/>
              <w:bottom w:val="single" w:sz="4" w:space="0" w:color="00B2A9" w:themeColor="text2"/>
            </w:tcBorders>
          </w:tcPr>
          <w:p w14:paraId="06CEE6BC" w14:textId="1B535CB3" w:rsidR="00CB1341" w:rsidRDefault="00CB1341" w:rsidP="002F6DA1">
            <w:pPr>
              <w:pStyle w:val="PullOutBoxHeading"/>
            </w:pPr>
            <w:r>
              <w:t xml:space="preserve">Public </w:t>
            </w:r>
            <w:r w:rsidR="008C46F2">
              <w:t>agencies</w:t>
            </w:r>
            <w:r>
              <w:t xml:space="preserve"> within the DELWP portfolio</w:t>
            </w:r>
          </w:p>
          <w:p w14:paraId="01B2AD34" w14:textId="4E4C44DD" w:rsidR="008D7AD9" w:rsidRDefault="008C46F2" w:rsidP="008D7AD9">
            <w:pPr>
              <w:pStyle w:val="PullOutBoxBodyText"/>
            </w:pPr>
            <w:r>
              <w:t>DELWP Ministers and officials oversee and</w:t>
            </w:r>
            <w:r w:rsidR="00CB1341" w:rsidRPr="008D7AD9">
              <w:t xml:space="preserve"> support a wide array of public </w:t>
            </w:r>
            <w:r>
              <w:t>agencies</w:t>
            </w:r>
            <w:r w:rsidR="00CB1341" w:rsidRPr="008D7AD9">
              <w:t xml:space="preserve"> including</w:t>
            </w:r>
            <w:r>
              <w:t>:</w:t>
            </w:r>
            <w:r w:rsidR="00CB1341" w:rsidRPr="008D7AD9">
              <w:t xml:space="preserve"> </w:t>
            </w:r>
          </w:p>
          <w:p w14:paraId="1B1A1F3C" w14:textId="1BE22824" w:rsidR="008C46F2" w:rsidRDefault="008C46F2" w:rsidP="008D7AD9">
            <w:pPr>
              <w:pStyle w:val="PullOutBoxBullet"/>
              <w:spacing w:after="80"/>
            </w:pPr>
            <w:r w:rsidRPr="008D7AD9">
              <w:t>Water Corporations</w:t>
            </w:r>
          </w:p>
          <w:p w14:paraId="58EDA8C3" w14:textId="05549ED3" w:rsidR="008C46F2" w:rsidRDefault="008C46F2" w:rsidP="00BB176A">
            <w:pPr>
              <w:pStyle w:val="PullOutBoxBullet"/>
              <w:spacing w:before="80" w:after="80"/>
            </w:pPr>
            <w:r>
              <w:t>Land Management Boards and</w:t>
            </w:r>
            <w:r w:rsidR="00CB1341" w:rsidRPr="008D7AD9">
              <w:t xml:space="preserve"> Committees </w:t>
            </w:r>
            <w:r w:rsidR="002B61C9">
              <w:t xml:space="preserve">such as Parks Victoria, Zoos Victoria, Royal Botanic Gardens, </w:t>
            </w:r>
            <w:r w:rsidR="00C749DA">
              <w:t xml:space="preserve">and </w:t>
            </w:r>
            <w:r w:rsidRPr="008D7AD9">
              <w:t xml:space="preserve">Alpine Resort Management Boards </w:t>
            </w:r>
          </w:p>
          <w:p w14:paraId="49C02A32" w14:textId="471778A2" w:rsidR="008D7AD9" w:rsidRDefault="00CB1341" w:rsidP="008D7AD9">
            <w:pPr>
              <w:pStyle w:val="PullOutBoxBullet"/>
              <w:spacing w:before="80" w:after="80"/>
            </w:pPr>
            <w:r w:rsidRPr="008D7AD9">
              <w:t xml:space="preserve">Catchment Management Authorities </w:t>
            </w:r>
          </w:p>
          <w:p w14:paraId="0666E653" w14:textId="77777777" w:rsidR="008C46F2" w:rsidRDefault="008C46F2" w:rsidP="008C46F2">
            <w:pPr>
              <w:pStyle w:val="PullOutBoxBullet"/>
              <w:spacing w:after="80"/>
            </w:pPr>
            <w:r w:rsidRPr="008D7AD9">
              <w:t xml:space="preserve">Waste and Resource Recovery Groups </w:t>
            </w:r>
          </w:p>
          <w:p w14:paraId="12C3A69A" w14:textId="40DB2DC4" w:rsidR="008D7AD9" w:rsidRDefault="00CB1341" w:rsidP="008D7AD9">
            <w:pPr>
              <w:pStyle w:val="PullOutBoxBullet"/>
              <w:spacing w:before="80" w:after="80"/>
            </w:pPr>
            <w:r w:rsidRPr="008D7AD9">
              <w:t xml:space="preserve">major </w:t>
            </w:r>
            <w:r w:rsidR="008C46F2">
              <w:t xml:space="preserve">agencies </w:t>
            </w:r>
            <w:r w:rsidRPr="008D7AD9">
              <w:t xml:space="preserve">such as the Environment Protection Authority, Energy Safe Victoria, </w:t>
            </w:r>
            <w:r w:rsidR="008C46F2">
              <w:t xml:space="preserve">Victorian </w:t>
            </w:r>
            <w:r w:rsidRPr="008D7AD9">
              <w:t xml:space="preserve">Building </w:t>
            </w:r>
            <w:r w:rsidR="008C46F2">
              <w:t xml:space="preserve">Authority, Victorian Planning Authority and the </w:t>
            </w:r>
            <w:r w:rsidRPr="008D7AD9">
              <w:t xml:space="preserve">Victorian Environmental Water Holder </w:t>
            </w:r>
          </w:p>
          <w:p w14:paraId="4645A831" w14:textId="3190656B" w:rsidR="008C46F2" w:rsidRDefault="008C46F2" w:rsidP="008C46F2">
            <w:pPr>
              <w:pStyle w:val="PullOutBoxBullet"/>
              <w:spacing w:before="80"/>
            </w:pPr>
            <w:r>
              <w:t>Advisory</w:t>
            </w:r>
            <w:r w:rsidR="00CB1341" w:rsidRPr="008D7AD9">
              <w:t xml:space="preserve"> committees </w:t>
            </w:r>
            <w:r>
              <w:t xml:space="preserve">such as </w:t>
            </w:r>
            <w:proofErr w:type="spellStart"/>
            <w:r>
              <w:t>Birrarung</w:t>
            </w:r>
            <w:proofErr w:type="spellEnd"/>
            <w:r>
              <w:t xml:space="preserve"> Council, Geelong Authority and Metropolitan Partnerships</w:t>
            </w:r>
          </w:p>
          <w:p w14:paraId="06CEE6BD" w14:textId="3A03FE75" w:rsidR="00CB1341" w:rsidRPr="008D7AD9" w:rsidRDefault="008C46F2" w:rsidP="002B61C9">
            <w:pPr>
              <w:pStyle w:val="PullOutBoxBullet"/>
              <w:numPr>
                <w:ilvl w:val="0"/>
                <w:numId w:val="0"/>
              </w:numPr>
              <w:spacing w:before="80"/>
              <w:ind w:left="142"/>
            </w:pPr>
            <w:r>
              <w:t>T</w:t>
            </w:r>
            <w:r w:rsidR="00CB1341" w:rsidRPr="008D7AD9">
              <w:t>his document is relevant to all of them.</w:t>
            </w:r>
          </w:p>
        </w:tc>
      </w:tr>
    </w:tbl>
    <w:p w14:paraId="06CEE6BF" w14:textId="368E4EBE" w:rsidR="00CB1341" w:rsidRPr="008D7AD9" w:rsidRDefault="008D7AD9" w:rsidP="008D7AD9">
      <w:pPr>
        <w:pStyle w:val="Heading2"/>
        <w:spacing w:before="120"/>
      </w:pPr>
      <w:bookmarkStart w:id="1" w:name="PasteHere"/>
      <w:bookmarkEnd w:id="1"/>
      <w:r>
        <w:br w:type="column"/>
      </w:r>
      <w:r w:rsidR="00CB1341" w:rsidRPr="008D7AD9">
        <w:t>What is the public interest?</w:t>
      </w:r>
    </w:p>
    <w:p w14:paraId="06CEE6C0" w14:textId="72BD99E8" w:rsidR="00CB1341" w:rsidRPr="008D7AD9" w:rsidRDefault="00CB1341" w:rsidP="008D7AD9">
      <w:pPr>
        <w:pStyle w:val="BodyText"/>
      </w:pPr>
      <w:bookmarkStart w:id="2" w:name="_Hlk524525001"/>
      <w:r w:rsidRPr="008D7AD9">
        <w:t>In broad terms</w:t>
      </w:r>
      <w:r w:rsidR="008273C5">
        <w:t>,</w:t>
      </w:r>
      <w:r w:rsidRPr="008D7AD9">
        <w:t xml:space="preserve"> the ‘public interest’ is the interest of the public and society</w:t>
      </w:r>
      <w:r w:rsidR="002B61C9">
        <w:t xml:space="preserve">. It includes </w:t>
      </w:r>
      <w:r w:rsidRPr="008D7AD9">
        <w:t>the interest of the public in good governance</w:t>
      </w:r>
      <w:r w:rsidR="002B61C9">
        <w:t>, transparency, accountability</w:t>
      </w:r>
      <w:r w:rsidRPr="008D7AD9">
        <w:t xml:space="preserve"> and good public policy outcomes.</w:t>
      </w:r>
    </w:p>
    <w:bookmarkEnd w:id="2"/>
    <w:p w14:paraId="06CEE6C1" w14:textId="77777777" w:rsidR="00CB1341" w:rsidRPr="008D7AD9" w:rsidRDefault="00CB1341" w:rsidP="008D7AD9">
      <w:pPr>
        <w:pStyle w:val="Heading2"/>
      </w:pPr>
      <w:r w:rsidRPr="008D7AD9">
        <w:t xml:space="preserve">Key </w:t>
      </w:r>
      <w:proofErr w:type="gramStart"/>
      <w:r w:rsidRPr="008D7AD9">
        <w:t>public sector</w:t>
      </w:r>
      <w:proofErr w:type="gramEnd"/>
      <w:r w:rsidRPr="008D7AD9">
        <w:t xml:space="preserve"> governance issues</w:t>
      </w:r>
    </w:p>
    <w:p w14:paraId="1B0C6559" w14:textId="7205CA34" w:rsidR="008D7AD9" w:rsidRDefault="00CB1341" w:rsidP="008D7AD9">
      <w:pPr>
        <w:pStyle w:val="BodyText"/>
      </w:pPr>
      <w:r w:rsidRPr="008D7AD9">
        <w:t xml:space="preserve">Governance of public </w:t>
      </w:r>
      <w:r w:rsidR="008C46F2">
        <w:t>agencies</w:t>
      </w:r>
      <w:r w:rsidR="008273C5">
        <w:t xml:space="preserve"> generally involves all </w:t>
      </w:r>
      <w:r w:rsidRPr="008D7AD9">
        <w:t>good governance imperatives faced by private sector corporations, for which an experienced private sector director should be well equipped.</w:t>
      </w:r>
      <w:r w:rsidR="008D7AD9" w:rsidRPr="008D7AD9">
        <w:t xml:space="preserve"> </w:t>
      </w:r>
    </w:p>
    <w:p w14:paraId="06CEE6C2" w14:textId="6DB6DB6A" w:rsidR="00CB1341" w:rsidRPr="008D7AD9" w:rsidRDefault="00CB1341" w:rsidP="008D7AD9">
      <w:pPr>
        <w:pStyle w:val="BodyText"/>
      </w:pPr>
      <w:r w:rsidRPr="008D7AD9">
        <w:t>However:</w:t>
      </w:r>
    </w:p>
    <w:p w14:paraId="06CEE6C3" w14:textId="47CD95CD" w:rsidR="00CB1341" w:rsidRPr="00460713" w:rsidRDefault="00CB1341" w:rsidP="00CB1341">
      <w:pPr>
        <w:pStyle w:val="ListBullet"/>
        <w:numPr>
          <w:ilvl w:val="0"/>
          <w:numId w:val="46"/>
        </w:numPr>
        <w:spacing w:before="60" w:after="60"/>
      </w:pPr>
      <w:r w:rsidRPr="00460713">
        <w:t xml:space="preserve">public </w:t>
      </w:r>
      <w:r w:rsidR="008C46F2">
        <w:t>agency</w:t>
      </w:r>
      <w:r w:rsidRPr="00460713">
        <w:t xml:space="preserve"> governance also involves other concerns that are specific to the public sector, and </w:t>
      </w:r>
    </w:p>
    <w:p w14:paraId="06CEE6C4" w14:textId="77777777" w:rsidR="00CB1341" w:rsidRPr="00460713" w:rsidRDefault="00CB1341" w:rsidP="00CB1341">
      <w:pPr>
        <w:pStyle w:val="ListBullet"/>
        <w:spacing w:before="60" w:after="60"/>
      </w:pPr>
      <w:r w:rsidRPr="00460713">
        <w:t>generic governance standards applied in public sector circumstances often require different judgments and actions.</w:t>
      </w:r>
    </w:p>
    <w:p w14:paraId="06CEE6C5" w14:textId="77777777" w:rsidR="00CB1341" w:rsidRPr="00460713" w:rsidRDefault="00CB1341" w:rsidP="00CB1341">
      <w:pPr>
        <w:pStyle w:val="BodyText"/>
        <w:spacing w:before="120" w:after="60"/>
      </w:pPr>
      <w:r w:rsidRPr="00460713">
        <w:t>Key issues that are specific to public sector governance are:</w:t>
      </w:r>
    </w:p>
    <w:p w14:paraId="06CEE6C6" w14:textId="10D8D43F" w:rsidR="00CB1341" w:rsidRPr="00460713" w:rsidRDefault="00CB1341" w:rsidP="00CB1341">
      <w:pPr>
        <w:pStyle w:val="ListBullet"/>
      </w:pPr>
      <w:r w:rsidRPr="00460713">
        <w:t xml:space="preserve">Mission and strategy derive from, and can be limited by, the </w:t>
      </w:r>
      <w:r w:rsidR="008C46F2">
        <w:t>agency</w:t>
      </w:r>
      <w:r w:rsidRPr="00460713">
        <w:t>’s enabling legislation (or equivalent constituent document).</w:t>
      </w:r>
    </w:p>
    <w:p w14:paraId="06CEE6C7" w14:textId="77777777" w:rsidR="00CB1341" w:rsidRPr="00460713" w:rsidRDefault="00CB1341" w:rsidP="00CB1341">
      <w:pPr>
        <w:pStyle w:val="ListBullet"/>
      </w:pPr>
      <w:r w:rsidRPr="00460713">
        <w:t xml:space="preserve">Functions </w:t>
      </w:r>
      <w:proofErr w:type="gramStart"/>
      <w:r w:rsidRPr="00460713">
        <w:t>have to</w:t>
      </w:r>
      <w:proofErr w:type="gramEnd"/>
      <w:r w:rsidRPr="00460713">
        <w:t xml:space="preserve"> be performed in the public interest, and generally consistent with Victorian Government policy.</w:t>
      </w:r>
    </w:p>
    <w:p w14:paraId="06CEE6C8" w14:textId="77777777" w:rsidR="00CB1341" w:rsidRPr="00460713" w:rsidRDefault="00CB1341" w:rsidP="00CB1341">
      <w:pPr>
        <w:pStyle w:val="ListBullet"/>
      </w:pPr>
      <w:r w:rsidRPr="00460713">
        <w:t xml:space="preserve">Subject to applicable legislation, boards may be subject to Ministerial direction and should generally </w:t>
      </w:r>
      <w:proofErr w:type="gramStart"/>
      <w:r w:rsidRPr="00460713">
        <w:t>take into account</w:t>
      </w:r>
      <w:proofErr w:type="gramEnd"/>
      <w:r w:rsidRPr="00460713">
        <w:t xml:space="preserve"> Ministers’ views.</w:t>
      </w:r>
    </w:p>
    <w:p w14:paraId="06CEE6C9" w14:textId="77777777" w:rsidR="00CB1341" w:rsidRPr="00460713" w:rsidRDefault="00CB1341" w:rsidP="00CB1341">
      <w:pPr>
        <w:pStyle w:val="ListBullet"/>
      </w:pPr>
      <w:r w:rsidRPr="00460713">
        <w:t xml:space="preserve">Boards collectively and directors individually must act in accordance with public sector values and subject to the VPSC </w:t>
      </w:r>
      <w:r w:rsidRPr="00B14C7F">
        <w:rPr>
          <w:i/>
        </w:rPr>
        <w:t>Code of Conduct for Directors of Victorian Public Entities</w:t>
      </w:r>
      <w:r w:rsidRPr="00460713">
        <w:t>.</w:t>
      </w:r>
    </w:p>
    <w:p w14:paraId="06CEE6CA" w14:textId="77777777" w:rsidR="00CB1341" w:rsidRPr="00460713" w:rsidRDefault="00CB1341" w:rsidP="00CB1341">
      <w:pPr>
        <w:pStyle w:val="ListBullet"/>
      </w:pPr>
      <w:r w:rsidRPr="00460713">
        <w:t>Boards should give priority to retaining public trust and confidence.</w:t>
      </w:r>
    </w:p>
    <w:p w14:paraId="06CEE6CB" w14:textId="1C7440EA" w:rsidR="00CB1341" w:rsidRPr="00460713" w:rsidRDefault="00CB1341" w:rsidP="00CB1341">
      <w:pPr>
        <w:pStyle w:val="ListBullet"/>
      </w:pPr>
      <w:r w:rsidRPr="00460713">
        <w:t xml:space="preserve">Public </w:t>
      </w:r>
      <w:r w:rsidR="008C46F2">
        <w:t>agencies</w:t>
      </w:r>
      <w:r w:rsidRPr="00460713">
        <w:t xml:space="preserve"> should act ethically and as model citizens.</w:t>
      </w:r>
    </w:p>
    <w:p w14:paraId="06CEE6CC" w14:textId="77554DCA" w:rsidR="00CB1341" w:rsidRPr="00460713" w:rsidRDefault="00CB1341" w:rsidP="00CB1341">
      <w:pPr>
        <w:pStyle w:val="ListBullet"/>
      </w:pPr>
      <w:r w:rsidRPr="00460713">
        <w:lastRenderedPageBreak/>
        <w:t xml:space="preserve">Public </w:t>
      </w:r>
      <w:r w:rsidR="008C46F2">
        <w:t>agencies</w:t>
      </w:r>
      <w:r w:rsidRPr="00460713">
        <w:t xml:space="preserve"> have different financial management regimes that include different accounting standards, generally public procurement processes, government approval to borrow, and usually government regulation of remuneration levels.</w:t>
      </w:r>
    </w:p>
    <w:p w14:paraId="06CEE6CD" w14:textId="26FD8A8A" w:rsidR="00CB1341" w:rsidRPr="00460713" w:rsidRDefault="00CB1341" w:rsidP="00CB1341">
      <w:pPr>
        <w:pStyle w:val="ListBullet"/>
      </w:pPr>
      <w:r w:rsidRPr="00460713">
        <w:t xml:space="preserve">Public </w:t>
      </w:r>
      <w:r w:rsidR="008C46F2">
        <w:t>agencies</w:t>
      </w:r>
      <w:r w:rsidRPr="00460713">
        <w:t xml:space="preserve"> are subject to an extensive accountability regime that includes:</w:t>
      </w:r>
    </w:p>
    <w:p w14:paraId="06CEE6CE" w14:textId="77777777" w:rsidR="00CB1341" w:rsidRPr="008273C5" w:rsidRDefault="00CB1341" w:rsidP="008273C5">
      <w:pPr>
        <w:pStyle w:val="ListBullet2"/>
      </w:pPr>
      <w:r w:rsidRPr="008273C5">
        <w:t>Additional transparency and reporting</w:t>
      </w:r>
    </w:p>
    <w:p w14:paraId="06CEE6CF" w14:textId="77777777" w:rsidR="00CB1341" w:rsidRPr="008273C5" w:rsidRDefault="00CB1341" w:rsidP="008273C5">
      <w:pPr>
        <w:pStyle w:val="ListBullet2"/>
      </w:pPr>
      <w:r w:rsidRPr="008273C5">
        <w:t xml:space="preserve">Tighter data protection laws and public </w:t>
      </w:r>
      <w:r w:rsidRPr="008273C5">
        <w:br/>
        <w:t>records obligations</w:t>
      </w:r>
    </w:p>
    <w:p w14:paraId="06CEE6D0" w14:textId="77777777" w:rsidR="00CB1341" w:rsidRPr="008273C5" w:rsidRDefault="00CB1341" w:rsidP="008273C5">
      <w:pPr>
        <w:pStyle w:val="ListBullet2"/>
      </w:pPr>
      <w:r w:rsidRPr="008273C5">
        <w:t>Freedom of Information (FOI) disclosure obligations</w:t>
      </w:r>
    </w:p>
    <w:p w14:paraId="06CEE6D1" w14:textId="77777777" w:rsidR="00CB1341" w:rsidRPr="008273C5" w:rsidRDefault="00CB1341" w:rsidP="008273C5">
      <w:pPr>
        <w:pStyle w:val="ListBullet2"/>
      </w:pPr>
      <w:r w:rsidRPr="008273C5">
        <w:t xml:space="preserve">A comprehensive </w:t>
      </w:r>
      <w:proofErr w:type="spellStart"/>
      <w:r w:rsidRPr="008273C5">
        <w:t>whistleblower</w:t>
      </w:r>
      <w:proofErr w:type="spellEnd"/>
      <w:r w:rsidRPr="008273C5">
        <w:t xml:space="preserve"> (‘protected disclosure’) regime</w:t>
      </w:r>
    </w:p>
    <w:p w14:paraId="06CEE6D2" w14:textId="77777777" w:rsidR="00CB1341" w:rsidRPr="008273C5" w:rsidRDefault="00CB1341" w:rsidP="008273C5">
      <w:pPr>
        <w:pStyle w:val="ListBullet2"/>
      </w:pPr>
      <w:r w:rsidRPr="008273C5">
        <w:t>Possible scrutiny by the Ombudsman, Parliamentary Committees and the Independent Broad-based Anti-</w:t>
      </w:r>
      <w:proofErr w:type="gramStart"/>
      <w:r w:rsidRPr="008273C5">
        <w:t>corruption</w:t>
      </w:r>
      <w:proofErr w:type="gramEnd"/>
      <w:r w:rsidRPr="008273C5">
        <w:t xml:space="preserve"> Commission</w:t>
      </w:r>
    </w:p>
    <w:p w14:paraId="06CEE6D3" w14:textId="77777777" w:rsidR="00CB1341" w:rsidRPr="008273C5" w:rsidRDefault="00CB1341" w:rsidP="008273C5">
      <w:pPr>
        <w:pStyle w:val="ListBullet2"/>
      </w:pPr>
      <w:r w:rsidRPr="008273C5">
        <w:t>Performance audits by the Auditor-General</w:t>
      </w:r>
      <w:bookmarkStart w:id="3" w:name="_GoBack"/>
      <w:bookmarkEnd w:id="3"/>
    </w:p>
    <w:p w14:paraId="06CEE6D4" w14:textId="77777777" w:rsidR="00CB1341" w:rsidRPr="008273C5" w:rsidRDefault="00CB1341" w:rsidP="008273C5">
      <w:pPr>
        <w:pStyle w:val="ListBullet2"/>
      </w:pPr>
      <w:r w:rsidRPr="008273C5">
        <w:t>Possible judicial review of decisions on ‘administrative law’ grounds.</w:t>
      </w:r>
    </w:p>
    <w:p w14:paraId="06CEE6D5" w14:textId="77777777" w:rsidR="00CB1341" w:rsidRPr="00460713" w:rsidRDefault="00CB1341" w:rsidP="00CB1341">
      <w:pPr>
        <w:pStyle w:val="ListBullet"/>
        <w:spacing w:after="240"/>
      </w:pPr>
      <w:r w:rsidRPr="00460713">
        <w:t>Directors can lack indemnity where they act not under direction and knowing that the action is invalid (this is where they commit ‘misfeasance in public office’).</w:t>
      </w:r>
    </w:p>
    <w:p w14:paraId="50B10371" w14:textId="77777777" w:rsidR="008273C5" w:rsidRDefault="00CB1341" w:rsidP="008273C5">
      <w:pPr>
        <w:pStyle w:val="BodyText"/>
      </w:pPr>
      <w:r w:rsidRPr="008273C5">
        <w:t>By contrast, private sector corporations are established to serve the interests of their shareholders.</w:t>
      </w:r>
      <w:r w:rsidR="008D7AD9" w:rsidRPr="008273C5">
        <w:t xml:space="preserve"> </w:t>
      </w:r>
      <w:r w:rsidRPr="008273C5">
        <w:t>Their shareholders’ interests are private interests, usually economic, and do not always equate to the public interest.</w:t>
      </w:r>
      <w:r w:rsidR="008D7AD9" w:rsidRPr="008273C5">
        <w:t xml:space="preserve"> </w:t>
      </w:r>
    </w:p>
    <w:p w14:paraId="06CEE6D6" w14:textId="716F2A27" w:rsidR="00CB1341" w:rsidRPr="008273C5" w:rsidRDefault="00CB1341" w:rsidP="008273C5">
      <w:pPr>
        <w:pStyle w:val="BodyText"/>
      </w:pPr>
      <w:r w:rsidRPr="008273C5">
        <w:t>If applicable laws are complied with, they can (and generally do) act pragmatically to advance those private interests as a corporate priority.</w:t>
      </w:r>
      <w:r w:rsidR="008D7AD9" w:rsidRPr="008273C5">
        <w:t xml:space="preserve"> </w:t>
      </w:r>
      <w:r w:rsidRPr="008273C5">
        <w:t>They are subject to governmental scrutiny only in relation to compliance with law.</w:t>
      </w:r>
    </w:p>
    <w:p w14:paraId="552C7278" w14:textId="77777777" w:rsidR="008273C5" w:rsidRDefault="008273C5" w:rsidP="00CB1341">
      <w:pPr>
        <w:pStyle w:val="Heading2"/>
        <w:sectPr w:rsidR="008273C5" w:rsidSect="00522BAB">
          <w:type w:val="continuous"/>
          <w:pgSz w:w="11907" w:h="16840" w:code="9"/>
          <w:pgMar w:top="2211" w:right="851" w:bottom="1418" w:left="851" w:header="284" w:footer="737" w:gutter="0"/>
          <w:cols w:num="2" w:space="284"/>
          <w:docGrid w:linePitch="360"/>
        </w:sectPr>
      </w:pPr>
    </w:p>
    <w:p w14:paraId="2078A661" w14:textId="77777777" w:rsidR="007365D8" w:rsidRDefault="007365D8" w:rsidP="007365D8">
      <w:pPr>
        <w:pStyle w:val="Heading2"/>
        <w:pBdr>
          <w:bottom w:val="single" w:sz="12" w:space="1" w:color="00B2A9" w:themeColor="text2"/>
        </w:pBdr>
        <w:spacing w:before="0"/>
      </w:pPr>
    </w:p>
    <w:p w14:paraId="06CEE6D7" w14:textId="7496C621" w:rsidR="00CB1341" w:rsidRPr="00B14C7F" w:rsidRDefault="00CB1341" w:rsidP="007365D8">
      <w:pPr>
        <w:pStyle w:val="Heading2"/>
        <w:spacing w:before="360"/>
      </w:pPr>
      <w:r w:rsidRPr="00B14C7F">
        <w:t>Public equivalents of private sector drivers</w:t>
      </w:r>
    </w:p>
    <w:p w14:paraId="2B1F4AEB" w14:textId="77777777" w:rsidR="008273C5" w:rsidRPr="00B02714" w:rsidRDefault="00CB1341" w:rsidP="00B02714">
      <w:pPr>
        <w:pStyle w:val="BodyText"/>
      </w:pPr>
      <w:r w:rsidRPr="00B02714">
        <w:t>Directors of corporations in the private sector face duties, governance standards, performance expectations and related circumstances that are generally well understood.</w:t>
      </w:r>
      <w:r w:rsidR="008D7AD9" w:rsidRPr="00B02714">
        <w:t xml:space="preserve"> </w:t>
      </w:r>
      <w:r w:rsidRPr="00B02714">
        <w:t>Those drivers apply to public sector directors also, but more is required.</w:t>
      </w:r>
      <w:r w:rsidR="008D7AD9" w:rsidRPr="00B02714">
        <w:t xml:space="preserve"> </w:t>
      </w:r>
    </w:p>
    <w:p w14:paraId="06CEE6D9" w14:textId="318A8BBB" w:rsidR="00CB1341" w:rsidRPr="008273C5" w:rsidRDefault="00CB1341" w:rsidP="00B02714">
      <w:pPr>
        <w:pStyle w:val="BodyText"/>
        <w:spacing w:after="240"/>
        <w:sectPr w:rsidR="00CB1341" w:rsidRPr="008273C5" w:rsidSect="008273C5">
          <w:type w:val="continuous"/>
          <w:pgSz w:w="11907" w:h="16840" w:code="9"/>
          <w:pgMar w:top="2211" w:right="851" w:bottom="1418" w:left="851" w:header="284" w:footer="737" w:gutter="0"/>
          <w:cols w:space="284"/>
          <w:docGrid w:linePitch="360"/>
        </w:sectPr>
      </w:pPr>
      <w:r w:rsidRPr="00B02714">
        <w:t>Here is how the public sector extends and challenges them.</w:t>
      </w:r>
    </w:p>
    <w:tbl>
      <w:tblPr>
        <w:tblStyle w:val="TableGrid"/>
        <w:tblW w:w="5000" w:type="pct"/>
        <w:tblLook w:val="0020" w:firstRow="1" w:lastRow="0" w:firstColumn="0" w:lastColumn="0" w:noHBand="0" w:noVBand="0"/>
      </w:tblPr>
      <w:tblGrid>
        <w:gridCol w:w="2851"/>
        <w:gridCol w:w="7354"/>
      </w:tblGrid>
      <w:tr w:rsidR="00522BAB" w:rsidRPr="00460713" w14:paraId="06CEE6DC" w14:textId="77777777" w:rsidTr="001E49E6">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1397" w:type="pct"/>
          </w:tcPr>
          <w:p w14:paraId="06CEE6DA" w14:textId="77777777" w:rsidR="00522BAB" w:rsidRPr="00B14C7F" w:rsidRDefault="00522BAB" w:rsidP="001E49E6">
            <w:pPr>
              <w:pStyle w:val="TableHeadingLeft"/>
            </w:pPr>
            <w:r w:rsidRPr="00B14C7F">
              <w:t xml:space="preserve">Private sector </w:t>
            </w:r>
          </w:p>
        </w:tc>
        <w:tc>
          <w:tcPr>
            <w:tcW w:w="3603" w:type="pct"/>
          </w:tcPr>
          <w:p w14:paraId="06CEE6DB" w14:textId="77777777" w:rsidR="00522BAB" w:rsidRPr="00B14C7F" w:rsidRDefault="00522BAB" w:rsidP="001E49E6">
            <w:pPr>
              <w:pStyle w:val="TableHeadingLeft"/>
              <w:cnfStyle w:val="100000000000" w:firstRow="1" w:lastRow="0" w:firstColumn="0" w:lastColumn="0" w:oddVBand="0" w:evenVBand="0" w:oddHBand="0" w:evenHBand="0" w:firstRowFirstColumn="0" w:firstRowLastColumn="0" w:lastRowFirstColumn="0" w:lastRowLastColumn="0"/>
            </w:pPr>
            <w:r w:rsidRPr="00B14C7F">
              <w:t>Public sector</w:t>
            </w:r>
          </w:p>
        </w:tc>
      </w:tr>
      <w:tr w:rsidR="00522BAB" w:rsidRPr="0013194B" w14:paraId="06CEE6DE" w14:textId="77777777" w:rsidTr="001E49E6">
        <w:trPr>
          <w:cantSplit/>
        </w:trPr>
        <w:tc>
          <w:tcPr>
            <w:cnfStyle w:val="000010000000" w:firstRow="0" w:lastRow="0" w:firstColumn="0" w:lastColumn="0" w:oddVBand="1" w:evenVBand="0" w:oddHBand="0" w:evenHBand="0" w:firstRowFirstColumn="0" w:firstRowLastColumn="0" w:lastRowFirstColumn="0" w:lastRowLastColumn="0"/>
            <w:tcW w:w="5000" w:type="pct"/>
            <w:gridSpan w:val="2"/>
          </w:tcPr>
          <w:p w14:paraId="06CEE6DD" w14:textId="1713DEEB" w:rsidR="00522BAB" w:rsidRPr="0013194B" w:rsidRDefault="00522BAB" w:rsidP="001E49E6">
            <w:pPr>
              <w:pStyle w:val="TableTextLeft"/>
            </w:pPr>
            <w:r w:rsidRPr="0013194B">
              <w:rPr>
                <w:b/>
                <w:color w:val="00B2A9" w:themeColor="text2"/>
              </w:rPr>
              <w:t>Duties</w:t>
            </w:r>
            <w:r>
              <w:rPr>
                <w:b/>
                <w:color w:val="00B2A9" w:themeColor="text2"/>
              </w:rPr>
              <w:t xml:space="preserve"> </w:t>
            </w:r>
            <w:r w:rsidRPr="0013194B">
              <w:t xml:space="preserve">(sections 180-183 </w:t>
            </w:r>
            <w:r w:rsidR="00B02714">
              <w:t>and</w:t>
            </w:r>
            <w:r w:rsidRPr="0013194B">
              <w:t xml:space="preserve"> 191</w:t>
            </w:r>
            <w:r w:rsidR="00B02714">
              <w:t>,</w:t>
            </w:r>
            <w:r w:rsidRPr="0013194B">
              <w:t xml:space="preserve"> Corporations Act)</w:t>
            </w:r>
          </w:p>
        </w:tc>
      </w:tr>
      <w:tr w:rsidR="00522BAB" w:rsidRPr="00460713" w14:paraId="06CEE6E1" w14:textId="77777777" w:rsidTr="001E49E6">
        <w:trPr>
          <w:cantSplit/>
        </w:trPr>
        <w:tc>
          <w:tcPr>
            <w:cnfStyle w:val="000010000000" w:firstRow="0" w:lastRow="0" w:firstColumn="0" w:lastColumn="0" w:oddVBand="1" w:evenVBand="0" w:oddHBand="0" w:evenHBand="0" w:firstRowFirstColumn="0" w:firstRowLastColumn="0" w:lastRowFirstColumn="0" w:lastRowLastColumn="0"/>
            <w:tcW w:w="1397" w:type="pct"/>
          </w:tcPr>
          <w:p w14:paraId="06CEE6DF" w14:textId="77777777" w:rsidR="00522BAB" w:rsidRPr="00460713" w:rsidRDefault="00522BAB" w:rsidP="001E49E6">
            <w:pPr>
              <w:pStyle w:val="TableTextLeft"/>
            </w:pPr>
            <w:r w:rsidRPr="00460713">
              <w:t>Duty of care and diligence</w:t>
            </w:r>
          </w:p>
        </w:tc>
        <w:tc>
          <w:tcPr>
            <w:tcW w:w="3603" w:type="pct"/>
          </w:tcPr>
          <w:p w14:paraId="06CEE6E0" w14:textId="5DD0F0CA" w:rsidR="00522BAB" w:rsidRPr="00460713" w:rsidRDefault="00522BAB" w:rsidP="001E49E6">
            <w:pPr>
              <w:pStyle w:val="TableTextLeft"/>
              <w:cnfStyle w:val="000000000000" w:firstRow="0" w:lastRow="0" w:firstColumn="0" w:lastColumn="0" w:oddVBand="0" w:evenVBand="0" w:oddHBand="0" w:evenHBand="0" w:firstRowFirstColumn="0" w:firstRowLastColumn="0" w:lastRowFirstColumn="0" w:lastRowLastColumn="0"/>
            </w:pPr>
            <w:r w:rsidRPr="00460713">
              <w:t xml:space="preserve">Protection from the ‘business judgement rule’ (for those </w:t>
            </w:r>
            <w:r w:rsidR="008C46F2">
              <w:t>agencies</w:t>
            </w:r>
            <w:r w:rsidRPr="00460713">
              <w:t xml:space="preserve"> that are corporations) would require an understanding of much of the additional material in this document.</w:t>
            </w:r>
          </w:p>
        </w:tc>
      </w:tr>
      <w:tr w:rsidR="00522BAB" w:rsidRPr="00460713" w14:paraId="06CEE6E4" w14:textId="77777777" w:rsidTr="001E49E6">
        <w:trPr>
          <w:cantSplit/>
        </w:trPr>
        <w:tc>
          <w:tcPr>
            <w:cnfStyle w:val="000010000000" w:firstRow="0" w:lastRow="0" w:firstColumn="0" w:lastColumn="0" w:oddVBand="1" w:evenVBand="0" w:oddHBand="0" w:evenHBand="0" w:firstRowFirstColumn="0" w:firstRowLastColumn="0" w:lastRowFirstColumn="0" w:lastRowLastColumn="0"/>
            <w:tcW w:w="1397" w:type="pct"/>
          </w:tcPr>
          <w:p w14:paraId="06CEE6E2" w14:textId="77777777" w:rsidR="00522BAB" w:rsidRPr="00460713" w:rsidRDefault="00522BAB" w:rsidP="001E49E6">
            <w:pPr>
              <w:pStyle w:val="TableTextLeft"/>
            </w:pPr>
            <w:r w:rsidRPr="00460713">
              <w:t xml:space="preserve">Duty to act honestly, in good faith and for a proper purpose </w:t>
            </w:r>
          </w:p>
        </w:tc>
        <w:tc>
          <w:tcPr>
            <w:tcW w:w="3603" w:type="pct"/>
          </w:tcPr>
          <w:p w14:paraId="06CEE6E3" w14:textId="3F97AC29" w:rsidR="00522BAB" w:rsidRPr="00460713" w:rsidRDefault="00522BAB" w:rsidP="001E49E6">
            <w:pPr>
              <w:pStyle w:val="TableTextLeft"/>
              <w:cnfStyle w:val="000000000000" w:firstRow="0" w:lastRow="0" w:firstColumn="0" w:lastColumn="0" w:oddVBand="0" w:evenVBand="0" w:oddHBand="0" w:evenHBand="0" w:firstRowFirstColumn="0" w:firstRowLastColumn="0" w:lastRowFirstColumn="0" w:lastRowLastColumn="0"/>
            </w:pPr>
            <w:r w:rsidRPr="00460713">
              <w:t xml:space="preserve">Public </w:t>
            </w:r>
            <w:r w:rsidR="008C46F2">
              <w:t>agency</w:t>
            </w:r>
            <w:r w:rsidRPr="00460713">
              <w:t xml:space="preserve"> directors must also act ethically. A lack of good faith can expose public </w:t>
            </w:r>
            <w:r w:rsidR="008C46F2">
              <w:t>agency</w:t>
            </w:r>
            <w:r w:rsidRPr="00460713">
              <w:t xml:space="preserve"> directors to additional liability for ‘malfeasance in public office’.</w:t>
            </w:r>
          </w:p>
        </w:tc>
      </w:tr>
      <w:tr w:rsidR="00522BAB" w:rsidRPr="00460713" w14:paraId="06CEE6E7" w14:textId="77777777" w:rsidTr="001E49E6">
        <w:trPr>
          <w:cantSplit/>
        </w:trPr>
        <w:tc>
          <w:tcPr>
            <w:cnfStyle w:val="000010000000" w:firstRow="0" w:lastRow="0" w:firstColumn="0" w:lastColumn="0" w:oddVBand="1" w:evenVBand="0" w:oddHBand="0" w:evenHBand="0" w:firstRowFirstColumn="0" w:firstRowLastColumn="0" w:lastRowFirstColumn="0" w:lastRowLastColumn="0"/>
            <w:tcW w:w="1397" w:type="pct"/>
          </w:tcPr>
          <w:p w14:paraId="06CEE6E5" w14:textId="77777777" w:rsidR="00522BAB" w:rsidRPr="00460713" w:rsidRDefault="00522BAB" w:rsidP="001E49E6">
            <w:pPr>
              <w:pStyle w:val="TableTextLeft"/>
            </w:pPr>
            <w:r w:rsidRPr="00460713">
              <w:t xml:space="preserve">Duty to not misuse position </w:t>
            </w:r>
          </w:p>
        </w:tc>
        <w:tc>
          <w:tcPr>
            <w:tcW w:w="3603" w:type="pct"/>
          </w:tcPr>
          <w:p w14:paraId="06CEE6E6" w14:textId="77777777" w:rsidR="00522BAB" w:rsidRPr="00460713" w:rsidRDefault="00522BAB" w:rsidP="001E49E6">
            <w:pPr>
              <w:pStyle w:val="TableTextLeft"/>
              <w:cnfStyle w:val="000000000000" w:firstRow="0" w:lastRow="0" w:firstColumn="0" w:lastColumn="0" w:oddVBand="0" w:evenVBand="0" w:oddHBand="0" w:evenHBand="0" w:firstRowFirstColumn="0" w:firstRowLastColumn="0" w:lastRowFirstColumn="0" w:lastRowLastColumn="0"/>
            </w:pPr>
            <w:r w:rsidRPr="00460713">
              <w:t>This extends to not acting against the public interest or impairing public trust.</w:t>
            </w:r>
          </w:p>
        </w:tc>
      </w:tr>
      <w:tr w:rsidR="00522BAB" w:rsidRPr="00460713" w14:paraId="06CEE6EA" w14:textId="77777777" w:rsidTr="001E49E6">
        <w:trPr>
          <w:cantSplit/>
        </w:trPr>
        <w:tc>
          <w:tcPr>
            <w:cnfStyle w:val="000010000000" w:firstRow="0" w:lastRow="0" w:firstColumn="0" w:lastColumn="0" w:oddVBand="1" w:evenVBand="0" w:oddHBand="0" w:evenHBand="0" w:firstRowFirstColumn="0" w:firstRowLastColumn="0" w:lastRowFirstColumn="0" w:lastRowLastColumn="0"/>
            <w:tcW w:w="1397" w:type="pct"/>
          </w:tcPr>
          <w:p w14:paraId="06CEE6E8" w14:textId="77777777" w:rsidR="00522BAB" w:rsidRPr="00460713" w:rsidRDefault="00522BAB" w:rsidP="001E49E6">
            <w:pPr>
              <w:pStyle w:val="TableTextLeft"/>
            </w:pPr>
            <w:r w:rsidRPr="00460713">
              <w:t xml:space="preserve">Duty to not misuse information </w:t>
            </w:r>
          </w:p>
        </w:tc>
        <w:tc>
          <w:tcPr>
            <w:tcW w:w="3603" w:type="pct"/>
          </w:tcPr>
          <w:p w14:paraId="06CEE6E9" w14:textId="77777777" w:rsidR="00522BAB" w:rsidRPr="00460713" w:rsidRDefault="00522BAB" w:rsidP="001E49E6">
            <w:pPr>
              <w:pStyle w:val="TableTextLeft"/>
              <w:cnfStyle w:val="000000000000" w:firstRow="0" w:lastRow="0" w:firstColumn="0" w:lastColumn="0" w:oddVBand="0" w:evenVBand="0" w:oddHBand="0" w:evenHBand="0" w:firstRowFirstColumn="0" w:firstRowLastColumn="0" w:lastRowFirstColumn="0" w:lastRowLastColumn="0"/>
            </w:pPr>
            <w:r w:rsidRPr="00460713">
              <w:t>This is a strict obligation but allows ‘protected disclosures’.</w:t>
            </w:r>
          </w:p>
        </w:tc>
      </w:tr>
      <w:tr w:rsidR="00522BAB" w:rsidRPr="00460713" w14:paraId="06CEE6ED" w14:textId="77777777" w:rsidTr="001E49E6">
        <w:trPr>
          <w:cantSplit/>
        </w:trPr>
        <w:tc>
          <w:tcPr>
            <w:cnfStyle w:val="000010000000" w:firstRow="0" w:lastRow="0" w:firstColumn="0" w:lastColumn="0" w:oddVBand="1" w:evenVBand="0" w:oddHBand="0" w:evenHBand="0" w:firstRowFirstColumn="0" w:firstRowLastColumn="0" w:lastRowFirstColumn="0" w:lastRowLastColumn="0"/>
            <w:tcW w:w="1397" w:type="pct"/>
          </w:tcPr>
          <w:p w14:paraId="06CEE6EB" w14:textId="77777777" w:rsidR="00522BAB" w:rsidRPr="00460713" w:rsidRDefault="00522BAB" w:rsidP="001E49E6">
            <w:pPr>
              <w:pStyle w:val="TableTextLeft"/>
            </w:pPr>
            <w:r w:rsidRPr="00460713">
              <w:t xml:space="preserve">Duty to disclose interests </w:t>
            </w:r>
          </w:p>
        </w:tc>
        <w:tc>
          <w:tcPr>
            <w:tcW w:w="3603" w:type="pct"/>
          </w:tcPr>
          <w:p w14:paraId="06CEE6EC" w14:textId="77777777" w:rsidR="00522BAB" w:rsidRPr="00460713" w:rsidRDefault="00522BAB" w:rsidP="001E49E6">
            <w:pPr>
              <w:pStyle w:val="TableTextLeft"/>
              <w:cnfStyle w:val="000000000000" w:firstRow="0" w:lastRow="0" w:firstColumn="0" w:lastColumn="0" w:oddVBand="0" w:evenVBand="0" w:oddHBand="0" w:evenHBand="0" w:firstRowFirstColumn="0" w:firstRowLastColumn="0" w:lastRowFirstColumn="0" w:lastRowLastColumn="0"/>
            </w:pPr>
            <w:r w:rsidRPr="00460713">
              <w:t>A wide view of conflicts of interests applies and the scope for conflict is considerable.</w:t>
            </w:r>
          </w:p>
        </w:tc>
      </w:tr>
      <w:tr w:rsidR="00522BAB" w:rsidRPr="0013194B" w14:paraId="06CEE6EF" w14:textId="77777777" w:rsidTr="001E49E6">
        <w:trPr>
          <w:cantSplit/>
        </w:trPr>
        <w:tc>
          <w:tcPr>
            <w:cnfStyle w:val="000010000000" w:firstRow="0" w:lastRow="0" w:firstColumn="0" w:lastColumn="0" w:oddVBand="1" w:evenVBand="0" w:oddHBand="0" w:evenHBand="0" w:firstRowFirstColumn="0" w:firstRowLastColumn="0" w:lastRowFirstColumn="0" w:lastRowLastColumn="0"/>
            <w:tcW w:w="5000" w:type="pct"/>
            <w:gridSpan w:val="2"/>
          </w:tcPr>
          <w:p w14:paraId="06CEE6EE" w14:textId="77777777" w:rsidR="00522BAB" w:rsidRPr="0013194B" w:rsidRDefault="00522BAB" w:rsidP="001E49E6">
            <w:pPr>
              <w:pStyle w:val="TableTextLeftBold"/>
              <w:rPr>
                <w:color w:val="00B2A9" w:themeColor="text2"/>
              </w:rPr>
            </w:pPr>
            <w:r w:rsidRPr="0013194B">
              <w:rPr>
                <w:color w:val="00B2A9" w:themeColor="text2"/>
              </w:rPr>
              <w:t>Governance standards</w:t>
            </w:r>
          </w:p>
        </w:tc>
      </w:tr>
      <w:tr w:rsidR="00522BAB" w:rsidRPr="00460713" w14:paraId="06CEE6F2" w14:textId="77777777" w:rsidTr="001E49E6">
        <w:trPr>
          <w:cantSplit/>
        </w:trPr>
        <w:tc>
          <w:tcPr>
            <w:cnfStyle w:val="000010000000" w:firstRow="0" w:lastRow="0" w:firstColumn="0" w:lastColumn="0" w:oddVBand="1" w:evenVBand="0" w:oddHBand="0" w:evenHBand="0" w:firstRowFirstColumn="0" w:firstRowLastColumn="0" w:lastRowFirstColumn="0" w:lastRowLastColumn="0"/>
            <w:tcW w:w="1397" w:type="pct"/>
          </w:tcPr>
          <w:p w14:paraId="06CEE6F0" w14:textId="77777777" w:rsidR="00522BAB" w:rsidRPr="00460713" w:rsidRDefault="00522BAB" w:rsidP="001E49E6">
            <w:pPr>
              <w:pStyle w:val="TableTextLeft"/>
            </w:pPr>
            <w:r w:rsidRPr="00460713">
              <w:t>Limited shareholder consultation</w:t>
            </w:r>
          </w:p>
        </w:tc>
        <w:tc>
          <w:tcPr>
            <w:tcW w:w="3603" w:type="pct"/>
          </w:tcPr>
          <w:p w14:paraId="06CEE6F1" w14:textId="318928EB" w:rsidR="00522BAB" w:rsidRPr="00460713" w:rsidRDefault="00522BAB" w:rsidP="001E49E6">
            <w:pPr>
              <w:pStyle w:val="TableTextLeft"/>
              <w:cnfStyle w:val="000000000000" w:firstRow="0" w:lastRow="0" w:firstColumn="0" w:lastColumn="0" w:oddVBand="0" w:evenVBand="0" w:oddHBand="0" w:evenHBand="0" w:firstRowFirstColumn="0" w:firstRowLastColumn="0" w:lastRowFirstColumn="0" w:lastRowLastColumn="0"/>
            </w:pPr>
            <w:r w:rsidRPr="00460713">
              <w:t>The Westminster system of government expects that the Minister and Department is consulted or informed about major issues and, where possible, caretaker conventions are observed.</w:t>
            </w:r>
            <w:r w:rsidR="008D7AD9">
              <w:t xml:space="preserve"> </w:t>
            </w:r>
            <w:r w:rsidRPr="00460713">
              <w:t xml:space="preserve">Constituent legislation may give a Ministerial power of direction. </w:t>
            </w:r>
          </w:p>
        </w:tc>
      </w:tr>
      <w:tr w:rsidR="00522BAB" w:rsidRPr="00460713" w14:paraId="06CEE6F5" w14:textId="77777777" w:rsidTr="001E49E6">
        <w:trPr>
          <w:cantSplit/>
        </w:trPr>
        <w:tc>
          <w:tcPr>
            <w:cnfStyle w:val="000010000000" w:firstRow="0" w:lastRow="0" w:firstColumn="0" w:lastColumn="0" w:oddVBand="1" w:evenVBand="0" w:oddHBand="0" w:evenHBand="0" w:firstRowFirstColumn="0" w:firstRowLastColumn="0" w:lastRowFirstColumn="0" w:lastRowLastColumn="0"/>
            <w:tcW w:w="1397" w:type="pct"/>
          </w:tcPr>
          <w:p w14:paraId="06CEE6F3" w14:textId="77777777" w:rsidR="00522BAB" w:rsidRPr="00460713" w:rsidRDefault="00522BAB" w:rsidP="001E49E6">
            <w:pPr>
              <w:pStyle w:val="TableTextLeft"/>
            </w:pPr>
            <w:r w:rsidRPr="00460713">
              <w:t>External reporting to is to shareholders, mostly prescribed forms of reporting</w:t>
            </w:r>
          </w:p>
        </w:tc>
        <w:tc>
          <w:tcPr>
            <w:tcW w:w="3603" w:type="pct"/>
          </w:tcPr>
          <w:p w14:paraId="06CEE6F4" w14:textId="55173A55" w:rsidR="00522BAB" w:rsidRPr="00460713" w:rsidRDefault="00522BAB" w:rsidP="001E49E6">
            <w:pPr>
              <w:pStyle w:val="TableTextLeft"/>
              <w:cnfStyle w:val="000000000000" w:firstRow="0" w:lastRow="0" w:firstColumn="0" w:lastColumn="0" w:oddVBand="0" w:evenVBand="0" w:oddHBand="0" w:evenHBand="0" w:firstRowFirstColumn="0" w:firstRowLastColumn="0" w:lastRowFirstColumn="0" w:lastRowLastColumn="0"/>
            </w:pPr>
            <w:r w:rsidRPr="00460713">
              <w:t>Reporting goes beyond a (longer) list of prescribed reports, and encompasses the ongoing demands of Ministers, Departmental relationship managers, Parliamentary Committees, the Ombudsman, the Auditor-General, IBAC and even the courts (since persons aggrieved may be able to seek judicial review of decisions).</w:t>
            </w:r>
            <w:r w:rsidR="008D7AD9">
              <w:t xml:space="preserve"> </w:t>
            </w:r>
            <w:r w:rsidRPr="00460713">
              <w:t xml:space="preserve">Public </w:t>
            </w:r>
            <w:r w:rsidR="008C46F2">
              <w:t>agencies</w:t>
            </w:r>
            <w:r w:rsidRPr="00460713">
              <w:t xml:space="preserve"> can be required to give reasons for decisions. </w:t>
            </w:r>
          </w:p>
        </w:tc>
      </w:tr>
      <w:tr w:rsidR="00522BAB" w:rsidRPr="00460713" w14:paraId="06CEE6F8" w14:textId="77777777" w:rsidTr="001E49E6">
        <w:trPr>
          <w:cantSplit/>
        </w:trPr>
        <w:tc>
          <w:tcPr>
            <w:cnfStyle w:val="000010000000" w:firstRow="0" w:lastRow="0" w:firstColumn="0" w:lastColumn="0" w:oddVBand="1" w:evenVBand="0" w:oddHBand="0" w:evenHBand="0" w:firstRowFirstColumn="0" w:firstRowLastColumn="0" w:lastRowFirstColumn="0" w:lastRowLastColumn="0"/>
            <w:tcW w:w="1397" w:type="pct"/>
          </w:tcPr>
          <w:p w14:paraId="06CEE6F6" w14:textId="77777777" w:rsidR="00522BAB" w:rsidRPr="00460713" w:rsidRDefault="00522BAB" w:rsidP="001E49E6">
            <w:pPr>
              <w:pStyle w:val="TableTextLeft"/>
            </w:pPr>
            <w:r w:rsidRPr="00460713">
              <w:t>Self-imposed requirements for ethical conduct, if any</w:t>
            </w:r>
          </w:p>
        </w:tc>
        <w:tc>
          <w:tcPr>
            <w:tcW w:w="3603" w:type="pct"/>
          </w:tcPr>
          <w:p w14:paraId="06CEE6F7" w14:textId="77777777" w:rsidR="00522BAB" w:rsidRPr="00460713" w:rsidRDefault="00522BAB" w:rsidP="001E49E6">
            <w:pPr>
              <w:pStyle w:val="TableTextLeft"/>
              <w:cnfStyle w:val="000000000000" w:firstRow="0" w:lastRow="0" w:firstColumn="0" w:lastColumn="0" w:oddVBand="0" w:evenVBand="0" w:oddHBand="0" w:evenHBand="0" w:firstRowFirstColumn="0" w:firstRowLastColumn="0" w:lastRowFirstColumn="0" w:lastRowLastColumn="0"/>
            </w:pPr>
            <w:r w:rsidRPr="00460713">
              <w:t xml:space="preserve">In addition to the VPSC </w:t>
            </w:r>
            <w:r w:rsidRPr="00460713">
              <w:rPr>
                <w:i/>
              </w:rPr>
              <w:t>Code of Conduct for Directors of Victorian Public Entities</w:t>
            </w:r>
            <w:r w:rsidRPr="00460713">
              <w:t>, there are many published codes of practice that should be respected.</w:t>
            </w:r>
          </w:p>
        </w:tc>
      </w:tr>
      <w:tr w:rsidR="00522BAB" w:rsidRPr="00460713" w14:paraId="06CEE6FB" w14:textId="77777777" w:rsidTr="001E49E6">
        <w:trPr>
          <w:cantSplit/>
        </w:trPr>
        <w:tc>
          <w:tcPr>
            <w:cnfStyle w:val="000010000000" w:firstRow="0" w:lastRow="0" w:firstColumn="0" w:lastColumn="0" w:oddVBand="1" w:evenVBand="0" w:oddHBand="0" w:evenHBand="0" w:firstRowFirstColumn="0" w:firstRowLastColumn="0" w:lastRowFirstColumn="0" w:lastRowLastColumn="0"/>
            <w:tcW w:w="1397" w:type="pct"/>
          </w:tcPr>
          <w:p w14:paraId="06CEE6F9" w14:textId="77777777" w:rsidR="00522BAB" w:rsidRPr="00460713" w:rsidRDefault="00522BAB" w:rsidP="001E49E6">
            <w:pPr>
              <w:pStyle w:val="TableTextLeft"/>
            </w:pPr>
            <w:r w:rsidRPr="00460713">
              <w:lastRenderedPageBreak/>
              <w:t>Board seeks to manage director behaviour</w:t>
            </w:r>
          </w:p>
        </w:tc>
        <w:tc>
          <w:tcPr>
            <w:tcW w:w="3603" w:type="pct"/>
          </w:tcPr>
          <w:p w14:paraId="06CEE6FA" w14:textId="77777777" w:rsidR="00522BAB" w:rsidRPr="00460713" w:rsidRDefault="00522BAB" w:rsidP="001E49E6">
            <w:pPr>
              <w:pStyle w:val="TableTextLeft"/>
              <w:cnfStyle w:val="000000000000" w:firstRow="0" w:lastRow="0" w:firstColumn="0" w:lastColumn="0" w:oddVBand="0" w:evenVBand="0" w:oddHBand="0" w:evenHBand="0" w:firstRowFirstColumn="0" w:firstRowLastColumn="0" w:lastRowFirstColumn="0" w:lastRowLastColumn="0"/>
            </w:pPr>
            <w:r w:rsidRPr="00460713">
              <w:t>Bad boardroom behaviour can have legal consequences and lead to loss of office.</w:t>
            </w:r>
          </w:p>
        </w:tc>
      </w:tr>
      <w:tr w:rsidR="00522BAB" w:rsidRPr="00460713" w14:paraId="06CEE6FE" w14:textId="77777777" w:rsidTr="001E49E6">
        <w:trPr>
          <w:cantSplit/>
        </w:trPr>
        <w:tc>
          <w:tcPr>
            <w:cnfStyle w:val="000010000000" w:firstRow="0" w:lastRow="0" w:firstColumn="0" w:lastColumn="0" w:oddVBand="1" w:evenVBand="0" w:oddHBand="0" w:evenHBand="0" w:firstRowFirstColumn="0" w:firstRowLastColumn="0" w:lastRowFirstColumn="0" w:lastRowLastColumn="0"/>
            <w:tcW w:w="1397" w:type="pct"/>
          </w:tcPr>
          <w:p w14:paraId="06CEE6FC" w14:textId="77777777" w:rsidR="00522BAB" w:rsidRPr="00460713" w:rsidRDefault="00522BAB" w:rsidP="001E49E6">
            <w:pPr>
              <w:pStyle w:val="TableTextLeft"/>
            </w:pPr>
            <w:r w:rsidRPr="00460713">
              <w:t>Extensive delegation with strong reliance on CEO</w:t>
            </w:r>
          </w:p>
        </w:tc>
        <w:tc>
          <w:tcPr>
            <w:tcW w:w="3603" w:type="pct"/>
          </w:tcPr>
          <w:p w14:paraId="06CEE6FD" w14:textId="06AF65E4" w:rsidR="00522BAB" w:rsidRPr="00460713" w:rsidRDefault="00522BAB" w:rsidP="001E49E6">
            <w:pPr>
              <w:pStyle w:val="TableTextLeft"/>
              <w:cnfStyle w:val="000000000000" w:firstRow="0" w:lastRow="0" w:firstColumn="0" w:lastColumn="0" w:oddVBand="0" w:evenVBand="0" w:oddHBand="0" w:evenHBand="0" w:firstRowFirstColumn="0" w:firstRowLastColumn="0" w:lastRowFirstColumn="0" w:lastRowLastColumn="0"/>
            </w:pPr>
            <w:r w:rsidRPr="00460713">
              <w:t xml:space="preserve">Supervision of just the CEO is not enough; a public </w:t>
            </w:r>
            <w:r w:rsidR="008C46F2">
              <w:t>agency</w:t>
            </w:r>
            <w:r w:rsidRPr="00460713">
              <w:t xml:space="preserve"> board needs to be concerned with the system of sub-delegation and internal governance.</w:t>
            </w:r>
          </w:p>
        </w:tc>
      </w:tr>
      <w:tr w:rsidR="00522BAB" w:rsidRPr="00460713" w14:paraId="06CEE701" w14:textId="77777777" w:rsidTr="001E49E6">
        <w:trPr>
          <w:cantSplit/>
        </w:trPr>
        <w:tc>
          <w:tcPr>
            <w:cnfStyle w:val="000010000000" w:firstRow="0" w:lastRow="0" w:firstColumn="0" w:lastColumn="0" w:oddVBand="1" w:evenVBand="0" w:oddHBand="0" w:evenHBand="0" w:firstRowFirstColumn="0" w:firstRowLastColumn="0" w:lastRowFirstColumn="0" w:lastRowLastColumn="0"/>
            <w:tcW w:w="1397" w:type="pct"/>
          </w:tcPr>
          <w:p w14:paraId="06CEE6FF" w14:textId="77777777" w:rsidR="00522BAB" w:rsidRPr="00460713" w:rsidRDefault="00522BAB" w:rsidP="001E49E6">
            <w:pPr>
              <w:pStyle w:val="TableTextLeft"/>
            </w:pPr>
            <w:r w:rsidRPr="00460713">
              <w:t>Outsourcing driven by rational economics</w:t>
            </w:r>
          </w:p>
        </w:tc>
        <w:tc>
          <w:tcPr>
            <w:tcW w:w="3603" w:type="pct"/>
          </w:tcPr>
          <w:p w14:paraId="06CEE700" w14:textId="03631ABC" w:rsidR="00522BAB" w:rsidRPr="00460713" w:rsidRDefault="00522BAB" w:rsidP="001E49E6">
            <w:pPr>
              <w:pStyle w:val="TableTextLeft"/>
              <w:cnfStyle w:val="000000000000" w:firstRow="0" w:lastRow="0" w:firstColumn="0" w:lastColumn="0" w:oddVBand="0" w:evenVBand="0" w:oddHBand="0" w:evenHBand="0" w:firstRowFirstColumn="0" w:firstRowLastColumn="0" w:lastRowFirstColumn="0" w:lastRowLastColumn="0"/>
            </w:pPr>
            <w:r w:rsidRPr="00460713">
              <w:t xml:space="preserve">Responsibility does not end with </w:t>
            </w:r>
            <w:proofErr w:type="gramStart"/>
            <w:r w:rsidRPr="00460713">
              <w:t>outsourcing,</w:t>
            </w:r>
            <w:proofErr w:type="gramEnd"/>
            <w:r w:rsidRPr="00460713">
              <w:t xml:space="preserve"> a public </w:t>
            </w:r>
            <w:r w:rsidR="008C46F2">
              <w:t>agency</w:t>
            </w:r>
            <w:r w:rsidRPr="00460713">
              <w:t xml:space="preserve"> must be concerned with ‘the means’ as well as ‘the ends’.</w:t>
            </w:r>
          </w:p>
        </w:tc>
      </w:tr>
      <w:tr w:rsidR="00522BAB" w:rsidRPr="00460713" w14:paraId="06CEE704" w14:textId="77777777" w:rsidTr="001E49E6">
        <w:trPr>
          <w:cantSplit/>
        </w:trPr>
        <w:tc>
          <w:tcPr>
            <w:cnfStyle w:val="000010000000" w:firstRow="0" w:lastRow="0" w:firstColumn="0" w:lastColumn="0" w:oddVBand="1" w:evenVBand="0" w:oddHBand="0" w:evenHBand="0" w:firstRowFirstColumn="0" w:firstRowLastColumn="0" w:lastRowFirstColumn="0" w:lastRowLastColumn="0"/>
            <w:tcW w:w="1397" w:type="pct"/>
          </w:tcPr>
          <w:p w14:paraId="06CEE702" w14:textId="77777777" w:rsidR="00522BAB" w:rsidRPr="00460713" w:rsidRDefault="00522BAB" w:rsidP="001E49E6">
            <w:pPr>
              <w:pStyle w:val="TableTextLeft"/>
            </w:pPr>
            <w:r w:rsidRPr="00460713">
              <w:t>Concern for own-brand protection</w:t>
            </w:r>
          </w:p>
        </w:tc>
        <w:tc>
          <w:tcPr>
            <w:tcW w:w="3603" w:type="pct"/>
          </w:tcPr>
          <w:p w14:paraId="06CEE703" w14:textId="33B8F9A3" w:rsidR="00522BAB" w:rsidRPr="00460713" w:rsidRDefault="00522BAB" w:rsidP="001E49E6">
            <w:pPr>
              <w:pStyle w:val="TableTextLeft"/>
              <w:cnfStyle w:val="000000000000" w:firstRow="0" w:lastRow="0" w:firstColumn="0" w:lastColumn="0" w:oddVBand="0" w:evenVBand="0" w:oddHBand="0" w:evenHBand="0" w:firstRowFirstColumn="0" w:firstRowLastColumn="0" w:lastRowFirstColumn="0" w:lastRowLastColumn="0"/>
            </w:pPr>
            <w:r w:rsidRPr="00460713">
              <w:t xml:space="preserve">Many public </w:t>
            </w:r>
            <w:r w:rsidR="008C46F2">
              <w:t>agencies</w:t>
            </w:r>
            <w:r w:rsidRPr="00460713">
              <w:t xml:space="preserve"> use and generate intellectual property that is vested in the State, rather than the </w:t>
            </w:r>
            <w:r w:rsidR="008C46F2">
              <w:t>agency</w:t>
            </w:r>
            <w:r w:rsidRPr="00460713">
              <w:t>.</w:t>
            </w:r>
          </w:p>
        </w:tc>
      </w:tr>
      <w:tr w:rsidR="00522BAB" w:rsidRPr="00460713" w14:paraId="06CEE707" w14:textId="77777777" w:rsidTr="001E49E6">
        <w:trPr>
          <w:cantSplit/>
        </w:trPr>
        <w:tc>
          <w:tcPr>
            <w:cnfStyle w:val="000010000000" w:firstRow="0" w:lastRow="0" w:firstColumn="0" w:lastColumn="0" w:oddVBand="1" w:evenVBand="0" w:oddHBand="0" w:evenHBand="0" w:firstRowFirstColumn="0" w:firstRowLastColumn="0" w:lastRowFirstColumn="0" w:lastRowLastColumn="0"/>
            <w:tcW w:w="1397" w:type="pct"/>
          </w:tcPr>
          <w:p w14:paraId="06CEE705" w14:textId="77777777" w:rsidR="00522BAB" w:rsidRPr="00460713" w:rsidRDefault="00522BAB" w:rsidP="001E49E6">
            <w:pPr>
              <w:pStyle w:val="TableTextLeft"/>
            </w:pPr>
            <w:r w:rsidRPr="00460713">
              <w:t>External audit of financial reports</w:t>
            </w:r>
          </w:p>
        </w:tc>
        <w:tc>
          <w:tcPr>
            <w:tcW w:w="3603" w:type="pct"/>
          </w:tcPr>
          <w:p w14:paraId="06CEE706" w14:textId="77777777" w:rsidR="00522BAB" w:rsidRPr="00460713" w:rsidRDefault="00522BAB" w:rsidP="001E49E6">
            <w:pPr>
              <w:pStyle w:val="TableTextLeft"/>
              <w:cnfStyle w:val="000000000000" w:firstRow="0" w:lastRow="0" w:firstColumn="0" w:lastColumn="0" w:oddVBand="0" w:evenVBand="0" w:oddHBand="0" w:evenHBand="0" w:firstRowFirstColumn="0" w:firstRowLastColumn="0" w:lastRowFirstColumn="0" w:lastRowLastColumn="0"/>
            </w:pPr>
            <w:r w:rsidRPr="00460713">
              <w:t>The Auditor-General can undertake performance audits, not just financial audits.</w:t>
            </w:r>
          </w:p>
        </w:tc>
      </w:tr>
      <w:tr w:rsidR="00522BAB" w:rsidRPr="00460713" w14:paraId="06CEE70A" w14:textId="77777777" w:rsidTr="001E49E6">
        <w:trPr>
          <w:cantSplit/>
        </w:trPr>
        <w:tc>
          <w:tcPr>
            <w:cnfStyle w:val="000010000000" w:firstRow="0" w:lastRow="0" w:firstColumn="0" w:lastColumn="0" w:oddVBand="1" w:evenVBand="0" w:oddHBand="0" w:evenHBand="0" w:firstRowFirstColumn="0" w:firstRowLastColumn="0" w:lastRowFirstColumn="0" w:lastRowLastColumn="0"/>
            <w:tcW w:w="1397" w:type="pct"/>
          </w:tcPr>
          <w:p w14:paraId="06CEE708" w14:textId="77777777" w:rsidR="00522BAB" w:rsidRPr="00460713" w:rsidRDefault="00522BAB" w:rsidP="001E49E6">
            <w:pPr>
              <w:pStyle w:val="TableTextLeft"/>
            </w:pPr>
            <w:r w:rsidRPr="00460713">
              <w:t>Indemnification of directors</w:t>
            </w:r>
          </w:p>
        </w:tc>
        <w:tc>
          <w:tcPr>
            <w:tcW w:w="3603" w:type="pct"/>
          </w:tcPr>
          <w:p w14:paraId="06CEE709" w14:textId="77777777" w:rsidR="00522BAB" w:rsidRPr="00460713" w:rsidRDefault="00522BAB" w:rsidP="001E49E6">
            <w:pPr>
              <w:pStyle w:val="TableTextLeft"/>
              <w:cnfStyle w:val="000000000000" w:firstRow="0" w:lastRow="0" w:firstColumn="0" w:lastColumn="0" w:oddVBand="0" w:evenVBand="0" w:oddHBand="0" w:evenHBand="0" w:firstRowFirstColumn="0" w:firstRowLastColumn="0" w:lastRowFirstColumn="0" w:lastRowLastColumn="0"/>
            </w:pPr>
            <w:r w:rsidRPr="00460713">
              <w:t>Indemnification is sometimes a matter of convention, rather than law, and might be lost by knowingly acting invalidly or in breach of an obligation.</w:t>
            </w:r>
          </w:p>
        </w:tc>
      </w:tr>
      <w:tr w:rsidR="00522BAB" w:rsidRPr="00460713" w14:paraId="06CEE70C" w14:textId="77777777" w:rsidTr="001E49E6">
        <w:trPr>
          <w:cantSplit/>
        </w:trPr>
        <w:tc>
          <w:tcPr>
            <w:cnfStyle w:val="000010000000" w:firstRow="0" w:lastRow="0" w:firstColumn="0" w:lastColumn="0" w:oddVBand="1" w:evenVBand="0" w:oddHBand="0" w:evenHBand="0" w:firstRowFirstColumn="0" w:firstRowLastColumn="0" w:lastRowFirstColumn="0" w:lastRowLastColumn="0"/>
            <w:tcW w:w="5000" w:type="pct"/>
            <w:gridSpan w:val="2"/>
          </w:tcPr>
          <w:p w14:paraId="06CEE70B" w14:textId="77777777" w:rsidR="00522BAB" w:rsidRPr="0013194B" w:rsidRDefault="00522BAB" w:rsidP="001E49E6">
            <w:pPr>
              <w:pStyle w:val="TableTextLeft"/>
              <w:keepNext/>
              <w:rPr>
                <w:color w:val="00B2A9" w:themeColor="text2"/>
              </w:rPr>
            </w:pPr>
            <w:r w:rsidRPr="0013194B">
              <w:rPr>
                <w:b/>
                <w:color w:val="00B2A9" w:themeColor="text2"/>
              </w:rPr>
              <w:t>Performance expectations</w:t>
            </w:r>
          </w:p>
        </w:tc>
      </w:tr>
      <w:tr w:rsidR="00522BAB" w:rsidRPr="00460713" w14:paraId="06CEE70F" w14:textId="77777777" w:rsidTr="001E49E6">
        <w:trPr>
          <w:cantSplit/>
        </w:trPr>
        <w:tc>
          <w:tcPr>
            <w:cnfStyle w:val="000010000000" w:firstRow="0" w:lastRow="0" w:firstColumn="0" w:lastColumn="0" w:oddVBand="1" w:evenVBand="0" w:oddHBand="0" w:evenHBand="0" w:firstRowFirstColumn="0" w:firstRowLastColumn="0" w:lastRowFirstColumn="0" w:lastRowLastColumn="0"/>
            <w:tcW w:w="1397" w:type="pct"/>
          </w:tcPr>
          <w:p w14:paraId="06CEE70D" w14:textId="77777777" w:rsidR="00522BAB" w:rsidRPr="00460713" w:rsidRDefault="00522BAB" w:rsidP="001E49E6">
            <w:pPr>
              <w:pStyle w:val="TableTextLeft"/>
            </w:pPr>
            <w:r w:rsidRPr="00460713">
              <w:t>Stewardship</w:t>
            </w:r>
          </w:p>
        </w:tc>
        <w:tc>
          <w:tcPr>
            <w:tcW w:w="3603" w:type="pct"/>
          </w:tcPr>
          <w:p w14:paraId="06CEE70E" w14:textId="77AD0849" w:rsidR="00522BAB" w:rsidRPr="00460713" w:rsidRDefault="00522BAB" w:rsidP="001E49E6">
            <w:pPr>
              <w:pStyle w:val="TableTextLeft"/>
              <w:cnfStyle w:val="000000000000" w:firstRow="0" w:lastRow="0" w:firstColumn="0" w:lastColumn="0" w:oddVBand="0" w:evenVBand="0" w:oddHBand="0" w:evenHBand="0" w:firstRowFirstColumn="0" w:firstRowLastColumn="0" w:lastRowFirstColumn="0" w:lastRowLastColumn="0"/>
            </w:pPr>
            <w:r w:rsidRPr="00460713">
              <w:t xml:space="preserve">Assets are public assets, and public </w:t>
            </w:r>
            <w:r w:rsidR="008C46F2">
              <w:t>agency</w:t>
            </w:r>
            <w:r w:rsidRPr="00460713">
              <w:t xml:space="preserve"> directors are also stewards of the public interest in so far as it is affected by actions and inactions of their </w:t>
            </w:r>
            <w:r w:rsidR="008C46F2">
              <w:t>agency</w:t>
            </w:r>
            <w:r w:rsidRPr="00460713">
              <w:t>.</w:t>
            </w:r>
          </w:p>
        </w:tc>
      </w:tr>
      <w:tr w:rsidR="00522BAB" w:rsidRPr="00460713" w14:paraId="06CEE712" w14:textId="77777777" w:rsidTr="001E49E6">
        <w:trPr>
          <w:cantSplit/>
        </w:trPr>
        <w:tc>
          <w:tcPr>
            <w:cnfStyle w:val="000010000000" w:firstRow="0" w:lastRow="0" w:firstColumn="0" w:lastColumn="0" w:oddVBand="1" w:evenVBand="0" w:oddHBand="0" w:evenHBand="0" w:firstRowFirstColumn="0" w:firstRowLastColumn="0" w:lastRowFirstColumn="0" w:lastRowLastColumn="0"/>
            <w:tcW w:w="1397" w:type="pct"/>
          </w:tcPr>
          <w:p w14:paraId="06CEE710" w14:textId="77777777" w:rsidR="00522BAB" w:rsidRPr="00460713" w:rsidRDefault="00522BAB" w:rsidP="001E49E6">
            <w:pPr>
              <w:pStyle w:val="TableTextLeft"/>
            </w:pPr>
            <w:r w:rsidRPr="00460713">
              <w:t>Strategic leadership</w:t>
            </w:r>
          </w:p>
        </w:tc>
        <w:tc>
          <w:tcPr>
            <w:tcW w:w="3603" w:type="pct"/>
          </w:tcPr>
          <w:p w14:paraId="06CEE711" w14:textId="20D47997" w:rsidR="00522BAB" w:rsidRPr="00460713" w:rsidRDefault="00522BAB" w:rsidP="001E49E6">
            <w:pPr>
              <w:pStyle w:val="TableTextLeft"/>
              <w:cnfStyle w:val="000000000000" w:firstRow="0" w:lastRow="0" w:firstColumn="0" w:lastColumn="0" w:oddVBand="0" w:evenVBand="0" w:oddHBand="0" w:evenHBand="0" w:firstRowFirstColumn="0" w:firstRowLastColumn="0" w:lastRowFirstColumn="0" w:lastRowLastColumn="0"/>
            </w:pPr>
            <w:r w:rsidRPr="00460713">
              <w:t xml:space="preserve">Public </w:t>
            </w:r>
            <w:r w:rsidR="008C46F2">
              <w:t>agencies</w:t>
            </w:r>
            <w:r w:rsidRPr="00460713">
              <w:t xml:space="preserve"> cannot fully set their own strategy, which is limited and influenced by constituent and other legislation and government policy.</w:t>
            </w:r>
          </w:p>
        </w:tc>
      </w:tr>
      <w:tr w:rsidR="00522BAB" w:rsidRPr="00460713" w14:paraId="06CEE715" w14:textId="77777777" w:rsidTr="001E49E6">
        <w:trPr>
          <w:cantSplit/>
        </w:trPr>
        <w:tc>
          <w:tcPr>
            <w:cnfStyle w:val="000010000000" w:firstRow="0" w:lastRow="0" w:firstColumn="0" w:lastColumn="0" w:oddVBand="1" w:evenVBand="0" w:oddHBand="0" w:evenHBand="0" w:firstRowFirstColumn="0" w:firstRowLastColumn="0" w:lastRowFirstColumn="0" w:lastRowLastColumn="0"/>
            <w:tcW w:w="1397" w:type="pct"/>
          </w:tcPr>
          <w:p w14:paraId="06CEE713" w14:textId="77777777" w:rsidR="00522BAB" w:rsidRPr="00460713" w:rsidRDefault="00522BAB" w:rsidP="001E49E6">
            <w:pPr>
              <w:pStyle w:val="TableTextLeft"/>
            </w:pPr>
            <w:r w:rsidRPr="00460713">
              <w:t>Risk management</w:t>
            </w:r>
          </w:p>
        </w:tc>
        <w:tc>
          <w:tcPr>
            <w:tcW w:w="3603" w:type="pct"/>
          </w:tcPr>
          <w:p w14:paraId="06CEE714" w14:textId="507192F1" w:rsidR="00522BAB" w:rsidRPr="00460713" w:rsidRDefault="00522BAB" w:rsidP="001E49E6">
            <w:pPr>
              <w:pStyle w:val="TableTextLeft"/>
              <w:cnfStyle w:val="000000000000" w:firstRow="0" w:lastRow="0" w:firstColumn="0" w:lastColumn="0" w:oddVBand="0" w:evenVBand="0" w:oddHBand="0" w:evenHBand="0" w:firstRowFirstColumn="0" w:firstRowLastColumn="0" w:lastRowFirstColumn="0" w:lastRowLastColumn="0"/>
            </w:pPr>
            <w:r w:rsidRPr="00460713">
              <w:t xml:space="preserve">Wide views of risks to be managed and the consequences of risks are needed, at times extending to </w:t>
            </w:r>
            <w:r w:rsidR="002B61C9">
              <w:t>inter-agency and whole of government risks.</w:t>
            </w:r>
          </w:p>
        </w:tc>
      </w:tr>
      <w:tr w:rsidR="00522BAB" w:rsidRPr="00460713" w14:paraId="06CEE719" w14:textId="77777777" w:rsidTr="001E49E6">
        <w:trPr>
          <w:cantSplit/>
        </w:trPr>
        <w:tc>
          <w:tcPr>
            <w:cnfStyle w:val="000010000000" w:firstRow="0" w:lastRow="0" w:firstColumn="0" w:lastColumn="0" w:oddVBand="1" w:evenVBand="0" w:oddHBand="0" w:evenHBand="0" w:firstRowFirstColumn="0" w:firstRowLastColumn="0" w:lastRowFirstColumn="0" w:lastRowLastColumn="0"/>
            <w:tcW w:w="1397" w:type="pct"/>
          </w:tcPr>
          <w:p w14:paraId="06CEE716" w14:textId="77777777" w:rsidR="00522BAB" w:rsidRPr="00460713" w:rsidRDefault="00522BAB" w:rsidP="001E49E6">
            <w:pPr>
              <w:pStyle w:val="TableTextLeft"/>
            </w:pPr>
            <w:r w:rsidRPr="00460713">
              <w:t>Financial management</w:t>
            </w:r>
          </w:p>
        </w:tc>
        <w:tc>
          <w:tcPr>
            <w:tcW w:w="3603" w:type="pct"/>
          </w:tcPr>
          <w:p w14:paraId="06CEE718" w14:textId="777EAE3C" w:rsidR="00522BAB" w:rsidRPr="00460713" w:rsidRDefault="00522BAB" w:rsidP="002B61C9">
            <w:pPr>
              <w:pStyle w:val="TableTextLeft"/>
              <w:cnfStyle w:val="000000000000" w:firstRow="0" w:lastRow="0" w:firstColumn="0" w:lastColumn="0" w:oddVBand="0" w:evenVBand="0" w:oddHBand="0" w:evenHBand="0" w:firstRowFirstColumn="0" w:firstRowLastColumn="0" w:lastRowFirstColumn="0" w:lastRowLastColumn="0"/>
            </w:pPr>
            <w:r w:rsidRPr="00460713">
              <w:t>Legislation administered by the Department of Treasury and Finance can impose limits on borrowing, guarantees, procurement methods and accounting procedures.</w:t>
            </w:r>
            <w:r w:rsidR="008D7AD9">
              <w:t xml:space="preserve"> </w:t>
            </w:r>
            <w:r w:rsidRPr="00460713">
              <w:t>Different accounting standards apply.</w:t>
            </w:r>
          </w:p>
        </w:tc>
      </w:tr>
      <w:tr w:rsidR="00522BAB" w:rsidRPr="00460713" w14:paraId="06CEE71C" w14:textId="77777777" w:rsidTr="001E49E6">
        <w:trPr>
          <w:cantSplit/>
        </w:trPr>
        <w:tc>
          <w:tcPr>
            <w:cnfStyle w:val="000010000000" w:firstRow="0" w:lastRow="0" w:firstColumn="0" w:lastColumn="0" w:oddVBand="1" w:evenVBand="0" w:oddHBand="0" w:evenHBand="0" w:firstRowFirstColumn="0" w:firstRowLastColumn="0" w:lastRowFirstColumn="0" w:lastRowLastColumn="0"/>
            <w:tcW w:w="1397" w:type="pct"/>
          </w:tcPr>
          <w:p w14:paraId="06CEE71A" w14:textId="77777777" w:rsidR="00522BAB" w:rsidRPr="00460713" w:rsidRDefault="00522BAB" w:rsidP="001E49E6">
            <w:pPr>
              <w:pStyle w:val="TableTextLeft"/>
            </w:pPr>
            <w:r w:rsidRPr="00460713">
              <w:t>Make decisions consistent with a good understanding of relevant market forces</w:t>
            </w:r>
          </w:p>
        </w:tc>
        <w:tc>
          <w:tcPr>
            <w:tcW w:w="3603" w:type="pct"/>
          </w:tcPr>
          <w:p w14:paraId="06CEE71B" w14:textId="5D3EB7D8" w:rsidR="00522BAB" w:rsidRPr="00460713" w:rsidRDefault="00522BAB" w:rsidP="001E49E6">
            <w:pPr>
              <w:pStyle w:val="TableTextLeft"/>
              <w:cnfStyle w:val="000000000000" w:firstRow="0" w:lastRow="0" w:firstColumn="0" w:lastColumn="0" w:oddVBand="0" w:evenVBand="0" w:oddHBand="0" w:evenHBand="0" w:firstRowFirstColumn="0" w:firstRowLastColumn="0" w:lastRowFirstColumn="0" w:lastRowLastColumn="0"/>
            </w:pPr>
            <w:r w:rsidRPr="00460713">
              <w:t xml:space="preserve">A public </w:t>
            </w:r>
            <w:r w:rsidR="008C46F2">
              <w:t>agency</w:t>
            </w:r>
            <w:r w:rsidRPr="00460713">
              <w:t>’s role may have some element of divergence from market outcomes – possibly to modify them or fill a gap.</w:t>
            </w:r>
          </w:p>
        </w:tc>
      </w:tr>
      <w:tr w:rsidR="00522BAB" w:rsidRPr="00460713" w14:paraId="06CEE71F" w14:textId="77777777" w:rsidTr="001E49E6">
        <w:trPr>
          <w:cantSplit/>
        </w:trPr>
        <w:tc>
          <w:tcPr>
            <w:cnfStyle w:val="000010000000" w:firstRow="0" w:lastRow="0" w:firstColumn="0" w:lastColumn="0" w:oddVBand="1" w:evenVBand="0" w:oddHBand="0" w:evenHBand="0" w:firstRowFirstColumn="0" w:firstRowLastColumn="0" w:lastRowFirstColumn="0" w:lastRowLastColumn="0"/>
            <w:tcW w:w="1397" w:type="pct"/>
          </w:tcPr>
          <w:p w14:paraId="06CEE71D" w14:textId="77777777" w:rsidR="00522BAB" w:rsidRPr="00460713" w:rsidRDefault="00522BAB" w:rsidP="001E49E6">
            <w:pPr>
              <w:pStyle w:val="TableTextLeft"/>
            </w:pPr>
            <w:r w:rsidRPr="00460713">
              <w:t>Make decisions that produce higher rate of return</w:t>
            </w:r>
          </w:p>
        </w:tc>
        <w:tc>
          <w:tcPr>
            <w:tcW w:w="3603" w:type="pct"/>
          </w:tcPr>
          <w:p w14:paraId="06CEE71E" w14:textId="04B7FC63" w:rsidR="00522BAB" w:rsidRPr="00460713" w:rsidRDefault="00522BAB" w:rsidP="001E49E6">
            <w:pPr>
              <w:pStyle w:val="TableTextLeft"/>
              <w:cnfStyle w:val="000000000000" w:firstRow="0" w:lastRow="0" w:firstColumn="0" w:lastColumn="0" w:oddVBand="0" w:evenVBand="0" w:oddHBand="0" w:evenHBand="0" w:firstRowFirstColumn="0" w:firstRowLastColumn="0" w:lastRowFirstColumn="0" w:lastRowLastColumn="0"/>
            </w:pPr>
            <w:r w:rsidRPr="00460713">
              <w:t xml:space="preserve">Public </w:t>
            </w:r>
            <w:r w:rsidR="008C46F2">
              <w:t>agencies</w:t>
            </w:r>
            <w:r w:rsidRPr="00460713">
              <w:t xml:space="preserve"> might need to trade off higher rates of return for achievement of other legitimate and relevant social, environmental and economic objectives.</w:t>
            </w:r>
          </w:p>
        </w:tc>
      </w:tr>
      <w:tr w:rsidR="00522BAB" w:rsidRPr="00460713" w14:paraId="06CEE722" w14:textId="77777777" w:rsidTr="001E49E6">
        <w:trPr>
          <w:cantSplit/>
        </w:trPr>
        <w:tc>
          <w:tcPr>
            <w:cnfStyle w:val="000010000000" w:firstRow="0" w:lastRow="0" w:firstColumn="0" w:lastColumn="0" w:oddVBand="1" w:evenVBand="0" w:oddHBand="0" w:evenHBand="0" w:firstRowFirstColumn="0" w:firstRowLastColumn="0" w:lastRowFirstColumn="0" w:lastRowLastColumn="0"/>
            <w:tcW w:w="1397" w:type="pct"/>
          </w:tcPr>
          <w:p w14:paraId="06CEE720" w14:textId="77777777" w:rsidR="00522BAB" w:rsidRPr="00460713" w:rsidRDefault="00522BAB" w:rsidP="001E49E6">
            <w:pPr>
              <w:pStyle w:val="TableTextLeft"/>
            </w:pPr>
            <w:r w:rsidRPr="00460713">
              <w:t>Networking</w:t>
            </w:r>
          </w:p>
        </w:tc>
        <w:tc>
          <w:tcPr>
            <w:tcW w:w="3603" w:type="pct"/>
          </w:tcPr>
          <w:p w14:paraId="06CEE721" w14:textId="77777777" w:rsidR="00522BAB" w:rsidRPr="00460713" w:rsidRDefault="00522BAB" w:rsidP="001E49E6">
            <w:pPr>
              <w:pStyle w:val="TableTextLeft"/>
              <w:cnfStyle w:val="000000000000" w:firstRow="0" w:lastRow="0" w:firstColumn="0" w:lastColumn="0" w:oddVBand="0" w:evenVBand="0" w:oddHBand="0" w:evenHBand="0" w:firstRowFirstColumn="0" w:firstRowLastColumn="0" w:lastRowFirstColumn="0" w:lastRowLastColumn="0"/>
            </w:pPr>
            <w:r w:rsidRPr="00460713">
              <w:t>While networks are good for public entity directors’ understanding, favours are not allowed.</w:t>
            </w:r>
          </w:p>
        </w:tc>
      </w:tr>
    </w:tbl>
    <w:p w14:paraId="06CEE723" w14:textId="77777777" w:rsidR="00522BAB" w:rsidRDefault="00522BAB" w:rsidP="00522BAB"/>
    <w:p w14:paraId="7527A0F6" w14:textId="77777777" w:rsidR="00B02714" w:rsidRDefault="00B02714" w:rsidP="00522BAB">
      <w:pPr>
        <w:pStyle w:val="Heading2"/>
        <w:spacing w:before="0"/>
        <w:sectPr w:rsidR="00B02714" w:rsidSect="008273C5">
          <w:type w:val="continuous"/>
          <w:pgSz w:w="11907" w:h="16840" w:code="9"/>
          <w:pgMar w:top="2211" w:right="851" w:bottom="1418" w:left="851" w:header="284" w:footer="737" w:gutter="0"/>
          <w:cols w:space="709"/>
          <w:docGrid w:linePitch="360"/>
        </w:sectPr>
      </w:pPr>
    </w:p>
    <w:p w14:paraId="06CEE724" w14:textId="51884E10" w:rsidR="00CB1341" w:rsidRPr="00460713" w:rsidRDefault="00CB1341" w:rsidP="00522BAB">
      <w:pPr>
        <w:pStyle w:val="Heading2"/>
        <w:spacing w:before="0"/>
      </w:pPr>
      <w:r w:rsidRPr="00460713">
        <w:lastRenderedPageBreak/>
        <w:t xml:space="preserve">Some examples of how a </w:t>
      </w:r>
      <w:proofErr w:type="gramStart"/>
      <w:r w:rsidRPr="00460713">
        <w:t>public sector</w:t>
      </w:r>
      <w:proofErr w:type="gramEnd"/>
      <w:r w:rsidRPr="00460713">
        <w:t xml:space="preserve"> directorship is different</w:t>
      </w:r>
    </w:p>
    <w:p w14:paraId="06CEE725" w14:textId="09AFDB46" w:rsidR="00CB1341" w:rsidRDefault="00CB1341" w:rsidP="00522BAB">
      <w:pPr>
        <w:pStyle w:val="BodyText"/>
        <w:spacing w:after="0"/>
      </w:pPr>
      <w:r w:rsidRPr="00460713">
        <w:t>The following examples are hypothetical.</w:t>
      </w:r>
      <w:r w:rsidR="008D7AD9">
        <w:t xml:space="preserve"> </w:t>
      </w:r>
      <w:r w:rsidRPr="00460713">
        <w:t xml:space="preserve">The explanations deliberately involve the use of acronyms and terms that are not defined, because persons accepting appointment to </w:t>
      </w:r>
      <w:r w:rsidR="00FB3A5E" w:rsidRPr="00460713">
        <w:t>public</w:t>
      </w:r>
      <w:r w:rsidRPr="00460713">
        <w:t xml:space="preserve"> </w:t>
      </w:r>
      <w:r w:rsidR="008C46F2">
        <w:t>agencies</w:t>
      </w:r>
      <w:r w:rsidRPr="00460713">
        <w:t xml:space="preserve"> should know what they mean.</w:t>
      </w:r>
    </w:p>
    <w:p w14:paraId="06CEE726" w14:textId="77777777" w:rsidR="00522BAB" w:rsidRDefault="00522BAB" w:rsidP="00522BAB"/>
    <w:p w14:paraId="06CEE727" w14:textId="77777777" w:rsidR="00522BAB" w:rsidRDefault="00522BAB" w:rsidP="00CB1341">
      <w:pPr>
        <w:pStyle w:val="BodyText"/>
        <w:sectPr w:rsidR="00522BAB" w:rsidSect="00B02714">
          <w:pgSz w:w="11907" w:h="16840" w:code="9"/>
          <w:pgMar w:top="2211" w:right="851" w:bottom="1418" w:left="851" w:header="284" w:footer="737" w:gutter="0"/>
          <w:cols w:space="709"/>
          <w:docGrid w:linePitch="360"/>
        </w:sectPr>
      </w:pPr>
    </w:p>
    <w:p w14:paraId="06CEE728" w14:textId="5E7E544F" w:rsidR="00CB1341" w:rsidRPr="00460713" w:rsidRDefault="00CB1341" w:rsidP="00CB1341">
      <w:pPr>
        <w:pStyle w:val="Heading3"/>
      </w:pPr>
      <w:r>
        <w:t>Example 1:</w:t>
      </w:r>
      <w:r w:rsidRPr="00460713">
        <w:t xml:space="preserve"> Mount Dandenong Alpine Resort Board </w:t>
      </w:r>
    </w:p>
    <w:p w14:paraId="357742AB" w14:textId="77777777" w:rsidR="00B02714" w:rsidRDefault="00CB1341" w:rsidP="00CB1341">
      <w:pPr>
        <w:pStyle w:val="BodyText"/>
      </w:pPr>
      <w:r w:rsidRPr="00460713">
        <w:t>The MDARB works closely with various service providers.</w:t>
      </w:r>
      <w:r w:rsidR="008D7AD9">
        <w:t xml:space="preserve"> </w:t>
      </w:r>
      <w:r w:rsidRPr="00460713">
        <w:t>The CEO rightly considers that developing good and trusted relations with them serves the best interests of MDARB.</w:t>
      </w:r>
      <w:r w:rsidR="008D7AD9">
        <w:t xml:space="preserve"> </w:t>
      </w:r>
    </w:p>
    <w:p w14:paraId="72E82A4A" w14:textId="77777777" w:rsidR="00B02714" w:rsidRDefault="00CB1341" w:rsidP="00CB1341">
      <w:pPr>
        <w:pStyle w:val="BodyText"/>
      </w:pPr>
      <w:r w:rsidRPr="00460713">
        <w:t>A valued supplier of arborist services asks if he can have free accommodation for his family at a MDARB lodge and the CEO agrees.</w:t>
      </w:r>
      <w:r w:rsidR="008D7AD9">
        <w:t xml:space="preserve"> </w:t>
      </w:r>
      <w:r w:rsidRPr="00460713">
        <w:t>In return</w:t>
      </w:r>
      <w:r w:rsidR="00B02714">
        <w:t>,</w:t>
      </w:r>
      <w:r w:rsidRPr="00460713">
        <w:t xml:space="preserve"> the supplier undertakes some arborist work at the CEO’s home.</w:t>
      </w:r>
      <w:r w:rsidR="008D7AD9">
        <w:t xml:space="preserve"> </w:t>
      </w:r>
    </w:p>
    <w:p w14:paraId="022E4707" w14:textId="77777777" w:rsidR="00B02714" w:rsidRDefault="00CB1341" w:rsidP="00B02714">
      <w:pPr>
        <w:pStyle w:val="BodyText"/>
      </w:pPr>
      <w:r w:rsidRPr="00460713">
        <w:t xml:space="preserve">A staff member reports this (by a lawful protected disclosure) to IBAC who </w:t>
      </w:r>
      <w:proofErr w:type="gramStart"/>
      <w:r w:rsidRPr="00460713">
        <w:t>conduct an investigation</w:t>
      </w:r>
      <w:proofErr w:type="gramEnd"/>
      <w:r w:rsidRPr="00460713">
        <w:t>.</w:t>
      </w:r>
      <w:r w:rsidR="008D7AD9">
        <w:t xml:space="preserve"> </w:t>
      </w:r>
      <w:r w:rsidRPr="00460713">
        <w:t>The CEO is found to have engaged in ‘corrupt conduct’, which is reported to the Minister who then dismisses the members of the board and the CEO.</w:t>
      </w:r>
    </w:p>
    <w:p w14:paraId="06CEE72A" w14:textId="05D44C81" w:rsidR="00CB1341" w:rsidRPr="00460713" w:rsidRDefault="00CB1341" w:rsidP="00B02714">
      <w:pPr>
        <w:pStyle w:val="Heading3"/>
      </w:pPr>
      <w:r>
        <w:t>Example 2:</w:t>
      </w:r>
      <w:r w:rsidRPr="00460713">
        <w:t xml:space="preserve"> </w:t>
      </w:r>
      <w:r w:rsidR="002B61C9">
        <w:t>Long</w:t>
      </w:r>
      <w:r w:rsidRPr="00460713">
        <w:t xml:space="preserve"> Coast Coastal Management Committee </w:t>
      </w:r>
    </w:p>
    <w:p w14:paraId="48AE130C" w14:textId="602F1374" w:rsidR="00B02714" w:rsidRDefault="00CB1341" w:rsidP="00CB1341">
      <w:pPr>
        <w:pStyle w:val="BodyText"/>
      </w:pPr>
      <w:r w:rsidRPr="00460713">
        <w:t xml:space="preserve">Wayne </w:t>
      </w:r>
      <w:r w:rsidR="002B61C9">
        <w:t>is the dominating chair of the L</w:t>
      </w:r>
      <w:r w:rsidRPr="00460713">
        <w:t>CCMC who is often abusive and bullying to other committee members and who sometimes makes ‘executive decisions’ although there is no formal delegation of power from the committee to him.</w:t>
      </w:r>
      <w:r w:rsidR="008D7AD9">
        <w:t xml:space="preserve"> </w:t>
      </w:r>
    </w:p>
    <w:p w14:paraId="221EAE61" w14:textId="77777777" w:rsidR="00B02714" w:rsidRDefault="00CB1341" w:rsidP="00CB1341">
      <w:pPr>
        <w:pStyle w:val="BodyText"/>
      </w:pPr>
      <w:r w:rsidRPr="00460713">
        <w:t>Other committee members have protested about his ‘executive decisions’ that they say have brought the committee into disrepute.</w:t>
      </w:r>
      <w:r w:rsidR="008D7AD9">
        <w:t xml:space="preserve"> </w:t>
      </w:r>
      <w:r w:rsidRPr="00460713">
        <w:t>He makes a unilateral decision to forcibly evict the local Mayor from the land managed by the committee.</w:t>
      </w:r>
      <w:r w:rsidR="008D7AD9">
        <w:t xml:space="preserve"> </w:t>
      </w:r>
    </w:p>
    <w:p w14:paraId="06CEE72B" w14:textId="272DC657" w:rsidR="00CB1341" w:rsidRDefault="00CB1341" w:rsidP="00CB1341">
      <w:pPr>
        <w:pStyle w:val="BodyText"/>
      </w:pPr>
      <w:r w:rsidRPr="00460713">
        <w:t>Other committee members report his course of conduct to the VPSC who investigates him for ‘misconduct’.</w:t>
      </w:r>
      <w:r w:rsidR="008D7AD9">
        <w:t xml:space="preserve"> </w:t>
      </w:r>
      <w:proofErr w:type="gramStart"/>
      <w:r w:rsidRPr="00460713">
        <w:t>In the course of</w:t>
      </w:r>
      <w:proofErr w:type="gramEnd"/>
      <w:r w:rsidRPr="00460713">
        <w:t xml:space="preserve"> the investigation Wayne resigns, embarrassed, when he realises he has no peer support.</w:t>
      </w:r>
      <w:r w:rsidR="008D7AD9">
        <w:t xml:space="preserve"> </w:t>
      </w:r>
      <w:r w:rsidRPr="00460713">
        <w:t>He also learns that he may not be indemnified if the Mayor brought legal proceedings against him</w:t>
      </w:r>
      <w:r w:rsidR="00522BAB">
        <w:t>.</w:t>
      </w:r>
    </w:p>
    <w:p w14:paraId="06CEE72C" w14:textId="77777777" w:rsidR="00CB1341" w:rsidRPr="00460713" w:rsidRDefault="00CB1341" w:rsidP="00CB1341">
      <w:pPr>
        <w:pStyle w:val="Heading3"/>
      </w:pPr>
      <w:r w:rsidRPr="00460713">
        <w:t>Example 3</w:t>
      </w:r>
      <w:r>
        <w:t xml:space="preserve">: </w:t>
      </w:r>
      <w:r w:rsidRPr="00460713">
        <w:t xml:space="preserve">Park Search and Rescue Accreditation Agency </w:t>
      </w:r>
    </w:p>
    <w:p w14:paraId="0402E3DD" w14:textId="77777777" w:rsidR="00B02714" w:rsidRDefault="00CB1341" w:rsidP="00254A01">
      <w:pPr>
        <w:pStyle w:val="BodyText"/>
      </w:pPr>
      <w:r w:rsidRPr="00460713">
        <w:t>Bruce chairs the accreditation committee of the PSRAA.</w:t>
      </w:r>
      <w:r w:rsidR="008D7AD9">
        <w:t xml:space="preserve"> </w:t>
      </w:r>
      <w:r w:rsidRPr="00460713">
        <w:t>The committee, on behalf of the Agency, decides that it will not accredit rescue personnel who have previously contra</w:t>
      </w:r>
      <w:r w:rsidR="00FB3A5E">
        <w:t>vened national park rules.</w:t>
      </w:r>
      <w:r w:rsidR="008D7AD9">
        <w:t xml:space="preserve"> </w:t>
      </w:r>
    </w:p>
    <w:p w14:paraId="061EA679" w14:textId="77777777" w:rsidR="00B02714" w:rsidRDefault="00FB3A5E" w:rsidP="00254A01">
      <w:pPr>
        <w:pStyle w:val="BodyText"/>
      </w:pPr>
      <w:r>
        <w:t>Zoe </w:t>
      </w:r>
      <w:r w:rsidR="00CB1341" w:rsidRPr="00460713">
        <w:t>is an experienced bushwalker who meets the statutory criteria for accreditation and has the requisite skills and fitness.</w:t>
      </w:r>
      <w:r w:rsidR="008D7AD9">
        <w:t xml:space="preserve"> </w:t>
      </w:r>
      <w:r w:rsidR="00CB1341" w:rsidRPr="00460713">
        <w:t>Her application for accreditation is refused.</w:t>
      </w:r>
      <w:r w:rsidR="008D7AD9">
        <w:t xml:space="preserve"> </w:t>
      </w:r>
    </w:p>
    <w:p w14:paraId="06CEE72D" w14:textId="45D2B0CA" w:rsidR="00254A01" w:rsidRDefault="00CB1341" w:rsidP="00254A01">
      <w:pPr>
        <w:pStyle w:val="BodyText"/>
      </w:pPr>
      <w:r w:rsidRPr="00460713">
        <w:t xml:space="preserve">She seeks reasons and (under the </w:t>
      </w:r>
      <w:r w:rsidRPr="00460713">
        <w:rPr>
          <w:i/>
        </w:rPr>
        <w:t>Administrative Law Act 1978</w:t>
      </w:r>
      <w:r w:rsidRPr="00460713">
        <w:t xml:space="preserve">) the </w:t>
      </w:r>
      <w:r w:rsidR="002B61C9">
        <w:t>a</w:t>
      </w:r>
      <w:r w:rsidRPr="00460713">
        <w:t>gency is obliged to give them in writing.</w:t>
      </w:r>
      <w:r w:rsidR="008D7AD9">
        <w:t xml:space="preserve"> </w:t>
      </w:r>
      <w:r w:rsidRPr="00460713">
        <w:t>Zoe then seeks ‘judicial review’ of the refusal of her application in the Supreme Court, which involves Bruce needing to give evidence first by affidavit and then be subjected to examination in the witness box.</w:t>
      </w:r>
    </w:p>
    <w:tbl>
      <w:tblPr>
        <w:tblpPr w:leftFromText="181" w:rightFromText="181" w:topFromText="113" w:vertAnchor="page" w:horzAnchor="page" w:tblpX="852" w:tblpY="12192"/>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06CEE737" w14:textId="77777777" w:rsidTr="00522BAB">
        <w:trPr>
          <w:trHeight w:val="2608"/>
        </w:trPr>
        <w:tc>
          <w:tcPr>
            <w:tcW w:w="5216" w:type="dxa"/>
            <w:shd w:val="clear" w:color="auto" w:fill="auto"/>
          </w:tcPr>
          <w:p w14:paraId="06CEE72E" w14:textId="212EAAC7" w:rsidR="00254A01" w:rsidRDefault="00254A01" w:rsidP="00522BAB">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8C46F2">
              <w:rPr>
                <w:noProof/>
              </w:rPr>
              <w:t>2018</w:t>
            </w:r>
            <w:r>
              <w:fldChar w:fldCharType="end"/>
            </w:r>
          </w:p>
          <w:p w14:paraId="06CEE72F" w14:textId="77777777" w:rsidR="00254A01" w:rsidRDefault="00254A01" w:rsidP="00522BAB">
            <w:pPr>
              <w:pStyle w:val="SmallBodyText"/>
            </w:pPr>
            <w:r>
              <w:rPr>
                <w:noProof/>
              </w:rPr>
              <w:drawing>
                <wp:anchor distT="0" distB="0" distL="114300" distR="36195" simplePos="0" relativeHeight="251623424" behindDoc="0" locked="1" layoutInCell="1" allowOverlap="1" wp14:anchorId="06CEE73B" wp14:editId="06CEE73C">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9">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4" w:name="_ImprintPageOne"/>
            <w:bookmarkEnd w:id="4"/>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06CEE732" w14:textId="77777777" w:rsidR="00254A01" w:rsidRPr="008F559C" w:rsidRDefault="00254A01" w:rsidP="00522BAB">
            <w:pPr>
              <w:pStyle w:val="SmallHeading"/>
            </w:pPr>
            <w:r w:rsidRPr="00C255C2">
              <w:t>Disclaimer</w:t>
            </w:r>
          </w:p>
          <w:p w14:paraId="06CEE733" w14:textId="77777777" w:rsidR="00254A01" w:rsidRDefault="00254A01" w:rsidP="00522BAB">
            <w:pPr>
              <w:pStyle w:val="SmallBodyText"/>
            </w:pPr>
            <w:r w:rsidRPr="00405DE3">
              <w:t xml:space="preserve">This publication may be of assistance to </w:t>
            </w:r>
            <w:proofErr w:type="gramStart"/>
            <w:r w:rsidRPr="00405DE3">
              <w:t>you</w:t>
            </w:r>
            <w:proofErr w:type="gramEnd"/>
            <w:r w:rsidRPr="00405DE3">
              <w:t xml:space="preserve">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06CEE734" w14:textId="77777777" w:rsidR="00254A01" w:rsidRPr="00E97294" w:rsidRDefault="00254A01" w:rsidP="00522BAB">
            <w:pPr>
              <w:pStyle w:val="xAccessibilityHeading"/>
            </w:pPr>
            <w:bookmarkStart w:id="5" w:name="_Accessibility"/>
            <w:bookmarkEnd w:id="5"/>
            <w:r w:rsidRPr="00E97294">
              <w:t>Accessibility</w:t>
            </w:r>
          </w:p>
          <w:p w14:paraId="06CEE735" w14:textId="1EB8C5DD" w:rsidR="00254A01" w:rsidRDefault="00254A01" w:rsidP="00522BAB">
            <w:pPr>
              <w:pStyle w:val="xAccessibilityText"/>
            </w:pPr>
            <w:r>
              <w:t>If you would like to receive this publication in an alternative format, please telephone the DELWP Customer Service Centre on 136186, email </w:t>
            </w:r>
            <w:hyperlink r:id="rId20" w:history="1">
              <w:r w:rsidRPr="003C5C56">
                <w:t>customer.service@delwp.vic.gov.au</w:t>
              </w:r>
            </w:hyperlink>
            <w:r>
              <w:t xml:space="preserve">, or via the National Relay Service on 133 677 </w:t>
            </w:r>
            <w:hyperlink r:id="rId21" w:history="1">
              <w:r w:rsidRPr="00AE3298">
                <w:t>www.relayservice.com.au</w:t>
              </w:r>
            </w:hyperlink>
            <w:r>
              <w:t xml:space="preserve">. This document is also available on the internet at </w:t>
            </w:r>
            <w:hyperlink r:id="rId22" w:history="1">
              <w:r w:rsidRPr="00AE3298">
                <w:t>www.delwp.vic.gov.au</w:t>
              </w:r>
            </w:hyperlink>
            <w:r>
              <w:t xml:space="preserve">. </w:t>
            </w:r>
          </w:p>
          <w:p w14:paraId="06CEE736" w14:textId="77777777" w:rsidR="00254A01" w:rsidRDefault="00254A01" w:rsidP="00522BAB">
            <w:pPr>
              <w:pStyle w:val="SmallBodyText"/>
            </w:pPr>
          </w:p>
        </w:tc>
      </w:tr>
    </w:tbl>
    <w:p w14:paraId="06CEE738" w14:textId="77777777" w:rsidR="006E1C8D" w:rsidRDefault="006E1C8D" w:rsidP="005D0B1C">
      <w:pPr>
        <w:pStyle w:val="BodyText"/>
      </w:pPr>
    </w:p>
    <w:sectPr w:rsidR="006E1C8D" w:rsidSect="00522BAB">
      <w:type w:val="continuous"/>
      <w:pgSz w:w="11907" w:h="16840" w:code="9"/>
      <w:pgMar w:top="2211" w:right="851" w:bottom="1418" w:left="851" w:header="284" w:footer="737"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EE745" w14:textId="77777777" w:rsidR="00BA4068" w:rsidRDefault="00BA4068">
      <w:r>
        <w:separator/>
      </w:r>
    </w:p>
    <w:p w14:paraId="06CEE746" w14:textId="77777777" w:rsidR="00BA4068" w:rsidRDefault="00BA4068"/>
    <w:p w14:paraId="06CEE747" w14:textId="77777777" w:rsidR="00BA4068" w:rsidRDefault="00BA4068"/>
  </w:endnote>
  <w:endnote w:type="continuationSeparator" w:id="0">
    <w:p w14:paraId="06CEE748" w14:textId="77777777" w:rsidR="00BA4068" w:rsidRDefault="00BA4068">
      <w:r>
        <w:continuationSeparator/>
      </w:r>
    </w:p>
    <w:p w14:paraId="06CEE749" w14:textId="77777777" w:rsidR="00BA4068" w:rsidRDefault="00BA4068"/>
    <w:p w14:paraId="06CEE74A" w14:textId="77777777" w:rsidR="00BA4068" w:rsidRDefault="00BA4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EE753" w14:textId="77777777" w:rsidR="00522BAB" w:rsidRPr="0021584E" w:rsidRDefault="00522BAB" w:rsidP="00522BAB">
    <w:pPr>
      <w:spacing w:line="240" w:lineRule="auto"/>
      <w:rPr>
        <w:sz w:val="4"/>
        <w:szCs w:val="4"/>
      </w:rPr>
    </w:pPr>
    <w:r w:rsidRPr="0021584E">
      <w:rPr>
        <w:noProof/>
        <w:sz w:val="4"/>
        <w:szCs w:val="4"/>
      </w:rPr>
      <w:drawing>
        <wp:anchor distT="0" distB="0" distL="114300" distR="114300" simplePos="0" relativeHeight="251700224" behindDoc="0" locked="0" layoutInCell="1" allowOverlap="1" wp14:anchorId="06CEE765" wp14:editId="06CEE766">
          <wp:simplePos x="0" y="0"/>
          <wp:positionH relativeFrom="column">
            <wp:posOffset>5124450</wp:posOffset>
          </wp:positionH>
          <wp:positionV relativeFrom="paragraph">
            <wp:posOffset>162814</wp:posOffset>
          </wp:positionV>
          <wp:extent cx="1160584" cy="336572"/>
          <wp:effectExtent l="0" t="0" r="1905"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p>
  <w:p w14:paraId="06CEE754" w14:textId="0CB0FF17" w:rsidR="00E962AA" w:rsidRPr="00522BAB" w:rsidRDefault="00C749DA" w:rsidP="00522BAB">
    <w:pPr>
      <w:pStyle w:val="ImprintText"/>
      <w:tabs>
        <w:tab w:val="left" w:pos="2268"/>
      </w:tabs>
      <w:spacing w:before="300" w:after="0"/>
      <w:rPr>
        <w:rFonts w:cs="Calibri"/>
        <w:color w:val="636466"/>
        <w:sz w:val="26"/>
      </w:rPr>
    </w:pPr>
    <w:sdt>
      <w:sdtPr>
        <w:rPr>
          <w:rFonts w:cs="Calibri"/>
          <w:color w:val="636466"/>
          <w:sz w:val="26"/>
        </w:rPr>
        <w:id w:val="-790670440"/>
        <w:docPartObj>
          <w:docPartGallery w:val="Page Numbers (Top of Page)"/>
          <w:docPartUnique/>
        </w:docPartObj>
      </w:sdtPr>
      <w:sdtEndPr/>
      <w:sdtContent>
        <w:r w:rsidR="00522BAB" w:rsidRPr="00134F49">
          <w:rPr>
            <w:rFonts w:ascii="Arial" w:hAnsi="Arial"/>
            <w:color w:val="636466"/>
            <w:sz w:val="18"/>
            <w:szCs w:val="18"/>
          </w:rPr>
          <w:t xml:space="preserve">Page </w:t>
        </w:r>
        <w:r w:rsidR="00522BAB" w:rsidRPr="00134F49">
          <w:rPr>
            <w:rFonts w:ascii="Arial" w:hAnsi="Arial"/>
            <w:color w:val="636466"/>
            <w:sz w:val="18"/>
            <w:szCs w:val="18"/>
          </w:rPr>
          <w:fldChar w:fldCharType="begin"/>
        </w:r>
        <w:r w:rsidR="00522BAB" w:rsidRPr="00134F49">
          <w:rPr>
            <w:rFonts w:ascii="Arial" w:hAnsi="Arial"/>
            <w:color w:val="636466"/>
            <w:sz w:val="18"/>
            <w:szCs w:val="18"/>
          </w:rPr>
          <w:instrText xml:space="preserve"> PAGE </w:instrText>
        </w:r>
        <w:r w:rsidR="00522BAB" w:rsidRPr="00134F49">
          <w:rPr>
            <w:rFonts w:ascii="Arial" w:hAnsi="Arial"/>
            <w:color w:val="636466"/>
            <w:sz w:val="18"/>
            <w:szCs w:val="18"/>
          </w:rPr>
          <w:fldChar w:fldCharType="separate"/>
        </w:r>
        <w:r w:rsidR="00050978">
          <w:rPr>
            <w:rFonts w:ascii="Arial" w:hAnsi="Arial"/>
            <w:noProof/>
            <w:color w:val="636466"/>
            <w:sz w:val="18"/>
            <w:szCs w:val="18"/>
          </w:rPr>
          <w:t>4</w:t>
        </w:r>
        <w:r w:rsidR="00522BAB" w:rsidRPr="00134F49">
          <w:rPr>
            <w:rFonts w:ascii="Arial" w:hAnsi="Arial"/>
            <w:color w:val="636466"/>
            <w:sz w:val="18"/>
            <w:szCs w:val="18"/>
          </w:rPr>
          <w:fldChar w:fldCharType="end"/>
        </w:r>
      </w:sdtContent>
    </w:sdt>
    <w:r w:rsidR="00522BAB" w:rsidRPr="00134F49">
      <w:rPr>
        <w:rFonts w:cs="Calibri"/>
        <w:color w:val="636466"/>
        <w:sz w:val="26"/>
      </w:rPr>
      <w:tab/>
    </w:r>
    <w:r w:rsidR="00522BAB">
      <w:rPr>
        <w:rFonts w:ascii="Arial" w:hAnsi="Arial"/>
        <w:color w:val="00B2A9" w:themeColor="text2"/>
        <w:sz w:val="22"/>
        <w:szCs w:val="22"/>
      </w:rPr>
      <w:t>www.delwp.vic.gov.au/onboard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EE755" w14:textId="77777777" w:rsidR="00522BAB" w:rsidRPr="0021584E" w:rsidRDefault="00522BAB" w:rsidP="00522BAB">
    <w:pPr>
      <w:spacing w:line="240" w:lineRule="auto"/>
      <w:rPr>
        <w:sz w:val="4"/>
        <w:szCs w:val="4"/>
      </w:rPr>
    </w:pPr>
    <w:r w:rsidRPr="0021584E">
      <w:rPr>
        <w:noProof/>
        <w:sz w:val="4"/>
        <w:szCs w:val="4"/>
      </w:rPr>
      <w:drawing>
        <wp:anchor distT="0" distB="0" distL="114300" distR="114300" simplePos="0" relativeHeight="251702272" behindDoc="0" locked="0" layoutInCell="1" allowOverlap="1" wp14:anchorId="06CEE767" wp14:editId="06CEE768">
          <wp:simplePos x="0" y="0"/>
          <wp:positionH relativeFrom="column">
            <wp:posOffset>5124450</wp:posOffset>
          </wp:positionH>
          <wp:positionV relativeFrom="paragraph">
            <wp:posOffset>162814</wp:posOffset>
          </wp:positionV>
          <wp:extent cx="1160584" cy="336572"/>
          <wp:effectExtent l="0" t="0" r="1905"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584" cy="336572"/>
                  </a:xfrm>
                  <a:prstGeom prst="rect">
                    <a:avLst/>
                  </a:prstGeom>
                </pic:spPr>
              </pic:pic>
            </a:graphicData>
          </a:graphic>
          <wp14:sizeRelH relativeFrom="margin">
            <wp14:pctWidth>0</wp14:pctWidth>
          </wp14:sizeRelH>
          <wp14:sizeRelV relativeFrom="margin">
            <wp14:pctHeight>0</wp14:pctHeight>
          </wp14:sizeRelV>
        </wp:anchor>
      </w:drawing>
    </w:r>
  </w:p>
  <w:p w14:paraId="06CEE756" w14:textId="11D47AF7" w:rsidR="00522BAB" w:rsidRPr="00134F49" w:rsidRDefault="00C749DA" w:rsidP="00522BAB">
    <w:pPr>
      <w:pStyle w:val="ImprintText"/>
      <w:tabs>
        <w:tab w:val="left" w:pos="2268"/>
      </w:tabs>
      <w:spacing w:before="300" w:after="0"/>
      <w:rPr>
        <w:rFonts w:cs="Calibri"/>
        <w:color w:val="636466"/>
        <w:sz w:val="26"/>
      </w:rPr>
    </w:pPr>
    <w:sdt>
      <w:sdtPr>
        <w:rPr>
          <w:rFonts w:cs="Calibri"/>
          <w:color w:val="636466"/>
          <w:sz w:val="26"/>
        </w:rPr>
        <w:id w:val="1453671704"/>
        <w:docPartObj>
          <w:docPartGallery w:val="Page Numbers (Top of Page)"/>
          <w:docPartUnique/>
        </w:docPartObj>
      </w:sdtPr>
      <w:sdtEndPr/>
      <w:sdtContent>
        <w:r w:rsidR="00522BAB" w:rsidRPr="00134F49">
          <w:rPr>
            <w:rFonts w:ascii="Arial" w:hAnsi="Arial"/>
            <w:color w:val="636466"/>
            <w:sz w:val="18"/>
            <w:szCs w:val="18"/>
          </w:rPr>
          <w:t xml:space="preserve">Page </w:t>
        </w:r>
        <w:r w:rsidR="00522BAB" w:rsidRPr="00134F49">
          <w:rPr>
            <w:rFonts w:ascii="Arial" w:hAnsi="Arial"/>
            <w:color w:val="636466"/>
            <w:sz w:val="18"/>
            <w:szCs w:val="18"/>
          </w:rPr>
          <w:fldChar w:fldCharType="begin"/>
        </w:r>
        <w:r w:rsidR="00522BAB" w:rsidRPr="00134F49">
          <w:rPr>
            <w:rFonts w:ascii="Arial" w:hAnsi="Arial"/>
            <w:color w:val="636466"/>
            <w:sz w:val="18"/>
            <w:szCs w:val="18"/>
          </w:rPr>
          <w:instrText xml:space="preserve"> PAGE </w:instrText>
        </w:r>
        <w:r w:rsidR="00522BAB" w:rsidRPr="00134F49">
          <w:rPr>
            <w:rFonts w:ascii="Arial" w:hAnsi="Arial"/>
            <w:color w:val="636466"/>
            <w:sz w:val="18"/>
            <w:szCs w:val="18"/>
          </w:rPr>
          <w:fldChar w:fldCharType="separate"/>
        </w:r>
        <w:r w:rsidR="00050978">
          <w:rPr>
            <w:rFonts w:ascii="Arial" w:hAnsi="Arial"/>
            <w:noProof/>
            <w:color w:val="636466"/>
            <w:sz w:val="18"/>
            <w:szCs w:val="18"/>
          </w:rPr>
          <w:t>3</w:t>
        </w:r>
        <w:r w:rsidR="00522BAB" w:rsidRPr="00134F49">
          <w:rPr>
            <w:rFonts w:ascii="Arial" w:hAnsi="Arial"/>
            <w:color w:val="636466"/>
            <w:sz w:val="18"/>
            <w:szCs w:val="18"/>
          </w:rPr>
          <w:fldChar w:fldCharType="end"/>
        </w:r>
        <w:r w:rsidR="00522BAB" w:rsidRPr="00134F49">
          <w:rPr>
            <w:rFonts w:cs="Calibri"/>
            <w:color w:val="636466"/>
            <w:sz w:val="26"/>
          </w:rPr>
          <w:t xml:space="preserve"> </w:t>
        </w:r>
      </w:sdtContent>
    </w:sdt>
    <w:r w:rsidR="00522BAB" w:rsidRPr="00134F49">
      <w:rPr>
        <w:rFonts w:cs="Calibri"/>
        <w:color w:val="636466"/>
        <w:sz w:val="26"/>
      </w:rPr>
      <w:tab/>
    </w:r>
    <w:r w:rsidR="00522BAB" w:rsidRPr="00134F49">
      <w:rPr>
        <w:rFonts w:ascii="Arial" w:hAnsi="Arial"/>
        <w:color w:val="00B2A9" w:themeColor="text2"/>
        <w:sz w:val="22"/>
        <w:szCs w:val="22"/>
      </w:rPr>
      <w:t>www.delwp.vic.gov.au/onboard</w:t>
    </w:r>
    <w:r w:rsidR="00522BAB" w:rsidRPr="00134F49">
      <w:rPr>
        <w:rFonts w:ascii="Arial" w:hAnsi="Arial"/>
        <w:color w:val="00B2A9" w:themeColor="text2"/>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EE758" w14:textId="77777777" w:rsidR="00E962AA" w:rsidRDefault="00E962AA" w:rsidP="00522BAB">
    <w:pPr>
      <w:pStyle w:val="Footer"/>
      <w:spacing w:before="960"/>
    </w:pPr>
    <w:r>
      <w:rPr>
        <w:noProof/>
      </w:rPr>
      <w:drawing>
        <wp:anchor distT="0" distB="0" distL="114300" distR="114300" simplePos="0" relativeHeight="251668480" behindDoc="1" locked="1" layoutInCell="1" allowOverlap="1" wp14:anchorId="06CEE771" wp14:editId="06CEE772">
          <wp:simplePos x="0" y="0"/>
          <wp:positionH relativeFrom="page">
            <wp:align>right</wp:align>
          </wp:positionH>
          <wp:positionV relativeFrom="page">
            <wp:align>bottom</wp:align>
          </wp:positionV>
          <wp:extent cx="2408753" cy="1085850"/>
          <wp:effectExtent l="0" t="0" r="0" b="0"/>
          <wp:wrapNone/>
          <wp:docPr id="1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9504" behindDoc="0" locked="1" layoutInCell="1" allowOverlap="1" wp14:anchorId="06CEE773" wp14:editId="06CEE774">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CEE778" w14:textId="77777777" w:rsidR="00E962AA" w:rsidRPr="009F69FA" w:rsidRDefault="00522BAB" w:rsidP="00213C82">
                          <w:pPr>
                            <w:pStyle w:val="xWeb"/>
                          </w:pPr>
                          <w:r w:rsidRPr="00522BAB">
                            <w:t>www.delwp.vic.gov.au/onboard</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EE773" id="_x0000_t202" coordsize="21600,21600" o:spt="202" path="m,l,21600r21600,l21600,xe">
              <v:stroke joinstyle="miter"/>
              <v:path gradientshapeok="t" o:connecttype="rect"/>
            </v:shapetype>
            <v:shape id="WebAddress" o:spid="_x0000_s1026" type="#_x0000_t202" style="position:absolute;margin-left:0;margin-top:0;width:303pt;height:56.7pt;z-index:2516695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14:paraId="06CEE778" w14:textId="77777777" w:rsidR="00E962AA" w:rsidRPr="009F69FA" w:rsidRDefault="00522BAB" w:rsidP="00213C82">
                    <w:pPr>
                      <w:pStyle w:val="xWeb"/>
                    </w:pPr>
                    <w:r w:rsidRPr="00522BAB">
                      <w:t>www.delwp.vic.gov.au/onboard</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06CEE775" wp14:editId="06CEE776">
          <wp:simplePos x="0" y="0"/>
          <wp:positionH relativeFrom="page">
            <wp:align>right</wp:align>
          </wp:positionH>
          <wp:positionV relativeFrom="page">
            <wp:align>bottom</wp:align>
          </wp:positionV>
          <wp:extent cx="2422800" cy="1083600"/>
          <wp:effectExtent l="0" t="0" r="0" b="0"/>
          <wp:wrapNone/>
          <wp:docPr id="16"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EE73D" w14:textId="77777777" w:rsidR="00BA4068" w:rsidRPr="008F5280" w:rsidRDefault="00BA4068" w:rsidP="008F5280">
      <w:pPr>
        <w:pStyle w:val="FootnoteSeparator"/>
      </w:pPr>
    </w:p>
    <w:p w14:paraId="06CEE73E" w14:textId="77777777" w:rsidR="00BA4068" w:rsidRDefault="00BA4068"/>
  </w:footnote>
  <w:footnote w:type="continuationSeparator" w:id="0">
    <w:p w14:paraId="06CEE73F" w14:textId="77777777" w:rsidR="00BA4068" w:rsidRDefault="00BA4068" w:rsidP="008F5280">
      <w:pPr>
        <w:pStyle w:val="FootnoteSeparator"/>
      </w:pPr>
    </w:p>
    <w:p w14:paraId="06CEE740" w14:textId="77777777" w:rsidR="00BA4068" w:rsidRDefault="00BA4068"/>
    <w:p w14:paraId="06CEE741" w14:textId="77777777" w:rsidR="00BA4068" w:rsidRDefault="00BA4068"/>
  </w:footnote>
  <w:footnote w:type="continuationNotice" w:id="1">
    <w:p w14:paraId="06CEE742" w14:textId="77777777" w:rsidR="00BA4068" w:rsidRDefault="00BA4068" w:rsidP="00D55628"/>
    <w:p w14:paraId="06CEE743" w14:textId="77777777" w:rsidR="00BA4068" w:rsidRDefault="00BA4068"/>
    <w:p w14:paraId="06CEE744" w14:textId="77777777" w:rsidR="00BA4068" w:rsidRDefault="00BA40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06CEE74C" w14:textId="77777777" w:rsidTr="00AC028D">
      <w:trPr>
        <w:trHeight w:hRule="exact" w:val="1418"/>
      </w:trPr>
      <w:tc>
        <w:tcPr>
          <w:tcW w:w="7761" w:type="dxa"/>
          <w:vAlign w:val="center"/>
        </w:tcPr>
        <w:p w14:paraId="06CEE74B" w14:textId="6358089B" w:rsidR="00254A01" w:rsidRPr="00975ED3" w:rsidRDefault="00C749DA" w:rsidP="00AC028D">
          <w:pPr>
            <w:pStyle w:val="Header"/>
          </w:pPr>
          <w:r>
            <w:fldChar w:fldCharType="begin"/>
          </w:r>
          <w:r>
            <w:instrText xml:space="preserve"> STYLEREF  Title  \* MERGEFORMAT </w:instrText>
          </w:r>
          <w:r>
            <w:fldChar w:fldCharType="separate"/>
          </w:r>
          <w:r>
            <w:rPr>
              <w:noProof/>
            </w:rPr>
            <w:t xml:space="preserve">Differences between public sector </w:t>
          </w:r>
          <w:r>
            <w:rPr>
              <w:noProof/>
            </w:rPr>
            <w:br/>
            <w:t>and private sector boards</w:t>
          </w:r>
          <w:r>
            <w:rPr>
              <w:noProof/>
            </w:rPr>
            <w:fldChar w:fldCharType="end"/>
          </w:r>
        </w:p>
      </w:tc>
    </w:tr>
  </w:tbl>
  <w:p w14:paraId="06CEE74D" w14:textId="77777777" w:rsidR="00254A01" w:rsidRDefault="00254A01" w:rsidP="00254A01">
    <w:pPr>
      <w:pStyle w:val="Header"/>
    </w:pPr>
    <w:r w:rsidRPr="00806AB6">
      <w:rPr>
        <w:noProof/>
      </w:rPr>
      <mc:AlternateContent>
        <mc:Choice Requires="wps">
          <w:drawing>
            <wp:anchor distT="0" distB="0" distL="114300" distR="114300" simplePos="0" relativeHeight="251652096" behindDoc="1" locked="0" layoutInCell="1" allowOverlap="1" wp14:anchorId="06CEE759" wp14:editId="06CEE75A">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C6678C" id="TriangleRight" o:spid="_x0000_s1026" style="position:absolute;margin-left:56.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D7TgbnUAgAA6QYAAA4AAAAAAAAAAAAAAAAALgIAAGRycy9l&#10;Mm9Eb2MueG1sUEsBAi0AFAAGAAgAAAAhAGgKWpzfAAAACgEAAA8AAAAAAAAAAAAAAAAALgUAAGRy&#10;cy9kb3ducmV2LnhtbFBLBQYAAAAABAAEAPMAAAA6Bg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43904" behindDoc="1" locked="0" layoutInCell="1" allowOverlap="1" wp14:anchorId="06CEE75B" wp14:editId="06CEE75C">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78ABA" id="TriangleLeft" o:spid="_x0000_s1026" style="position:absolute;margin-left:22.7pt;margin-top:22.7pt;width:68.05pt;height:70.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Yc0gIAANY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ltIpMqVYhRwtTcnUWopHkTsvUFPbOXDP9ZPxFG39qPlPC0N0ZPEbCwxZNV91Bj9s43QQZZebyp8E&#10;XbIL2r/stRc7Rzg+Xs0mcYwMcZiuscLa38Dm/WG+se6z0MER2z5a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35712" behindDoc="1" locked="0" layoutInCell="1" allowOverlap="1" wp14:anchorId="06CEE75D" wp14:editId="06CEE75E">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E43080" id="Rectangle" o:spid="_x0000_s1026" style="position:absolute;margin-left:22.7pt;margin-top:22.7pt;width:552.75pt;height:70.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06CEE74E"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06CEE750" w14:textId="77777777" w:rsidTr="00AC028D">
      <w:trPr>
        <w:trHeight w:hRule="exact" w:val="1418"/>
      </w:trPr>
      <w:tc>
        <w:tcPr>
          <w:tcW w:w="7761" w:type="dxa"/>
          <w:vAlign w:val="center"/>
        </w:tcPr>
        <w:p w14:paraId="06CEE74F" w14:textId="24C0EE9C" w:rsidR="00254A01" w:rsidRPr="00975ED3" w:rsidRDefault="00C749DA" w:rsidP="00AC028D">
          <w:pPr>
            <w:pStyle w:val="Header"/>
          </w:pPr>
          <w:r>
            <w:fldChar w:fldCharType="begin"/>
          </w:r>
          <w:r>
            <w:instrText xml:space="preserve"> STYLEREF  Title  \* MERGEFORMAT </w:instrText>
          </w:r>
          <w:r>
            <w:fldChar w:fldCharType="separate"/>
          </w:r>
          <w:r>
            <w:rPr>
              <w:noProof/>
            </w:rPr>
            <w:t xml:space="preserve">Differences between public sector </w:t>
          </w:r>
          <w:r>
            <w:rPr>
              <w:noProof/>
            </w:rPr>
            <w:br/>
            <w:t>and private sector boards</w:t>
          </w:r>
          <w:r>
            <w:rPr>
              <w:noProof/>
            </w:rPr>
            <w:fldChar w:fldCharType="end"/>
          </w:r>
        </w:p>
      </w:tc>
    </w:tr>
  </w:tbl>
  <w:p w14:paraId="06CEE751" w14:textId="77777777" w:rsidR="00254A01" w:rsidRDefault="00254A01" w:rsidP="00254A01">
    <w:pPr>
      <w:pStyle w:val="Header"/>
    </w:pPr>
    <w:r w:rsidRPr="00806AB6">
      <w:rPr>
        <w:noProof/>
      </w:rPr>
      <mc:AlternateContent>
        <mc:Choice Requires="wps">
          <w:drawing>
            <wp:anchor distT="0" distB="0" distL="114300" distR="114300" simplePos="0" relativeHeight="251694080" behindDoc="1" locked="0" layoutInCell="1" allowOverlap="1" wp14:anchorId="06CEE75F" wp14:editId="06CEE760">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C56A40" id="TriangleRight" o:spid="_x0000_s1026" style="position:absolute;margin-left:56.7pt;margin-top:22.7pt;width:68.05pt;height:70.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4864" behindDoc="1" locked="0" layoutInCell="1" allowOverlap="1" wp14:anchorId="06CEE761" wp14:editId="06CEE762">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C7BC42" id="TriangleLeft" o:spid="_x0000_s1026" style="position:absolute;margin-left:22.7pt;margin-top:22.7pt;width:6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sRY0gIAANY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htwllChWIUdLUzK1luJR5M4L1NR2Dtxz/WQ8RVs/av7TwhAdWfzGAkNWzVedwQ/bOB1E2eWm8idB&#10;l+yC9i977cXOEY6PV7NJHCNDHKZrrLD2N7B5f5hvrPssdHDEto/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06CEE763" wp14:editId="06CEE76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E1AF2F" id="Rectangle" o:spid="_x0000_s1026" style="position:absolute;margin-left:22.7pt;margin-top:22.7pt;width:552.7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06CEE752" w14:textId="77777777"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EE757" w14:textId="77777777" w:rsidR="00E962AA" w:rsidRPr="00E97294" w:rsidRDefault="00E962AA" w:rsidP="00E97294">
    <w:pPr>
      <w:pStyle w:val="Header"/>
    </w:pPr>
    <w:r w:rsidRPr="00806AB6">
      <w:rPr>
        <w:noProof/>
      </w:rPr>
      <mc:AlternateContent>
        <mc:Choice Requires="wps">
          <w:drawing>
            <wp:anchor distT="0" distB="0" distL="114300" distR="114300" simplePos="0" relativeHeight="251654144" behindDoc="1" locked="0" layoutInCell="1" allowOverlap="1" wp14:anchorId="06CEE769" wp14:editId="06CEE76A">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E3A3BA"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ACd5MjUAgAA6QYAAA4AAAAAAAAAAAAAAAAALgIAAGRycy9l&#10;Mm9Eb2MueG1sUEsBAi0AFAAGAAgAAAAhAGgKWpzfAAAACgEAAA8AAAAAAAAAAAAAAAAALgUAAGRy&#10;cy9kb3ducmV2LnhtbFBLBQYAAAAABAAEAPMAAAA6Bg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06CEE76B" wp14:editId="06CEE76C">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8682A6"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xX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06CEE76D" wp14:editId="06CEE76E">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D069EC"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6k30wIAANY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06CEE76F" wp14:editId="06CEE770">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D6292F"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50181C3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8"/>
  </w:num>
  <w:num w:numId="3">
    <w:abstractNumId w:val="25"/>
  </w:num>
  <w:num w:numId="4">
    <w:abstractNumId w:val="32"/>
  </w:num>
  <w:num w:numId="5">
    <w:abstractNumId w:val="15"/>
  </w:num>
  <w:num w:numId="6">
    <w:abstractNumId w:val="12"/>
  </w:num>
  <w:num w:numId="7">
    <w:abstractNumId w:val="11"/>
  </w:num>
  <w:num w:numId="8">
    <w:abstractNumId w:val="10"/>
  </w:num>
  <w:num w:numId="9">
    <w:abstractNumId w:val="29"/>
  </w:num>
  <w:num w:numId="10">
    <w:abstractNumId w:val="13"/>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20"/>
  </w:num>
  <w:num w:numId="30">
    <w:abstractNumId w:val="30"/>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 w:name="WebAddress" w:val="True"/>
  </w:docVars>
  <w:rsids>
    <w:rsidRoot w:val="00CB1341"/>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78"/>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5C4B"/>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86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D7B4E"/>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C57"/>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1C9"/>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8D8"/>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2C1"/>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BAB"/>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5D8"/>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C5"/>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6F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AD9"/>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A9A"/>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2714"/>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6B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068"/>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9DA"/>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8A0"/>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341"/>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87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81F"/>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3A5E"/>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06CEE6AE"/>
  <w15:docId w15:val="{CA0D86B2-DCB2-4659-9752-E6C7F781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link w:val="TableTextLeftChar"/>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CB1341"/>
    <w:pPr>
      <w:spacing w:line="240" w:lineRule="auto"/>
    </w:pPr>
    <w:rPr>
      <w:color w:val="FFFFFF"/>
      <w:sz w:val="24"/>
    </w:rPr>
    <w:tblPr>
      <w:tblCellMar>
        <w:top w:w="227" w:type="dxa"/>
        <w:left w:w="0" w:type="dxa"/>
        <w:bottom w:w="227" w:type="dxa"/>
        <w:right w:w="0" w:type="dxa"/>
      </w:tblCellMar>
    </w:tblPr>
    <w:tcPr>
      <w:shd w:val="clear" w:color="auto" w:fill="00B2A9"/>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TableTextLeftChar">
    <w:name w:val="Table Text Left Char"/>
    <w:basedOn w:val="DefaultParagraphFont"/>
    <w:link w:val="TableTextLeft"/>
    <w:rsid w:val="00CB1341"/>
    <w:rPr>
      <w:sz w:val="18"/>
    </w:rPr>
  </w:style>
  <w:style w:type="numbering" w:styleId="ArticleSection">
    <w:name w:val="Outline List 3"/>
    <w:basedOn w:val="NoList"/>
    <w:semiHidden/>
    <w:rsid w:val="00522BAB"/>
    <w:pPr>
      <w:numPr>
        <w:numId w:val="47"/>
      </w:numPr>
    </w:pPr>
  </w:style>
  <w:style w:type="paragraph" w:customStyle="1" w:styleId="ImprintText">
    <w:name w:val="_ImprintText"/>
    <w:uiPriority w:val="9"/>
    <w:rsid w:val="00522BAB"/>
    <w:pPr>
      <w:spacing w:after="85" w:line="170" w:lineRule="atLeast"/>
    </w:pPr>
    <w:rPr>
      <w:rFonts w:ascii="Calibri" w:hAnsi="Calibri"/>
      <w:color w:val="auto"/>
      <w:sz w:val="16"/>
      <w:szCs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relayservice.com.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customer.service@delwp.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delwp.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Documents\Custom%20Templates\Clients\DELWP\DELWP%20Rebrand%202016\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59E8EBC422EB344996C4719E3A1CC00" ma:contentTypeVersion="12" ma:contentTypeDescription="Create a new document." ma:contentTypeScope="" ma:versionID="86d508b2109ca8ccf4211f7b1b9b4344">
  <xsd:schema xmlns:xsd="http://www.w3.org/2001/XMLSchema" xmlns:xs="http://www.w3.org/2001/XMLSchema" xmlns:p="http://schemas.microsoft.com/office/2006/metadata/properties" xmlns:ns2="a5f32de4-e402-4188-b034-e71ca7d22e54" xmlns:ns3="9f316530-3048-4e07-8e45-0e87c16644c0" targetNamespace="http://schemas.microsoft.com/office/2006/metadata/properties" ma:root="true" ma:fieldsID="552fdd4ecd6cafc0ae471f9e75fe47d8" ns2:_="" ns3:_="">
    <xsd:import namespace="a5f32de4-e402-4188-b034-e71ca7d22e54"/>
    <xsd:import namespace="9f316530-3048-4e07-8e45-0e87c16644c0"/>
    <xsd:element name="properties">
      <xsd:complexType>
        <xsd:sequence>
          <xsd:element name="documentManagement">
            <xsd:complexType>
              <xsd:all>
                <xsd:element ref="ns2:_dlc_DocId" minOccurs="0"/>
                <xsd:element ref="ns2:_dlc_DocIdUrl" minOccurs="0"/>
                <xsd:element ref="ns2:_dlc_DocIdPersistId" minOccurs="0"/>
                <xsd:element ref="ns3:Lex_x0020_ID_x0020_numb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316530-3048-4e07-8e45-0e87c16644c0" elementFormDefault="qualified">
    <xsd:import namespace="http://schemas.microsoft.com/office/2006/documentManagement/types"/>
    <xsd:import namespace="http://schemas.microsoft.com/office/infopath/2007/PartnerControls"/>
    <xsd:element name="Lex_x0020_ID_x0020_number" ma:index="11" ma:displayName="Lex ID number" ma:internalName="Lex_x0020_ID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5f32de4-e402-4188-b034-e71ca7d22e54">DOCID228-2047225162-529</_dlc_DocId>
    <_dlc_DocIdUrl xmlns="a5f32de4-e402-4188-b034-e71ca7d22e54">
      <Url>https://delwpvicgovau.sharepoint.com/sites/ecm_228/_layouts/15/DocIdRedir.aspx?ID=DOCID228-2047225162-529</Url>
      <Description>DOCID228-2047225162-529</Description>
    </_dlc_DocIdUrl>
    <Lex_x0020_ID_x0020_number xmlns="9f316530-3048-4e07-8e45-0e87c16644c0">N/A</Lex_x0020_ID_x0020_numb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110AD-0393-47EB-BA52-5E2DA918FF36}">
  <ds:schemaRefs>
    <ds:schemaRef ds:uri="Microsoft.SharePoint.Taxonomy.ContentTypeSync"/>
  </ds:schemaRefs>
</ds:datastoreItem>
</file>

<file path=customXml/itemProps2.xml><?xml version="1.0" encoding="utf-8"?>
<ds:datastoreItem xmlns:ds="http://schemas.openxmlformats.org/officeDocument/2006/customXml" ds:itemID="{5C645E45-8A80-45BB-997D-46CB4088F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f316530-3048-4e07-8e45-0e87c1664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49B78-6639-4B66-B0D2-3557BB47AC66}">
  <ds:schemaRefs>
    <ds:schemaRef ds:uri="http://schemas.microsoft.com/sharepoint/events"/>
  </ds:schemaRefs>
</ds:datastoreItem>
</file>

<file path=customXml/itemProps4.xml><?xml version="1.0" encoding="utf-8"?>
<ds:datastoreItem xmlns:ds="http://schemas.openxmlformats.org/officeDocument/2006/customXml" ds:itemID="{A99A8D79-0CC1-499B-8B1B-E080DDF2A09F}">
  <ds:schemaRefs>
    <ds:schemaRef ds:uri="http://schemas.microsoft.com/sharepoint/v3/contenttype/forms"/>
  </ds:schemaRefs>
</ds:datastoreItem>
</file>

<file path=customXml/itemProps5.xml><?xml version="1.0" encoding="utf-8"?>
<ds:datastoreItem xmlns:ds="http://schemas.openxmlformats.org/officeDocument/2006/customXml" ds:itemID="{A4C20DC9-E14B-470E-8666-79B999C7549E}">
  <ds:schemaRefs>
    <ds:schemaRef ds:uri="http://purl.org/dc/elements/1.1/"/>
    <ds:schemaRef ds:uri="http://schemas.microsoft.com/office/2006/metadata/properties"/>
    <ds:schemaRef ds:uri="http://schemas.openxmlformats.org/package/2006/metadata/core-properties"/>
    <ds:schemaRef ds:uri="9f316530-3048-4e07-8e45-0e87c16644c0"/>
    <ds:schemaRef ds:uri="http://purl.org/dc/terms/"/>
    <ds:schemaRef ds:uri="a5f32de4-e402-4188-b034-e71ca7d22e54"/>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E84D8413-72B0-4311-9A12-090A76AE4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111</TotalTime>
  <Pages>4</Pages>
  <Words>1814</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Differences between public sector and private sector boards</vt:lpstr>
    </vt:vector>
  </TitlesOfParts>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Differences between public sector and private sector boards</dc:title>
  <dc:subject/>
  <dc:creator>Fiona</dc:creator>
  <cp:keywords/>
  <dc:description/>
  <cp:lastModifiedBy>Deidre Egan (DELWP)</cp:lastModifiedBy>
  <cp:revision>6</cp:revision>
  <cp:lastPrinted>2016-09-08T07:20:00Z</cp:lastPrinted>
  <dcterms:created xsi:type="dcterms:W3CDTF">2018-09-11T23:57:00Z</dcterms:created>
  <dcterms:modified xsi:type="dcterms:W3CDTF">2018-09-18T05:14:00Z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0x010100259E8EBC422EB344996C4719E3A1CC00</vt:lpwstr>
  </property>
  <property fmtid="{D5CDD505-2E9C-101B-9397-08002B2CF9AE}" pid="19" name="Lex ID number">
    <vt:lpwstr>N/A</vt:lpwstr>
  </property>
  <property fmtid="{D5CDD505-2E9C-101B-9397-08002B2CF9AE}" pid="20" name="pd01c257034b4e86b1f58279a3bd54c6">
    <vt:lpwstr>Unclassified|7fa379f4-4aba-4692-ab80-7d39d3a23cf4</vt:lpwstr>
  </property>
  <property fmtid="{D5CDD505-2E9C-101B-9397-08002B2CF9AE}" pid="21" name="ece32f50ba964e1fbf627a9d83fe6c01">
    <vt:lpwstr>Department of Environment, Land, Water and Planning|607a3f87-1228-4cd9-82a5-076aa8776274</vt:lpwstr>
  </property>
  <property fmtid="{D5CDD505-2E9C-101B-9397-08002B2CF9AE}" pid="22" name="n771d69a070c4babbf278c67c8a2b859">
    <vt:lpwstr>Legal Services|2a2f70da-7efa-4af9-8e32-72af9ec94e35</vt:lpwstr>
  </property>
  <property fmtid="{D5CDD505-2E9C-101B-9397-08002B2CF9AE}" pid="23" name="mfe9accc5a0b4653a7b513b67ffd122d">
    <vt:lpwstr>All|8270565e-a836-42c0-aa61-1ac7b0ff14aa</vt:lpwstr>
  </property>
  <property fmtid="{D5CDD505-2E9C-101B-9397-08002B2CF9AE}" pid="24" name="fb3179c379644f499d7166d0c985669b">
    <vt:lpwstr>FOUO|955eb6fc-b35a-4808-8aa5-31e514fa3f26</vt:lpwstr>
  </property>
  <property fmtid="{D5CDD505-2E9C-101B-9397-08002B2CF9AE}" pid="25" name="TaxCatchAll">
    <vt:lpwstr>7;#All|8270565e-a836-42c0-aa61-1ac7b0ff14aa;#6;#Legal Services|2a2f70da-7efa-4af9-8e32-72af9ec94e35;#5;#Corporate Services|583021de-5b88-4fc0-9d26-f0e13a42b826;#3;#Unclassified|7fa379f4-4aba-4692-ab80-7d39d3a23cf4;#2;#FOUO|955eb6fc-b35a-4808-8aa5-31e514fa3f26;#1;#Department of Environment, Land, Water and Planning|607a3f87-1228-4cd9-82a5-076aa8776274</vt:lpwstr>
  </property>
  <property fmtid="{D5CDD505-2E9C-101B-9397-08002B2CF9AE}" pid="26" name="ic50d0a05a8e4d9791dac67f8a1e716c">
    <vt:lpwstr>Corporate Services|583021de-5b88-4fc0-9d26-f0e13a42b826</vt:lpwstr>
  </property>
  <property fmtid="{D5CDD505-2E9C-101B-9397-08002B2CF9AE}" pid="27" name="_dlc_DocIdItemGuid">
    <vt:lpwstr>370cdf94-2b3f-4cde-8e93-4f42da7433a2</vt:lpwstr>
  </property>
  <property fmtid="{D5CDD505-2E9C-101B-9397-08002B2CF9AE}" pid="28" name="TaxKeyword">
    <vt:lpwstr/>
  </property>
  <property fmtid="{D5CDD505-2E9C-101B-9397-08002B2CF9AE}" pid="29" name="Agency">
    <vt:lpwstr>1;#Department of Environment, Land, Water and Planning|607a3f87-1228-4cd9-82a5-076aa8776274</vt:lpwstr>
  </property>
  <property fmtid="{D5CDD505-2E9C-101B-9397-08002B2CF9AE}" pid="30" name="Branch">
    <vt:lpwstr>7;#All|8270565e-a836-42c0-aa61-1ac7b0ff14aa</vt:lpwstr>
  </property>
  <property fmtid="{D5CDD505-2E9C-101B-9397-08002B2CF9AE}" pid="31" name="TaxKeywordTaxHTField">
    <vt:lpwstr/>
  </property>
  <property fmtid="{D5CDD505-2E9C-101B-9397-08002B2CF9AE}" pid="32" name="Division">
    <vt:lpwstr>6;#Legal Services|2a2f70da-7efa-4af9-8e32-72af9ec94e35</vt:lpwstr>
  </property>
  <property fmtid="{D5CDD505-2E9C-101B-9397-08002B2CF9AE}" pid="33" name="Dissemination Limiting Marker">
    <vt:lpwstr>2;#FOUO|955eb6fc-b35a-4808-8aa5-31e514fa3f26</vt:lpwstr>
  </property>
  <property fmtid="{D5CDD505-2E9C-101B-9397-08002B2CF9AE}" pid="34" name="Group1">
    <vt:lpwstr>5;#Corporate Services|583021de-5b88-4fc0-9d26-f0e13a42b826</vt:lpwstr>
  </property>
  <property fmtid="{D5CDD505-2E9C-101B-9397-08002B2CF9AE}" pid="35" name="Security Classification">
    <vt:lpwstr>3;#Unclassified|7fa379f4-4aba-4692-ab80-7d39d3a23cf4</vt:lpwstr>
  </property>
  <property fmtid="{D5CDD505-2E9C-101B-9397-08002B2CF9AE}" pid="36" name="URL">
    <vt:lpwstr>, </vt:lpwstr>
  </property>
</Properties>
</file>