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413" w:type="dxa"/>
        <w:tblLook w:val="01E0" w:firstRow="1" w:lastRow="1" w:firstColumn="1" w:lastColumn="1" w:noHBand="0" w:noVBand="0"/>
      </w:tblPr>
      <w:tblGrid>
        <w:gridCol w:w="10413"/>
      </w:tblGrid>
      <w:tr w:rsidR="00EA2B53" w:rsidRPr="00F74678" w:rsidTr="007D4B4C">
        <w:trPr>
          <w:trHeight w:hRule="exact" w:val="2705"/>
        </w:trPr>
        <w:tc>
          <w:tcPr>
            <w:tcW w:w="10413" w:type="dxa"/>
            <w:shd w:val="clear" w:color="auto" w:fill="auto"/>
          </w:tcPr>
          <w:p w:rsidR="00EA2B53" w:rsidRDefault="007D4B4C" w:rsidP="00915D5A">
            <w:pPr>
              <w:pStyle w:val="Toptitle"/>
              <w:framePr w:hSpace="0" w:wrap="auto" w:vAnchor="margin" w:hAnchor="text" w:yAlign="inline"/>
            </w:pPr>
            <w:r>
              <w:t>Induction and education</w:t>
            </w:r>
          </w:p>
          <w:p w:rsidR="00EA2B53" w:rsidRPr="003F3A22" w:rsidRDefault="00EA2B53" w:rsidP="00833900">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7B5D5D1F" wp14:editId="47CA6267">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v:textbox>
                    </v:shape>
                  </w:pict>
                </mc:Fallback>
              </mc:AlternateContent>
            </w:r>
            <w:r w:rsidR="00833900">
              <w:t>(6</w:t>
            </w:r>
            <w:r w:rsidR="0020300D">
              <w:t xml:space="preserve">) </w:t>
            </w:r>
            <w:r w:rsidR="00833900">
              <w:t>Basic requirements of good governance</w:t>
            </w:r>
          </w:p>
        </w:tc>
      </w:tr>
    </w:tbl>
    <w:p w:rsidR="002C12AF" w:rsidRDefault="002C12AF" w:rsidP="00EA2B53">
      <w:pPr>
        <w:spacing w:before="400"/>
      </w:pPr>
    </w:p>
    <w:p w:rsidR="00EA2B53" w:rsidRDefault="00EA2B53" w:rsidP="001855F2"/>
    <w:p w:rsidR="00702F83" w:rsidRDefault="00154170" w:rsidP="002537A2">
      <w:r>
        <w:t xml:space="preserve">This </w:t>
      </w:r>
      <w:r w:rsidRPr="00D01A78">
        <w:t>guidance note</w:t>
      </w:r>
      <w:r w:rsidR="002537A2">
        <w:t xml:space="preserve"> </w:t>
      </w:r>
      <w:r>
        <w:t>is for use by</w:t>
      </w:r>
      <w:r w:rsidRPr="00D01A78">
        <w:t xml:space="preserve"> </w:t>
      </w:r>
      <w:r w:rsidRPr="001100DC">
        <w:t>board members</w:t>
      </w:r>
      <w:r w:rsidRPr="00D01A78">
        <w:t xml:space="preserve"> of </w:t>
      </w:r>
      <w:r w:rsidR="00830822">
        <w:t>the over 100 major</w:t>
      </w:r>
      <w:r>
        <w:t xml:space="preserve"> </w:t>
      </w:r>
      <w:r w:rsidRPr="00D01A78">
        <w:t xml:space="preserve">public entities and other statutory boards, committees, councils, panels, etc.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rsidR="00702F83">
        <w:t xml:space="preserve"> of crown land reserves</w:t>
      </w:r>
      <w:r w:rsidR="00F26B7C">
        <w:t>.</w:t>
      </w:r>
      <w:r w:rsidR="00E1571A">
        <w:t xml:space="preserve">  </w:t>
      </w:r>
    </w:p>
    <w:p w:rsidR="00BD3DA8" w:rsidRPr="00A3042C" w:rsidRDefault="00BD3DA8" w:rsidP="000F1B8D"/>
    <w:p w:rsidR="00BD3DA8" w:rsidRDefault="00BD3DA8" w:rsidP="00BD3DA8">
      <w:pPr>
        <w:sectPr w:rsidR="00BD3DA8" w:rsidSect="00F96CFF">
          <w:headerReference w:type="default" r:id="rId9"/>
          <w:footerReference w:type="default" r:id="rId10"/>
          <w:headerReference w:type="first" r:id="rId11"/>
          <w:footerReference w:type="first" r:id="rId12"/>
          <w:pgSz w:w="11907" w:h="16840" w:code="9"/>
          <w:pgMar w:top="2268" w:right="567" w:bottom="851" w:left="1134" w:header="284" w:footer="1021" w:gutter="0"/>
          <w:cols w:space="284"/>
          <w:titlePg/>
          <w:docGrid w:linePitch="360"/>
        </w:sectPr>
      </w:pPr>
    </w:p>
    <w:p w:rsidR="00B169A1" w:rsidRDefault="00250E32" w:rsidP="00931918">
      <w:pPr>
        <w:pStyle w:val="Heading1"/>
        <w:spacing w:before="0" w:after="80"/>
      </w:pPr>
      <w:bookmarkStart w:id="0" w:name="gov"/>
      <w:r>
        <w:lastRenderedPageBreak/>
        <w:t>Overview</w:t>
      </w:r>
    </w:p>
    <w:p w:rsidR="00B169A1" w:rsidRDefault="005B0C29" w:rsidP="00B169A1">
      <w:pPr>
        <w:rPr>
          <w:lang w:val="en"/>
        </w:rPr>
      </w:pPr>
      <w:r>
        <w:rPr>
          <w:lang w:val="en"/>
        </w:rPr>
        <w:t>As a board member,</w:t>
      </w:r>
      <w:r w:rsidR="00B169A1">
        <w:rPr>
          <w:lang w:val="en"/>
        </w:rPr>
        <w:t xml:space="preserve"> </w:t>
      </w:r>
      <w:r>
        <w:rPr>
          <w:lang w:val="en"/>
        </w:rPr>
        <w:t xml:space="preserve">you are </w:t>
      </w:r>
      <w:r w:rsidR="00A74C2A">
        <w:rPr>
          <w:lang w:val="en"/>
        </w:rPr>
        <w:t>part of your agency’s governing body</w:t>
      </w:r>
      <w:r>
        <w:rPr>
          <w:lang w:val="en"/>
        </w:rPr>
        <w:t>.</w:t>
      </w:r>
      <w:r w:rsidR="00A74C2A" w:rsidRPr="00A74C2A">
        <w:rPr>
          <w:rStyle w:val="FootnoteReference"/>
        </w:rPr>
        <w:t xml:space="preserve"> </w:t>
      </w:r>
      <w:r>
        <w:rPr>
          <w:lang w:val="en"/>
        </w:rPr>
        <w:t>Your role includes ensuring that</w:t>
      </w:r>
      <w:r w:rsidR="00B169A1">
        <w:rPr>
          <w:lang w:val="en"/>
        </w:rPr>
        <w:t>:</w:t>
      </w:r>
    </w:p>
    <w:p w:rsidR="00B169A1" w:rsidRDefault="007B0467" w:rsidP="00B169A1">
      <w:pPr>
        <w:pStyle w:val="ListBullet"/>
        <w:keepLines/>
        <w:numPr>
          <w:ilvl w:val="0"/>
          <w:numId w:val="48"/>
        </w:numPr>
        <w:tabs>
          <w:tab w:val="clear" w:pos="170"/>
          <w:tab w:val="clear" w:pos="567"/>
          <w:tab w:val="left" w:pos="851"/>
        </w:tabs>
        <w:spacing w:before="100" w:after="100" w:line="260" w:lineRule="atLeast"/>
        <w:rPr>
          <w:lang w:val="en"/>
        </w:rPr>
      </w:pPr>
      <w:r>
        <w:rPr>
          <w:lang w:val="en"/>
        </w:rPr>
        <w:t>the</w:t>
      </w:r>
      <w:r w:rsidR="00B169A1" w:rsidRPr="00F35776">
        <w:rPr>
          <w:lang w:val="en"/>
        </w:rPr>
        <w:t xml:space="preserve"> agency’s functions are fulfilled effectively</w:t>
      </w:r>
    </w:p>
    <w:p w:rsidR="00B169A1" w:rsidRPr="00F35776" w:rsidRDefault="007B0467" w:rsidP="00B169A1">
      <w:pPr>
        <w:pStyle w:val="ListBullet"/>
        <w:keepLines/>
        <w:numPr>
          <w:ilvl w:val="0"/>
          <w:numId w:val="48"/>
        </w:numPr>
        <w:tabs>
          <w:tab w:val="clear" w:pos="170"/>
          <w:tab w:val="clear" w:pos="567"/>
          <w:tab w:val="left" w:pos="851"/>
        </w:tabs>
        <w:spacing w:before="100" w:after="100" w:line="260" w:lineRule="atLeast"/>
        <w:rPr>
          <w:lang w:val="en"/>
        </w:rPr>
      </w:pPr>
      <w:r>
        <w:rPr>
          <w:lang w:val="en"/>
        </w:rPr>
        <w:t>the</w:t>
      </w:r>
      <w:r w:rsidR="00B169A1">
        <w:rPr>
          <w:lang w:val="en"/>
        </w:rPr>
        <w:t xml:space="preserve"> agency’s </w:t>
      </w:r>
      <w:r w:rsidR="00B169A1" w:rsidRPr="00F35776">
        <w:rPr>
          <w:lang w:val="en"/>
        </w:rPr>
        <w:t>governance framework is complied with</w:t>
      </w:r>
    </w:p>
    <w:p w:rsidR="00B169A1" w:rsidRDefault="00B169A1" w:rsidP="00931918">
      <w:pPr>
        <w:pStyle w:val="ListBullet"/>
        <w:keepLines/>
        <w:numPr>
          <w:ilvl w:val="0"/>
          <w:numId w:val="48"/>
        </w:numPr>
        <w:tabs>
          <w:tab w:val="clear" w:pos="170"/>
          <w:tab w:val="clear" w:pos="567"/>
          <w:tab w:val="left" w:pos="851"/>
        </w:tabs>
        <w:spacing w:before="100" w:after="0" w:line="260" w:lineRule="atLeast"/>
        <w:rPr>
          <w:lang w:val="en"/>
        </w:rPr>
      </w:pPr>
      <w:r w:rsidRPr="00F35776">
        <w:rPr>
          <w:lang w:val="en"/>
        </w:rPr>
        <w:t xml:space="preserve">your own conduct is consistent with the required standards for </w:t>
      </w:r>
      <w:r w:rsidR="002D4666">
        <w:rPr>
          <w:lang w:val="en"/>
        </w:rPr>
        <w:t xml:space="preserve">public sector </w:t>
      </w:r>
      <w:r w:rsidRPr="00F35776">
        <w:rPr>
          <w:lang w:val="en"/>
        </w:rPr>
        <w:t>board</w:t>
      </w:r>
      <w:r>
        <w:rPr>
          <w:lang w:val="en"/>
        </w:rPr>
        <w:t xml:space="preserve"> members.</w:t>
      </w:r>
    </w:p>
    <w:p w:rsidR="00B43DDD" w:rsidRDefault="00B43DDD" w:rsidP="00B43DDD">
      <w:pPr>
        <w:pStyle w:val="Heading1"/>
        <w:rPr>
          <w:lang w:val="en"/>
        </w:rPr>
      </w:pPr>
      <w:r>
        <w:rPr>
          <w:lang w:val="en"/>
        </w:rPr>
        <w:t>On Board</w:t>
      </w:r>
    </w:p>
    <w:p w:rsidR="00B43DDD" w:rsidRDefault="00B43DDD" w:rsidP="00931918">
      <w:pPr>
        <w:spacing w:before="120"/>
        <w:rPr>
          <w:lang w:val="en"/>
        </w:rPr>
      </w:pPr>
      <w:r>
        <w:rPr>
          <w:lang w:val="en"/>
        </w:rPr>
        <w:t xml:space="preserve">To assist </w:t>
      </w:r>
      <w:r w:rsidR="007E4AF6">
        <w:rPr>
          <w:lang w:val="en"/>
        </w:rPr>
        <w:t>you in</w:t>
      </w:r>
      <w:r>
        <w:rPr>
          <w:lang w:val="en"/>
        </w:rPr>
        <w:t xml:space="preserve"> your role, it</w:t>
      </w:r>
      <w:r w:rsidR="00931918">
        <w:rPr>
          <w:lang w:val="en"/>
        </w:rPr>
        <w:t xml:space="preserve"> is </w:t>
      </w:r>
      <w:r w:rsidR="00931918" w:rsidRPr="00931918">
        <w:t>recommended that you</w:t>
      </w:r>
      <w:r w:rsidR="00931918">
        <w:rPr>
          <w:lang w:val="en"/>
        </w:rPr>
        <w:t xml:space="preserve"> read the guidance materials in </w:t>
      </w:r>
      <w:r w:rsidR="00931918">
        <w:t xml:space="preserve">the </w:t>
      </w:r>
      <w:hyperlink r:id="rId13" w:history="1">
        <w:r w:rsidR="00931918" w:rsidRPr="00B704BC">
          <w:rPr>
            <w:rStyle w:val="Hyperlink"/>
          </w:rPr>
          <w:t>Induction and education</w:t>
        </w:r>
      </w:hyperlink>
      <w:r w:rsidR="00931918">
        <w:t xml:space="preserve"> support module </w:t>
      </w:r>
      <w:r w:rsidR="00931918" w:rsidRPr="005E3068">
        <w:rPr>
          <w:lang w:val="en"/>
        </w:rPr>
        <w:t>on DELWP’s governance website, On Board (</w:t>
      </w:r>
      <w:hyperlink r:id="rId14" w:history="1">
        <w:r w:rsidR="00931918" w:rsidRPr="005E3068">
          <w:rPr>
            <w:rStyle w:val="Hyperlink"/>
            <w:lang w:val="en"/>
          </w:rPr>
          <w:t>www.delwp.vic.gov.au/onboard</w:t>
        </w:r>
      </w:hyperlink>
      <w:r w:rsidR="00931918" w:rsidRPr="005E3068">
        <w:rPr>
          <w:lang w:val="en"/>
        </w:rPr>
        <w:t>).</w:t>
      </w:r>
      <w:r>
        <w:rPr>
          <w:lang w:val="en"/>
        </w:rPr>
        <w:t xml:space="preserve">  These guidance notes</w:t>
      </w:r>
      <w:r w:rsidR="007E4AF6">
        <w:rPr>
          <w:lang w:val="en"/>
        </w:rPr>
        <w:t xml:space="preserve"> are suitable for both</w:t>
      </w:r>
      <w:r>
        <w:rPr>
          <w:lang w:val="en"/>
        </w:rPr>
        <w:t>:</w:t>
      </w:r>
    </w:p>
    <w:p w:rsidR="00B43DDD" w:rsidRDefault="00B43DDD" w:rsidP="00B43DDD">
      <w:pPr>
        <w:pStyle w:val="ListBullet"/>
        <w:rPr>
          <w:lang w:val="en"/>
        </w:rPr>
      </w:pPr>
      <w:r>
        <w:rPr>
          <w:lang w:val="en"/>
        </w:rPr>
        <w:t>new board members</w:t>
      </w:r>
    </w:p>
    <w:p w:rsidR="00B43DDD" w:rsidRDefault="00B43DDD" w:rsidP="00B43DDD">
      <w:pPr>
        <w:pStyle w:val="ListBullet"/>
        <w:rPr>
          <w:lang w:val="en"/>
        </w:rPr>
      </w:pPr>
      <w:r>
        <w:rPr>
          <w:lang w:val="en"/>
        </w:rPr>
        <w:t xml:space="preserve">existing board members </w:t>
      </w:r>
      <w:r w:rsidR="002A6CED">
        <w:rPr>
          <w:lang w:val="en"/>
        </w:rPr>
        <w:t>looking</w:t>
      </w:r>
      <w:r w:rsidR="007E4AF6">
        <w:rPr>
          <w:lang w:val="en"/>
        </w:rPr>
        <w:t xml:space="preserve"> </w:t>
      </w:r>
      <w:r>
        <w:rPr>
          <w:lang w:val="en"/>
        </w:rPr>
        <w:t>to keep up to date with governance obligations and good practice.</w:t>
      </w:r>
    </w:p>
    <w:p w:rsidR="00B169A1" w:rsidRDefault="00B43DDD" w:rsidP="0082312C">
      <w:pPr>
        <w:pStyle w:val="Heading1"/>
        <w:spacing w:before="140" w:after="80"/>
        <w:rPr>
          <w:lang w:val="en"/>
        </w:rPr>
      </w:pPr>
      <w:bookmarkStart w:id="1" w:name="functions"/>
      <w:r>
        <w:rPr>
          <w:lang w:val="en"/>
        </w:rPr>
        <w:br w:type="column"/>
      </w:r>
      <w:r w:rsidR="00B169A1">
        <w:rPr>
          <w:lang w:val="en"/>
        </w:rPr>
        <w:lastRenderedPageBreak/>
        <w:t>Functions of the agency</w:t>
      </w:r>
      <w:bookmarkEnd w:id="1"/>
    </w:p>
    <w:p w:rsidR="002B006E" w:rsidRDefault="002B006E" w:rsidP="00B169A1">
      <w:r>
        <w:t xml:space="preserve">Your agency’s purpose, functions, and powers are set out in its establishing Act (or terms of reference). </w:t>
      </w:r>
    </w:p>
    <w:p w:rsidR="00B169A1" w:rsidRDefault="00B169A1" w:rsidP="00B169A1">
      <w:pPr>
        <w:rPr>
          <w:lang w:val="en"/>
        </w:rPr>
      </w:pPr>
      <w:r>
        <w:rPr>
          <w:lang w:val="en"/>
        </w:rPr>
        <w:t>As a board member, you must ensure that your agency's functions are being properly fulfilled.</w:t>
      </w:r>
    </w:p>
    <w:p w:rsidR="002B006E" w:rsidRPr="00DA4EC3" w:rsidRDefault="002B006E" w:rsidP="00B169A1">
      <w:r>
        <w:t>The board</w:t>
      </w:r>
      <w:r w:rsidRPr="007D57F6">
        <w:t xml:space="preserve"> is accountable to </w:t>
      </w:r>
      <w:r>
        <w:t>the</w:t>
      </w:r>
      <w:r w:rsidRPr="007D57F6">
        <w:t xml:space="preserve"> </w:t>
      </w:r>
      <w:r>
        <w:t>responsible minister for the performance of the agency.</w:t>
      </w:r>
      <w:r w:rsidR="00A74C2A">
        <w:rPr>
          <w:rStyle w:val="FootnoteReference"/>
        </w:rPr>
        <w:footnoteReference w:id="1"/>
      </w:r>
    </w:p>
    <w:p w:rsidR="003E21E2" w:rsidRDefault="003E21E2" w:rsidP="0082312C">
      <w:pPr>
        <w:pStyle w:val="Heading1"/>
        <w:spacing w:before="140" w:after="80"/>
        <w:rPr>
          <w:lang w:val="en"/>
        </w:rPr>
      </w:pPr>
      <w:r>
        <w:rPr>
          <w:lang w:val="en"/>
        </w:rPr>
        <w:t xml:space="preserve">Governance </w:t>
      </w:r>
      <w:r w:rsidR="006D5BEF">
        <w:rPr>
          <w:lang w:val="en"/>
        </w:rPr>
        <w:t>f</w:t>
      </w:r>
      <w:r>
        <w:rPr>
          <w:lang w:val="en"/>
        </w:rPr>
        <w:t>ramework</w:t>
      </w:r>
      <w:bookmarkEnd w:id="0"/>
    </w:p>
    <w:p w:rsidR="003E21E2" w:rsidRDefault="003E21E2" w:rsidP="003E21E2">
      <w:pPr>
        <w:rPr>
          <w:lang w:val="en"/>
        </w:rPr>
      </w:pPr>
      <w:r>
        <w:rPr>
          <w:lang w:val="en"/>
        </w:rPr>
        <w:t xml:space="preserve">The laws, government policies and other obligations that bind </w:t>
      </w:r>
      <w:r w:rsidR="006D5BEF">
        <w:rPr>
          <w:lang w:val="en"/>
        </w:rPr>
        <w:t>your</w:t>
      </w:r>
      <w:r>
        <w:rPr>
          <w:lang w:val="en"/>
        </w:rPr>
        <w:t xml:space="preserve"> agency are known as its </w:t>
      </w:r>
      <w:r w:rsidR="006D5BEF">
        <w:rPr>
          <w:lang w:val="en"/>
        </w:rPr>
        <w:t>‘</w:t>
      </w:r>
      <w:r w:rsidRPr="003726F0">
        <w:rPr>
          <w:rStyle w:val="Strong"/>
          <w:b w:val="0"/>
          <w:lang w:val="en"/>
        </w:rPr>
        <w:t>governance framework</w:t>
      </w:r>
      <w:r w:rsidR="006D5BEF">
        <w:rPr>
          <w:rStyle w:val="Strong"/>
          <w:b w:val="0"/>
          <w:lang w:val="en"/>
        </w:rPr>
        <w:t>’</w:t>
      </w:r>
      <w:r w:rsidRPr="003726F0">
        <w:rPr>
          <w:lang w:val="en"/>
        </w:rPr>
        <w:t>.</w:t>
      </w:r>
      <w:r>
        <w:rPr>
          <w:lang w:val="en"/>
        </w:rPr>
        <w:t xml:space="preserve"> Typical</w:t>
      </w:r>
      <w:r w:rsidR="006D5BEF">
        <w:rPr>
          <w:lang w:val="en"/>
        </w:rPr>
        <w:t>ly, the</w:t>
      </w:r>
      <w:r w:rsidR="00BF40D3">
        <w:rPr>
          <w:lang w:val="en"/>
        </w:rPr>
        <w:t>se</w:t>
      </w:r>
      <w:r>
        <w:rPr>
          <w:lang w:val="en"/>
        </w:rPr>
        <w:t xml:space="preserve"> include:</w:t>
      </w:r>
    </w:p>
    <w:p w:rsidR="003E21E2" w:rsidRDefault="006D5BEF"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your agency’s </w:t>
      </w:r>
      <w:r w:rsidR="003E21E2">
        <w:rPr>
          <w:lang w:val="en"/>
        </w:rPr>
        <w:t xml:space="preserve">establishing Act (or terms of reference) </w:t>
      </w:r>
    </w:p>
    <w:p w:rsidR="00597D4A" w:rsidRPr="001E322D" w:rsidRDefault="006D5BEF" w:rsidP="001E322D">
      <w:pPr>
        <w:pStyle w:val="ListBullet"/>
      </w:pPr>
      <w:r w:rsidRPr="00597D4A">
        <w:rPr>
          <w:lang w:val="en"/>
        </w:rPr>
        <w:t xml:space="preserve">the </w:t>
      </w:r>
      <w:r w:rsidRPr="00597D4A">
        <w:rPr>
          <w:i/>
        </w:rPr>
        <w:t>Public Administration Act</w:t>
      </w:r>
      <w:r>
        <w:t xml:space="preserve"> 2004 (</w:t>
      </w:r>
      <w:r w:rsidRPr="00597D4A">
        <w:rPr>
          <w:b/>
        </w:rPr>
        <w:t>PAA</w:t>
      </w:r>
      <w:r>
        <w:t>) and related codes</w:t>
      </w:r>
      <w:r w:rsidR="00597D4A">
        <w:t xml:space="preserve"> (e.g.</w:t>
      </w:r>
      <w:r w:rsidR="001E322D">
        <w:t xml:space="preserve"> </w:t>
      </w:r>
      <w:hyperlink r:id="rId15" w:history="1">
        <w:r w:rsidR="001E322D" w:rsidRPr="00BC7430">
          <w:rPr>
            <w:rStyle w:val="Hyperlink"/>
          </w:rPr>
          <w:t>Directors’ Code of Conduct</w:t>
        </w:r>
      </w:hyperlink>
      <w:r w:rsidR="001E322D">
        <w:t xml:space="preserve"> and </w:t>
      </w:r>
      <w:hyperlink r:id="rId16" w:history="1">
        <w:r w:rsidR="001E322D" w:rsidRPr="00E5784A">
          <w:rPr>
            <w:rStyle w:val="Hyperlink"/>
          </w:rPr>
          <w:t>Code of Conduct for Victorian Public Sector Employees</w:t>
        </w:r>
      </w:hyperlink>
      <w:r w:rsidR="001E322D">
        <w:rPr>
          <w:rStyle w:val="Hyperlink"/>
        </w:rPr>
        <w:t>),</w:t>
      </w:r>
      <w:r w:rsidR="001E322D">
        <w:t xml:space="preserve"> </w:t>
      </w:r>
      <w:r w:rsidR="00597D4A">
        <w:t xml:space="preserve">which set the standard of conduct for Victoria’s public sector </w:t>
      </w:r>
    </w:p>
    <w:p w:rsidR="003E21E2" w:rsidRPr="00597D4A" w:rsidRDefault="003E21E2" w:rsidP="00597D4A">
      <w:pPr>
        <w:pStyle w:val="ListBullet"/>
        <w:rPr>
          <w:lang w:val="en"/>
        </w:rPr>
      </w:pPr>
      <w:r w:rsidRPr="00597D4A">
        <w:rPr>
          <w:lang w:val="en"/>
        </w:rPr>
        <w:t>government policies</w:t>
      </w:r>
      <w:r w:rsidR="0025261A">
        <w:rPr>
          <w:lang w:val="en"/>
        </w:rPr>
        <w:t>, which must be adhered to</w:t>
      </w:r>
      <w:r w:rsidRPr="00597D4A">
        <w:rPr>
          <w:lang w:val="en"/>
        </w:rPr>
        <w:t xml:space="preserve">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key documents that your agency is required by law to develop and implement (e.g. strategic plan</w:t>
      </w:r>
      <w:r w:rsidR="006D5BEF">
        <w:rPr>
          <w:lang w:val="en"/>
        </w:rPr>
        <w:t>, annual business plan</w:t>
      </w:r>
      <w:r>
        <w:rPr>
          <w:lang w:val="en"/>
        </w:rPr>
        <w:t xml:space="preserve">)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annual reporting obligations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financial and risk management obligations </w:t>
      </w:r>
    </w:p>
    <w:p w:rsidR="00B169A1" w:rsidRDefault="00B169A1" w:rsidP="00B169A1">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ministerial guidelines, directions, and statements of obligation or expectation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lastRenderedPageBreak/>
        <w:t xml:space="preserve">laws that apply to the Victorian public sector </w:t>
      </w:r>
      <w:r w:rsidR="00B169A1">
        <w:rPr>
          <w:lang w:val="en"/>
        </w:rPr>
        <w:br/>
      </w:r>
      <w:r w:rsidR="00597D4A">
        <w:rPr>
          <w:lang w:val="en"/>
        </w:rPr>
        <w:t>(e.g. f</w:t>
      </w:r>
      <w:r>
        <w:rPr>
          <w:lang w:val="en"/>
        </w:rPr>
        <w:t xml:space="preserve">reedom of information)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other laws and obligations.</w:t>
      </w:r>
    </w:p>
    <w:p w:rsidR="003E21E2" w:rsidRDefault="003E21E2" w:rsidP="008F783D">
      <w:pPr>
        <w:pStyle w:val="Heading1"/>
        <w:spacing w:before="140" w:after="80"/>
        <w:rPr>
          <w:lang w:val="en"/>
        </w:rPr>
      </w:pPr>
      <w:bookmarkStart w:id="2" w:name="standards"/>
      <w:r>
        <w:rPr>
          <w:lang w:val="en"/>
        </w:rPr>
        <w:t>Standards of conduct</w:t>
      </w:r>
      <w:bookmarkEnd w:id="2"/>
    </w:p>
    <w:p w:rsidR="005E3068" w:rsidRPr="0048623D" w:rsidRDefault="00DA4EC3" w:rsidP="005E3068">
      <w:pPr>
        <w:rPr>
          <w:lang w:val="en"/>
        </w:rPr>
      </w:pPr>
      <w:r>
        <w:rPr>
          <w:lang w:val="en"/>
        </w:rPr>
        <w:t xml:space="preserve">Your </w:t>
      </w:r>
      <w:r w:rsidR="003E21E2" w:rsidRPr="003B245E">
        <w:t>conduct</w:t>
      </w:r>
      <w:r w:rsidR="003E21E2">
        <w:rPr>
          <w:rStyle w:val="Strong"/>
          <w:szCs w:val="21"/>
          <w:lang w:val="en"/>
        </w:rPr>
        <w:t xml:space="preserve"> </w:t>
      </w:r>
      <w:r w:rsidR="003E21E2">
        <w:t xml:space="preserve">as a board member </w:t>
      </w:r>
      <w:r>
        <w:t>must be</w:t>
      </w:r>
      <w:r w:rsidR="003E21E2">
        <w:t xml:space="preserve"> in </w:t>
      </w:r>
      <w:r w:rsidR="003E21E2">
        <w:rPr>
          <w:lang w:val="en"/>
        </w:rPr>
        <w:t>accordance with the required standards of conduct.</w:t>
      </w:r>
      <w:r w:rsidR="00446E82">
        <w:rPr>
          <w:lang w:val="en"/>
        </w:rPr>
        <w:t xml:space="preserve"> </w:t>
      </w:r>
      <w:r w:rsidR="005E3068">
        <w:rPr>
          <w:lang w:val="en"/>
        </w:rPr>
        <w:t xml:space="preserve">The </w:t>
      </w:r>
      <w:r w:rsidR="00446E82">
        <w:rPr>
          <w:lang w:val="en"/>
        </w:rPr>
        <w:t>overarching</w:t>
      </w:r>
      <w:r w:rsidR="005E3068">
        <w:rPr>
          <w:lang w:val="en"/>
        </w:rPr>
        <w:t xml:space="preserve"> </w:t>
      </w:r>
      <w:r w:rsidR="00446E82">
        <w:rPr>
          <w:lang w:val="en"/>
        </w:rPr>
        <w:t>requirement</w:t>
      </w:r>
      <w:r w:rsidR="005E3068">
        <w:rPr>
          <w:lang w:val="en"/>
        </w:rPr>
        <w:t xml:space="preserve"> is to </w:t>
      </w:r>
      <w:r w:rsidR="005E3068">
        <w:t>act and make decisions in the</w:t>
      </w:r>
      <w:r w:rsidR="005E3068">
        <w:rPr>
          <w:b/>
        </w:rPr>
        <w:t xml:space="preserve"> </w:t>
      </w:r>
      <w:r w:rsidR="005E3068" w:rsidRPr="005E3068">
        <w:rPr>
          <w:b/>
        </w:rPr>
        <w:t>public interest</w:t>
      </w:r>
      <w:r w:rsidR="005E3068" w:rsidRPr="00761A56">
        <w:t>.</w:t>
      </w:r>
      <w:r w:rsidR="0048623D">
        <w:rPr>
          <w:lang w:val="en"/>
        </w:rPr>
        <w:t xml:space="preserve"> </w:t>
      </w:r>
      <w:r w:rsidR="0048623D">
        <w:t>I</w:t>
      </w:r>
      <w:r w:rsidR="005E3068">
        <w:t xml:space="preserve">t is recommended that you read: </w:t>
      </w:r>
    </w:p>
    <w:p w:rsidR="005E3068" w:rsidRPr="005E3068" w:rsidRDefault="005E3068" w:rsidP="005E3068">
      <w:pPr>
        <w:pStyle w:val="ListBullet"/>
      </w:pPr>
      <w:r>
        <w:t>DELWP’s ‘overview’ guidance notes (e.g. Conflict of interest</w:t>
      </w:r>
      <w:r w:rsidR="0048623D">
        <w:t xml:space="preserve">). These </w:t>
      </w:r>
      <w:r>
        <w:t xml:space="preserve">are available from the </w:t>
      </w:r>
      <w:hyperlink r:id="rId17" w:history="1">
        <w:r w:rsidRPr="00B704BC">
          <w:rPr>
            <w:rStyle w:val="Hyperlink"/>
          </w:rPr>
          <w:t>Induction and education</w:t>
        </w:r>
      </w:hyperlink>
      <w:r>
        <w:t xml:space="preserve"> support module </w:t>
      </w:r>
      <w:r w:rsidRPr="005E3068">
        <w:rPr>
          <w:lang w:val="en"/>
        </w:rPr>
        <w:t>on DELWP’s governance website, On Board (</w:t>
      </w:r>
      <w:hyperlink r:id="rId18" w:history="1">
        <w:r w:rsidRPr="005E3068">
          <w:rPr>
            <w:rStyle w:val="Hyperlink"/>
            <w:lang w:val="en"/>
          </w:rPr>
          <w:t>www.delwp.vic.gov.au/onboard</w:t>
        </w:r>
      </w:hyperlink>
      <w:r w:rsidRPr="005E3068">
        <w:rPr>
          <w:lang w:val="en"/>
        </w:rPr>
        <w:t xml:space="preserve">). </w:t>
      </w:r>
    </w:p>
    <w:p w:rsidR="003E21E2" w:rsidRPr="00B14F72" w:rsidRDefault="00B76FE2" w:rsidP="00B76FE2">
      <w:pPr>
        <w:pStyle w:val="ListBullet"/>
      </w:pPr>
      <w:r>
        <w:t xml:space="preserve">the </w:t>
      </w:r>
      <w:hyperlink r:id="rId19" w:history="1">
        <w:r w:rsidRPr="00BC7430">
          <w:rPr>
            <w:rStyle w:val="Hyperlink"/>
          </w:rPr>
          <w:t>Directors’ Code of Conduct</w:t>
        </w:r>
      </w:hyperlink>
      <w:r>
        <w:t xml:space="preserve"> </w:t>
      </w:r>
      <w:r w:rsidR="003E21E2" w:rsidRPr="00B76FE2">
        <w:rPr>
          <w:lang w:val="en"/>
        </w:rPr>
        <w:t>issued by the Public Se</w:t>
      </w:r>
      <w:r w:rsidR="00015C24" w:rsidRPr="00B76FE2">
        <w:rPr>
          <w:lang w:val="en"/>
        </w:rPr>
        <w:t>ctor Standards Commissioner</w:t>
      </w:r>
      <w:r w:rsidR="005E3068" w:rsidRPr="00B76FE2">
        <w:rPr>
          <w:lang w:val="en"/>
        </w:rPr>
        <w:t xml:space="preserve">.  This binding code sets out how to act consistently with the public sector values </w:t>
      </w:r>
      <w:r w:rsidR="008406DF" w:rsidRPr="00B76FE2">
        <w:rPr>
          <w:lang w:val="en"/>
        </w:rPr>
        <w:t>in s</w:t>
      </w:r>
      <w:r w:rsidR="005E3068" w:rsidRPr="00B76FE2">
        <w:rPr>
          <w:lang w:val="en"/>
        </w:rPr>
        <w:t xml:space="preserve"> 7 of the PAA. By following the c</w:t>
      </w:r>
      <w:r w:rsidR="003E21E2" w:rsidRPr="00B76FE2">
        <w:rPr>
          <w:lang w:val="en"/>
        </w:rPr>
        <w:t xml:space="preserve">ode, you will </w:t>
      </w:r>
      <w:r w:rsidR="00932B46" w:rsidRPr="00B76FE2">
        <w:rPr>
          <w:lang w:val="en"/>
        </w:rPr>
        <w:t xml:space="preserve">also </w:t>
      </w:r>
      <w:r w:rsidR="003E21E2" w:rsidRPr="00B76FE2">
        <w:rPr>
          <w:lang w:val="en"/>
        </w:rPr>
        <w:t xml:space="preserve">comply with the general </w:t>
      </w:r>
      <w:r w:rsidR="00932B46" w:rsidRPr="00B76FE2">
        <w:rPr>
          <w:lang w:val="en"/>
        </w:rPr>
        <w:t>duties of directors (</w:t>
      </w:r>
      <w:r w:rsidR="008406DF" w:rsidRPr="00B76FE2">
        <w:rPr>
          <w:lang w:val="en"/>
        </w:rPr>
        <w:t>board members) in s</w:t>
      </w:r>
      <w:r w:rsidR="003E21E2" w:rsidRPr="00B76FE2">
        <w:rPr>
          <w:lang w:val="en"/>
        </w:rPr>
        <w:t xml:space="preserve"> 79 of the PAA.</w:t>
      </w:r>
    </w:p>
    <w:p w:rsidR="00B14F72" w:rsidRPr="005E3068" w:rsidRDefault="00B14F72" w:rsidP="00B14F72">
      <w:pPr>
        <w:pStyle w:val="Heading1"/>
        <w:spacing w:before="300" w:after="0"/>
        <w:jc w:val="center"/>
      </w:pPr>
      <w:r>
        <w:t>************</w:t>
      </w:r>
    </w:p>
    <w:p w:rsidR="00B14F72" w:rsidRPr="000978E5" w:rsidRDefault="00B14F72" w:rsidP="00B14F72">
      <w:pPr>
        <w:pStyle w:val="Heading2"/>
        <w:spacing w:line="288" w:lineRule="auto"/>
        <w:rPr>
          <w:sz w:val="24"/>
          <w:szCs w:val="24"/>
          <w:lang w:val="en"/>
        </w:rPr>
      </w:pPr>
      <w:bookmarkStart w:id="3" w:name="your"/>
      <w:r w:rsidRPr="000978E5">
        <w:rPr>
          <w:sz w:val="24"/>
          <w:szCs w:val="24"/>
          <w:lang w:val="en"/>
        </w:rPr>
        <w:t xml:space="preserve">The following are some </w:t>
      </w:r>
      <w:r w:rsidR="003850E5" w:rsidRPr="000978E5">
        <w:rPr>
          <w:sz w:val="24"/>
          <w:szCs w:val="24"/>
          <w:lang w:val="en"/>
        </w:rPr>
        <w:t>key</w:t>
      </w:r>
      <w:r w:rsidRPr="000978E5">
        <w:rPr>
          <w:sz w:val="24"/>
          <w:szCs w:val="24"/>
          <w:lang w:val="en"/>
        </w:rPr>
        <w:t xml:space="preserve"> aspects of being a board member that you should </w:t>
      </w:r>
      <w:r w:rsidR="000D7650" w:rsidRPr="000978E5">
        <w:rPr>
          <w:sz w:val="24"/>
          <w:szCs w:val="24"/>
          <w:lang w:val="en"/>
        </w:rPr>
        <w:t xml:space="preserve">familiarise yourself </w:t>
      </w:r>
      <w:r w:rsidR="00F97A1B" w:rsidRPr="000978E5">
        <w:rPr>
          <w:sz w:val="24"/>
          <w:szCs w:val="24"/>
          <w:lang w:val="en"/>
        </w:rPr>
        <w:t xml:space="preserve">with </w:t>
      </w:r>
      <w:r w:rsidRPr="000978E5">
        <w:rPr>
          <w:sz w:val="24"/>
          <w:szCs w:val="24"/>
          <w:lang w:val="en"/>
        </w:rPr>
        <w:t>and act in accordance with:</w:t>
      </w:r>
    </w:p>
    <w:p w:rsidR="003E21E2" w:rsidRDefault="00672EF5" w:rsidP="003E21E2">
      <w:pPr>
        <w:pStyle w:val="Heading1"/>
        <w:rPr>
          <w:lang w:val="en"/>
        </w:rPr>
      </w:pPr>
      <w:r>
        <w:rPr>
          <w:lang w:val="en"/>
        </w:rPr>
        <w:t>A</w:t>
      </w:r>
      <w:r w:rsidR="003E21E2">
        <w:rPr>
          <w:lang w:val="en"/>
        </w:rPr>
        <w:t>ppointment and tenure</w:t>
      </w:r>
      <w:bookmarkEnd w:id="3"/>
    </w:p>
    <w:p w:rsidR="003E21E2" w:rsidRDefault="003E21E2" w:rsidP="003E21E2">
      <w:pPr>
        <w:rPr>
          <w:szCs w:val="21"/>
          <w:lang w:val="en"/>
        </w:rPr>
      </w:pPr>
      <w:r>
        <w:t>You should familiarise yourself with the basics of your appointment</w:t>
      </w:r>
      <w:r w:rsidR="00672EF5">
        <w:t xml:space="preserve"> and conditions of tenure</w:t>
      </w:r>
      <w:r>
        <w:t>, for example:</w:t>
      </w:r>
    </w:p>
    <w:p w:rsidR="003E21E2" w:rsidRPr="00870499" w:rsidRDefault="006A14FF" w:rsidP="00870499">
      <w:pPr>
        <w:pStyle w:val="ListBullet"/>
        <w:keepLines/>
        <w:numPr>
          <w:ilvl w:val="0"/>
          <w:numId w:val="48"/>
        </w:numPr>
        <w:tabs>
          <w:tab w:val="clear" w:pos="170"/>
          <w:tab w:val="clear" w:pos="567"/>
          <w:tab w:val="left" w:pos="851"/>
        </w:tabs>
        <w:spacing w:before="100" w:after="100" w:line="260" w:lineRule="atLeast"/>
        <w:rPr>
          <w:lang w:val="en"/>
        </w:rPr>
      </w:pPr>
      <w:r>
        <w:rPr>
          <w:lang w:val="en"/>
        </w:rPr>
        <w:t>your</w:t>
      </w:r>
      <w:r w:rsidR="003E21E2">
        <w:rPr>
          <w:lang w:val="en"/>
        </w:rPr>
        <w:t xml:space="preserve"> </w:t>
      </w:r>
      <w:r w:rsidR="00E40235">
        <w:rPr>
          <w:lang w:val="en"/>
        </w:rPr>
        <w:t>instrument of appointment (</w:t>
      </w:r>
      <w:r w:rsidR="003E21E2">
        <w:rPr>
          <w:lang w:val="en"/>
        </w:rPr>
        <w:t xml:space="preserve">the document appointing you as a </w:t>
      </w:r>
      <w:r w:rsidR="00E40235">
        <w:rPr>
          <w:lang w:val="en"/>
        </w:rPr>
        <w:t xml:space="preserve">board </w:t>
      </w:r>
      <w:r w:rsidR="003E21E2">
        <w:rPr>
          <w:lang w:val="en"/>
        </w:rPr>
        <w:t>memb</w:t>
      </w:r>
      <w:r w:rsidR="00E40235">
        <w:rPr>
          <w:lang w:val="en"/>
        </w:rPr>
        <w:t xml:space="preserve">er). It includes </w:t>
      </w:r>
      <w:r w:rsidR="003E21E2" w:rsidRPr="00E40235">
        <w:rPr>
          <w:lang w:val="en"/>
        </w:rPr>
        <w:t>terms and conditions of your appointment</w:t>
      </w:r>
      <w:r>
        <w:rPr>
          <w:lang w:val="en"/>
        </w:rPr>
        <w:t xml:space="preserve"> – e.g. duration of appointment;</w:t>
      </w:r>
      <w:r w:rsidR="00870499">
        <w:rPr>
          <w:lang w:val="en"/>
        </w:rPr>
        <w:t xml:space="preserve"> remuneration (if any) and eligibility for reimbursement of expenses</w:t>
      </w:r>
      <w:r w:rsidR="003E21E2" w:rsidRPr="00870499">
        <w:rPr>
          <w:lang w:val="en"/>
        </w:rPr>
        <w:t xml:space="preserve">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performance expectations and assessment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the process required by law if you decide to tender your resignation - an email will not d</w:t>
      </w:r>
      <w:bookmarkStart w:id="4" w:name="_GoBack"/>
      <w:bookmarkEnd w:id="4"/>
      <w:r>
        <w:rPr>
          <w:lang w:val="en"/>
        </w:rPr>
        <w:t>o!</w:t>
      </w:r>
    </w:p>
    <w:p w:rsidR="002253EC" w:rsidRPr="002253EC" w:rsidRDefault="002253EC" w:rsidP="002253EC">
      <w:pPr>
        <w:pStyle w:val="ListBullet"/>
        <w:keepLines/>
        <w:numPr>
          <w:ilvl w:val="0"/>
          <w:numId w:val="48"/>
        </w:numPr>
        <w:tabs>
          <w:tab w:val="clear" w:pos="170"/>
          <w:tab w:val="clear" w:pos="567"/>
          <w:tab w:val="left" w:pos="851"/>
        </w:tabs>
        <w:spacing w:before="100" w:after="100" w:line="260" w:lineRule="atLeast"/>
        <w:rPr>
          <w:lang w:val="en"/>
        </w:rPr>
      </w:pPr>
      <w:r>
        <w:rPr>
          <w:lang w:val="en"/>
        </w:rPr>
        <w:t>what you must do if you decide to stand for election to parliament or a local council (DELWP has a guidance note on this topic in the</w:t>
      </w:r>
      <w:r w:rsidR="00E67421">
        <w:rPr>
          <w:lang w:val="en"/>
        </w:rPr>
        <w:t xml:space="preserve"> </w:t>
      </w:r>
      <w:hyperlink r:id="rId20" w:history="1">
        <w:r w:rsidR="00E67421" w:rsidRPr="00E67421">
          <w:rPr>
            <w:rStyle w:val="Hyperlink"/>
            <w:lang w:val="en"/>
          </w:rPr>
          <w:t>Terms and conditions of appointment</w:t>
        </w:r>
      </w:hyperlink>
      <w:r>
        <w:rPr>
          <w:lang w:val="en"/>
        </w:rPr>
        <w:t xml:space="preserve"> support module)</w:t>
      </w:r>
      <w:r w:rsidR="00E67421">
        <w:rPr>
          <w:lang w:val="en"/>
        </w:rPr>
        <w:t>.</w:t>
      </w:r>
    </w:p>
    <w:p w:rsidR="003E21E2" w:rsidRDefault="007B62D9" w:rsidP="003E21E2">
      <w:pPr>
        <w:rPr>
          <w:lang w:val="en"/>
        </w:rPr>
      </w:pPr>
      <w:r>
        <w:rPr>
          <w:lang w:val="en"/>
        </w:rPr>
        <w:br w:type="column"/>
      </w:r>
      <w:r w:rsidR="003E21E2">
        <w:rPr>
          <w:lang w:val="en"/>
        </w:rPr>
        <w:lastRenderedPageBreak/>
        <w:t>You may also wish to familiarise yourself with:</w:t>
      </w:r>
    </w:p>
    <w:p w:rsidR="003E21E2" w:rsidRDefault="00E20F69"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the recommended </w:t>
      </w:r>
      <w:r w:rsidR="003E21E2">
        <w:rPr>
          <w:lang w:val="en"/>
        </w:rPr>
        <w:t xml:space="preserve">induction </w:t>
      </w:r>
      <w:hyperlink r:id="rId21" w:history="1">
        <w:r w:rsidRPr="00E20F69">
          <w:rPr>
            <w:rStyle w:val="Hyperlink"/>
            <w:lang w:val="en"/>
          </w:rPr>
          <w:t>program and kit</w:t>
        </w:r>
      </w:hyperlink>
      <w:r>
        <w:rPr>
          <w:lang w:val="en"/>
        </w:rPr>
        <w:t xml:space="preserve">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succession planning and reappointment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breach of duty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indemnities and insurance.</w:t>
      </w:r>
    </w:p>
    <w:p w:rsidR="00AC7B3C" w:rsidRDefault="00AC7B3C" w:rsidP="00AC7B3C">
      <w:pPr>
        <w:pStyle w:val="Heading1"/>
        <w:rPr>
          <w:lang w:val="en"/>
        </w:rPr>
      </w:pPr>
      <w:bookmarkStart w:id="5" w:name="roles"/>
      <w:bookmarkStart w:id="6" w:name="meetings"/>
      <w:r>
        <w:rPr>
          <w:lang w:val="en"/>
        </w:rPr>
        <w:t>Roles and relationships</w:t>
      </w:r>
      <w:bookmarkEnd w:id="5"/>
    </w:p>
    <w:p w:rsidR="00AC7B3C" w:rsidRDefault="00AC7B3C" w:rsidP="00AC7B3C">
      <w:pPr>
        <w:rPr>
          <w:lang w:val="en"/>
        </w:rPr>
      </w:pPr>
      <w:r>
        <w:rPr>
          <w:lang w:val="en"/>
        </w:rPr>
        <w:t>To be an effective board member, you need to understand the roles of:</w:t>
      </w:r>
    </w:p>
    <w:p w:rsidR="00AC7B3C" w:rsidRPr="00C21047" w:rsidRDefault="00AC7B3C" w:rsidP="00AC7B3C">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Parliament, the minister and </w:t>
      </w:r>
      <w:r w:rsidRPr="00C21047">
        <w:rPr>
          <w:lang w:val="en"/>
        </w:rPr>
        <w:t xml:space="preserve">DELWP </w:t>
      </w:r>
    </w:p>
    <w:p w:rsidR="00AC7B3C" w:rsidRDefault="00AC7B3C" w:rsidP="00AC7B3C">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the board (collectively and individually) </w:t>
      </w:r>
    </w:p>
    <w:p w:rsidR="00AC7B3C" w:rsidRDefault="00AC7B3C" w:rsidP="00AC7B3C">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the chair or convenor </w:t>
      </w:r>
    </w:p>
    <w:p w:rsidR="00AC7B3C" w:rsidRDefault="00AC7B3C" w:rsidP="00AC7B3C">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the CEO or managing director of the agency (or the DELWP executive officer) </w:t>
      </w:r>
    </w:p>
    <w:p w:rsidR="00AC7B3C" w:rsidRDefault="00AC7B3C" w:rsidP="00AC7B3C">
      <w:pPr>
        <w:pStyle w:val="ListBullet"/>
        <w:keepLines/>
        <w:numPr>
          <w:ilvl w:val="0"/>
          <w:numId w:val="48"/>
        </w:numPr>
        <w:tabs>
          <w:tab w:val="clear" w:pos="170"/>
          <w:tab w:val="clear" w:pos="567"/>
          <w:tab w:val="left" w:pos="851"/>
        </w:tabs>
        <w:spacing w:before="100" w:after="100" w:line="260" w:lineRule="atLeast"/>
        <w:rPr>
          <w:lang w:val="en"/>
        </w:rPr>
      </w:pPr>
      <w:r>
        <w:rPr>
          <w:lang w:val="en"/>
        </w:rPr>
        <w:t>other key stakeholders (e.g. 'watchdog' agencies such as the Victorian Ombudsman and the Victorian Auditor-General).</w:t>
      </w:r>
    </w:p>
    <w:p w:rsidR="00AC7B3C" w:rsidRDefault="00AC7B3C" w:rsidP="00AC7B3C">
      <w:pPr>
        <w:pStyle w:val="Heading2"/>
      </w:pPr>
      <w:r>
        <w:t>Section 13A of the PAA</w:t>
      </w:r>
    </w:p>
    <w:p w:rsidR="00AC7B3C" w:rsidRPr="003272FF" w:rsidRDefault="00AC7B3C" w:rsidP="00AC7B3C">
      <w:pPr>
        <w:rPr>
          <w:rFonts w:cs="Arial"/>
        </w:rPr>
      </w:pPr>
      <w:r>
        <w:t xml:space="preserve">The Secretary of a department </w:t>
      </w:r>
      <w:r>
        <w:rPr>
          <w:b/>
        </w:rPr>
        <w:t>oversees</w:t>
      </w:r>
      <w:r>
        <w:t xml:space="preserve"> and </w:t>
      </w:r>
      <w:r>
        <w:rPr>
          <w:b/>
        </w:rPr>
        <w:t>supports</w:t>
      </w:r>
      <w:r>
        <w:t xml:space="preserve"> the agencies in its portfolio on behalf of the responsible minister.</w:t>
      </w:r>
      <w:r w:rsidRPr="001B555D">
        <w:t xml:space="preserve">  </w:t>
      </w:r>
      <w:r>
        <w:rPr>
          <w:rFonts w:cs="Arial"/>
        </w:rPr>
        <w:t xml:space="preserve">You should understand the legal obligations in section 13A of the PAA, which states that: </w:t>
      </w:r>
    </w:p>
    <w:p w:rsidR="00AC7B3C" w:rsidRPr="0075799C" w:rsidRDefault="00AC7B3C" w:rsidP="00AC7B3C">
      <w:pPr>
        <w:pStyle w:val="ListBullet"/>
        <w:keepLines/>
        <w:numPr>
          <w:ilvl w:val="0"/>
          <w:numId w:val="25"/>
        </w:numPr>
        <w:tabs>
          <w:tab w:val="clear" w:pos="170"/>
          <w:tab w:val="clear" w:pos="567"/>
          <w:tab w:val="left" w:pos="851"/>
        </w:tabs>
        <w:spacing w:before="100" w:after="100" w:line="260" w:lineRule="atLeast"/>
      </w:pPr>
      <w:r>
        <w:t xml:space="preserve">the </w:t>
      </w:r>
      <w:r w:rsidRPr="00EE1051">
        <w:t>Secretary</w:t>
      </w:r>
      <w:r>
        <w:t xml:space="preserve"> of DELWP is responsible for: </w:t>
      </w:r>
    </w:p>
    <w:p w:rsidR="00AC7B3C" w:rsidRDefault="00AC7B3C" w:rsidP="00AC7B3C">
      <w:pPr>
        <w:pStyle w:val="ListBullet2"/>
        <w:keepLines/>
        <w:numPr>
          <w:ilvl w:val="1"/>
          <w:numId w:val="25"/>
        </w:numPr>
        <w:tabs>
          <w:tab w:val="clear" w:pos="340"/>
          <w:tab w:val="left" w:pos="851"/>
        </w:tabs>
        <w:spacing w:before="100" w:line="260" w:lineRule="atLeast"/>
      </w:pPr>
      <w:r>
        <w:t xml:space="preserve">advising the minister on matters relating to each public entity, including ‘the discharge by the public entity of its responsibilities’ under its establishing Act, the PAA, and any other relevant Act; and </w:t>
      </w:r>
    </w:p>
    <w:p w:rsidR="00AC7B3C" w:rsidRDefault="00AC7B3C" w:rsidP="00AC7B3C">
      <w:pPr>
        <w:pStyle w:val="ListBullet2"/>
        <w:keepLines/>
        <w:numPr>
          <w:ilvl w:val="1"/>
          <w:numId w:val="25"/>
        </w:numPr>
        <w:tabs>
          <w:tab w:val="clear" w:pos="340"/>
          <w:tab w:val="left" w:pos="851"/>
        </w:tabs>
        <w:spacing w:before="100" w:line="260" w:lineRule="atLeast"/>
      </w:pPr>
      <w:r>
        <w:t>‘working with and providing guidance to’ a public entity on matters relating to ‘public administration and governance’.</w:t>
      </w:r>
    </w:p>
    <w:p w:rsidR="00AC7B3C" w:rsidRDefault="00AC7B3C" w:rsidP="00AC7B3C">
      <w:pPr>
        <w:pStyle w:val="ListBullet"/>
        <w:keepLines/>
        <w:numPr>
          <w:ilvl w:val="0"/>
          <w:numId w:val="25"/>
        </w:numPr>
        <w:tabs>
          <w:tab w:val="clear" w:pos="170"/>
          <w:tab w:val="clear" w:pos="567"/>
          <w:tab w:val="left" w:pos="851"/>
        </w:tabs>
        <w:spacing w:before="100" w:after="100" w:line="260" w:lineRule="atLeast"/>
      </w:pPr>
      <w:r>
        <w:t xml:space="preserve">a </w:t>
      </w:r>
      <w:r w:rsidRPr="00194823">
        <w:t>public entity</w:t>
      </w:r>
      <w:r>
        <w:t xml:space="preserve"> (unless prohibited by law) </w:t>
      </w:r>
      <w:r w:rsidRPr="006451C9">
        <w:t>must</w:t>
      </w:r>
      <w:r w:rsidRPr="00632D6B">
        <w:rPr>
          <w:b/>
        </w:rPr>
        <w:t xml:space="preserve"> </w:t>
      </w:r>
      <w:r w:rsidRPr="00CE4DD7">
        <w:t>provide</w:t>
      </w:r>
      <w:r w:rsidRPr="00632D6B">
        <w:t xml:space="preserve"> the Secretary with </w:t>
      </w:r>
      <w:r w:rsidRPr="006451C9">
        <w:rPr>
          <w:i/>
        </w:rPr>
        <w:t>any information</w:t>
      </w:r>
      <w:r w:rsidRPr="00632D6B">
        <w:rPr>
          <w:b/>
        </w:rPr>
        <w:t xml:space="preserve"> </w:t>
      </w:r>
      <w:r w:rsidRPr="00632D6B">
        <w:t>that he or she requires</w:t>
      </w:r>
      <w:r>
        <w:t xml:space="preserve"> to comply with his/her obligations under section 13A.</w:t>
      </w:r>
    </w:p>
    <w:p w:rsidR="00AC7B3C" w:rsidRPr="006451C9" w:rsidRDefault="00AC7B3C" w:rsidP="00AC7B3C">
      <w:r>
        <w:t>Note that section 13A</w:t>
      </w:r>
      <w:r w:rsidRPr="001B555D">
        <w:t xml:space="preserve"> do</w:t>
      </w:r>
      <w:r>
        <w:t>es</w:t>
      </w:r>
      <w:r w:rsidRPr="001B555D">
        <w:t xml:space="preserve"> not give the Secretary power to direct or control how </w:t>
      </w:r>
      <w:r>
        <w:t>a</w:t>
      </w:r>
      <w:r w:rsidRPr="001B555D">
        <w:t xml:space="preserve"> public entity performs the functions conferred by </w:t>
      </w:r>
      <w:r>
        <w:t>its</w:t>
      </w:r>
      <w:r w:rsidRPr="001B555D">
        <w:t xml:space="preserve"> esta</w:t>
      </w:r>
      <w:r>
        <w:t>blishing Act, the PAA, or any other Acts.</w:t>
      </w:r>
    </w:p>
    <w:p w:rsidR="00E954EF" w:rsidRDefault="00E954EF" w:rsidP="00E954EF">
      <w:pPr>
        <w:pStyle w:val="Heading1"/>
        <w:rPr>
          <w:lang w:val="en"/>
        </w:rPr>
      </w:pPr>
      <w:bookmarkStart w:id="7" w:name="over"/>
      <w:r>
        <w:rPr>
          <w:lang w:val="en"/>
        </w:rPr>
        <w:lastRenderedPageBreak/>
        <w:t xml:space="preserve">Over-arching obligations and </w:t>
      </w:r>
      <w:bookmarkEnd w:id="7"/>
      <w:r>
        <w:rPr>
          <w:lang w:val="en"/>
        </w:rPr>
        <w:t>good practice requirements</w:t>
      </w:r>
    </w:p>
    <w:p w:rsidR="00E954EF" w:rsidRDefault="00E954EF" w:rsidP="00E954EF">
      <w:pPr>
        <w:rPr>
          <w:lang w:val="en"/>
        </w:rPr>
      </w:pPr>
      <w:r>
        <w:rPr>
          <w:lang w:val="en"/>
        </w:rPr>
        <w:t>Over-arching obligations and good practice requirements require that your board:</w:t>
      </w:r>
    </w:p>
    <w:p w:rsidR="00E954EF" w:rsidRPr="00427F35" w:rsidRDefault="00E954EF" w:rsidP="00E954EF">
      <w:pPr>
        <w:pStyle w:val="ListBullet"/>
        <w:keepLines/>
        <w:numPr>
          <w:ilvl w:val="0"/>
          <w:numId w:val="48"/>
        </w:numPr>
        <w:tabs>
          <w:tab w:val="clear" w:pos="170"/>
          <w:tab w:val="clear" w:pos="567"/>
          <w:tab w:val="left" w:pos="851"/>
        </w:tabs>
        <w:spacing w:before="100" w:after="100" w:line="260" w:lineRule="atLeast"/>
        <w:rPr>
          <w:lang w:val="en"/>
        </w:rPr>
      </w:pPr>
      <w:r>
        <w:rPr>
          <w:lang w:val="en"/>
        </w:rPr>
        <w:t>act in accordance with its collective accountability to the minister</w:t>
      </w:r>
    </w:p>
    <w:p w:rsidR="00E954EF" w:rsidRDefault="00E954EF" w:rsidP="00E954EF">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ensure that all of its actions and decisions are consistent with the agency's functions and powers </w:t>
      </w:r>
    </w:p>
    <w:p w:rsidR="00E954EF" w:rsidRPr="00427F35" w:rsidRDefault="00E954EF" w:rsidP="00E954EF">
      <w:pPr>
        <w:pStyle w:val="ListBullet"/>
        <w:keepLines/>
        <w:numPr>
          <w:ilvl w:val="0"/>
          <w:numId w:val="48"/>
        </w:numPr>
        <w:tabs>
          <w:tab w:val="clear" w:pos="170"/>
          <w:tab w:val="clear" w:pos="567"/>
          <w:tab w:val="left" w:pos="851"/>
        </w:tabs>
        <w:spacing w:before="100" w:after="100" w:line="260" w:lineRule="atLeast"/>
        <w:rPr>
          <w:lang w:val="en"/>
        </w:rPr>
      </w:pPr>
      <w:r>
        <w:rPr>
          <w:lang w:val="en"/>
        </w:rPr>
        <w:t>make decisions in the public interest</w:t>
      </w:r>
    </w:p>
    <w:p w:rsidR="00E954EF" w:rsidRDefault="00E954EF" w:rsidP="00E954EF">
      <w:pPr>
        <w:pStyle w:val="ListBullet"/>
        <w:keepLines/>
        <w:numPr>
          <w:ilvl w:val="0"/>
          <w:numId w:val="48"/>
        </w:numPr>
        <w:tabs>
          <w:tab w:val="clear" w:pos="170"/>
          <w:tab w:val="clear" w:pos="567"/>
          <w:tab w:val="left" w:pos="851"/>
        </w:tabs>
        <w:spacing w:before="100" w:after="100" w:line="260" w:lineRule="atLeast"/>
        <w:rPr>
          <w:lang w:val="en"/>
        </w:rPr>
      </w:pPr>
      <w:r>
        <w:rPr>
          <w:lang w:val="en"/>
        </w:rPr>
        <w:t>inform the minister and the Secretary of DELWP of all known major risks to the effective operation of the agency (including emerging risks) and of the systems that are in place to address those risks</w:t>
      </w:r>
    </w:p>
    <w:p w:rsidR="00E954EF" w:rsidRPr="003B245E" w:rsidRDefault="00E954EF" w:rsidP="00E954EF">
      <w:pPr>
        <w:pStyle w:val="ListBullet"/>
        <w:keepLines/>
        <w:numPr>
          <w:ilvl w:val="0"/>
          <w:numId w:val="48"/>
        </w:numPr>
        <w:tabs>
          <w:tab w:val="clear" w:pos="170"/>
          <w:tab w:val="clear" w:pos="567"/>
          <w:tab w:val="left" w:pos="851"/>
        </w:tabs>
        <w:spacing w:before="100" w:after="100" w:line="260" w:lineRule="atLeast"/>
        <w:rPr>
          <w:lang w:val="en"/>
        </w:rPr>
      </w:pPr>
      <w:r>
        <w:rPr>
          <w:lang w:val="en"/>
        </w:rPr>
        <w:t>unless prohibited from doing so by law, provide the minister and DELWP, in its role as an ‘extension of the minister’, with any information about the agency and its operations that is requested.</w:t>
      </w:r>
    </w:p>
    <w:p w:rsidR="00E954EF" w:rsidRPr="00672EF5" w:rsidRDefault="00E954EF" w:rsidP="00E954EF">
      <w:pPr>
        <w:pStyle w:val="Heading1"/>
        <w:spacing w:before="160" w:after="80"/>
        <w:rPr>
          <w:lang w:val="en"/>
        </w:rPr>
      </w:pPr>
      <w:r w:rsidRPr="00672EF5">
        <w:rPr>
          <w:lang w:val="en"/>
        </w:rPr>
        <w:t>Essential board policies</w:t>
      </w:r>
    </w:p>
    <w:p w:rsidR="00E954EF" w:rsidRDefault="00E954EF" w:rsidP="00E954EF">
      <w:pPr>
        <w:spacing w:after="100"/>
        <w:rPr>
          <w:lang w:val="en"/>
        </w:rPr>
      </w:pPr>
      <w:r>
        <w:rPr>
          <w:lang w:val="en"/>
        </w:rPr>
        <w:t>As a board member, you should ensure that:</w:t>
      </w:r>
    </w:p>
    <w:p w:rsidR="00E954EF" w:rsidRDefault="00E954EF" w:rsidP="00E954EF">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your agency has the required board policies in place </w:t>
      </w:r>
    </w:p>
    <w:p w:rsidR="00E954EF" w:rsidRDefault="00E954EF" w:rsidP="00E954EF">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these policies are updated regularly </w:t>
      </w:r>
    </w:p>
    <w:p w:rsidR="00E954EF" w:rsidRDefault="00E954EF" w:rsidP="00E954EF">
      <w:pPr>
        <w:pStyle w:val="ListBullet"/>
        <w:keepLines/>
        <w:numPr>
          <w:ilvl w:val="0"/>
          <w:numId w:val="48"/>
        </w:numPr>
        <w:tabs>
          <w:tab w:val="clear" w:pos="170"/>
          <w:tab w:val="clear" w:pos="567"/>
          <w:tab w:val="left" w:pos="851"/>
        </w:tabs>
        <w:spacing w:before="100" w:after="100" w:line="260" w:lineRule="atLeast"/>
        <w:rPr>
          <w:lang w:val="en"/>
        </w:rPr>
      </w:pPr>
      <w:r>
        <w:rPr>
          <w:lang w:val="en"/>
        </w:rPr>
        <w:t>you comply with these policies at all times.</w:t>
      </w:r>
    </w:p>
    <w:p w:rsidR="00E954EF" w:rsidRDefault="00E954EF" w:rsidP="00E954EF">
      <w:pPr>
        <w:spacing w:after="100"/>
        <w:rPr>
          <w:lang w:val="en"/>
        </w:rPr>
      </w:pPr>
      <w:r>
        <w:rPr>
          <w:lang w:val="en"/>
        </w:rPr>
        <w:t>Essential board policies under section 81 of the PAA are:</w:t>
      </w:r>
    </w:p>
    <w:bookmarkStart w:id="8" w:name="model"/>
    <w:p w:rsidR="00E954EF" w:rsidRDefault="00E954EF" w:rsidP="00E954EF">
      <w:pPr>
        <w:pStyle w:val="ListBullet"/>
        <w:numPr>
          <w:ilvl w:val="0"/>
          <w:numId w:val="49"/>
        </w:numPr>
        <w:tabs>
          <w:tab w:val="clear" w:pos="170"/>
          <w:tab w:val="left" w:pos="284"/>
          <w:tab w:val="num" w:pos="340"/>
          <w:tab w:val="left" w:pos="851"/>
          <w:tab w:val="left" w:pos="1134"/>
          <w:tab w:val="left" w:pos="1418"/>
        </w:tabs>
        <w:spacing w:before="100" w:after="100" w:line="230" w:lineRule="atLeast"/>
        <w:ind w:left="357" w:hanging="357"/>
      </w:pPr>
      <w:r>
        <w:rPr>
          <w:color w:val="1C1C1C"/>
        </w:rPr>
        <w:fldChar w:fldCharType="begin"/>
      </w:r>
      <w:r>
        <w:instrText xml:space="preserve"> HYPERLINK "http://www.depi.vic.gov.au/about-us/boards-and-governance/on-board-governance-guides-and-resources/meetings-and-decision-making" </w:instrText>
      </w:r>
      <w:r w:rsidR="004E0CD3">
        <w:rPr>
          <w:color w:val="1C1C1C"/>
        </w:rPr>
      </w:r>
      <w:r>
        <w:rPr>
          <w:color w:val="1C1C1C"/>
        </w:rPr>
        <w:fldChar w:fldCharType="separate"/>
      </w:r>
      <w:r>
        <w:rPr>
          <w:rStyle w:val="Hyperlink"/>
        </w:rPr>
        <w:t>Board meetings and decision-making</w:t>
      </w:r>
      <w:r>
        <w:rPr>
          <w:rStyle w:val="Hyperlink"/>
        </w:rPr>
        <w:fldChar w:fldCharType="end"/>
      </w:r>
      <w:r>
        <w:t xml:space="preserve"> </w:t>
      </w:r>
    </w:p>
    <w:p w:rsidR="00E954EF" w:rsidRDefault="004E0CD3" w:rsidP="00E954EF">
      <w:pPr>
        <w:pStyle w:val="ListBullet"/>
        <w:numPr>
          <w:ilvl w:val="0"/>
          <w:numId w:val="49"/>
        </w:numPr>
        <w:tabs>
          <w:tab w:val="clear" w:pos="170"/>
          <w:tab w:val="left" w:pos="284"/>
          <w:tab w:val="num" w:pos="340"/>
          <w:tab w:val="left" w:pos="851"/>
          <w:tab w:val="left" w:pos="1134"/>
          <w:tab w:val="left" w:pos="1418"/>
        </w:tabs>
        <w:spacing w:before="100" w:after="100" w:line="230" w:lineRule="atLeast"/>
        <w:ind w:left="357" w:hanging="357"/>
      </w:pPr>
      <w:hyperlink r:id="rId22" w:history="1">
        <w:r w:rsidR="00E954EF">
          <w:rPr>
            <w:rStyle w:val="Hyperlink"/>
          </w:rPr>
          <w:t>Code of conduct</w:t>
        </w:r>
      </w:hyperlink>
    </w:p>
    <w:p w:rsidR="00E954EF" w:rsidRDefault="004E0CD3" w:rsidP="00E954EF">
      <w:pPr>
        <w:pStyle w:val="ListBullet"/>
        <w:numPr>
          <w:ilvl w:val="0"/>
          <w:numId w:val="49"/>
        </w:numPr>
        <w:tabs>
          <w:tab w:val="clear" w:pos="170"/>
          <w:tab w:val="left" w:pos="284"/>
          <w:tab w:val="num" w:pos="340"/>
          <w:tab w:val="left" w:pos="851"/>
          <w:tab w:val="left" w:pos="1134"/>
          <w:tab w:val="left" w:pos="1418"/>
        </w:tabs>
        <w:spacing w:before="100" w:after="100" w:line="230" w:lineRule="atLeast"/>
        <w:ind w:left="357" w:hanging="357"/>
      </w:pPr>
      <w:hyperlink r:id="rId23" w:history="1">
        <w:r w:rsidR="00E954EF">
          <w:rPr>
            <w:rStyle w:val="Hyperlink"/>
          </w:rPr>
          <w:t>Conflict of interest</w:t>
        </w:r>
      </w:hyperlink>
    </w:p>
    <w:p w:rsidR="00E954EF" w:rsidRDefault="004E0CD3" w:rsidP="00E954EF">
      <w:pPr>
        <w:pStyle w:val="ListBullet"/>
        <w:numPr>
          <w:ilvl w:val="0"/>
          <w:numId w:val="49"/>
        </w:numPr>
        <w:tabs>
          <w:tab w:val="clear" w:pos="170"/>
          <w:tab w:val="left" w:pos="284"/>
          <w:tab w:val="num" w:pos="340"/>
          <w:tab w:val="left" w:pos="851"/>
          <w:tab w:val="left" w:pos="1134"/>
          <w:tab w:val="left" w:pos="1418"/>
        </w:tabs>
        <w:spacing w:before="100" w:after="100" w:line="230" w:lineRule="atLeast"/>
        <w:ind w:left="357" w:hanging="357"/>
      </w:pPr>
      <w:hyperlink r:id="rId24" w:history="1">
        <w:r w:rsidR="00E954EF">
          <w:rPr>
            <w:rStyle w:val="Hyperlink"/>
          </w:rPr>
          <w:t>Dispute resolution</w:t>
        </w:r>
      </w:hyperlink>
    </w:p>
    <w:p w:rsidR="00E954EF" w:rsidRDefault="004E0CD3" w:rsidP="00E954EF">
      <w:pPr>
        <w:pStyle w:val="ListBullet"/>
        <w:numPr>
          <w:ilvl w:val="0"/>
          <w:numId w:val="49"/>
        </w:numPr>
        <w:tabs>
          <w:tab w:val="clear" w:pos="170"/>
          <w:tab w:val="left" w:pos="284"/>
          <w:tab w:val="num" w:pos="340"/>
          <w:tab w:val="left" w:pos="851"/>
          <w:tab w:val="left" w:pos="1134"/>
          <w:tab w:val="left" w:pos="1418"/>
        </w:tabs>
        <w:spacing w:before="100" w:after="100" w:line="230" w:lineRule="atLeast"/>
        <w:ind w:left="357" w:hanging="357"/>
      </w:pPr>
      <w:hyperlink r:id="rId25" w:history="1">
        <w:r w:rsidR="00E954EF">
          <w:rPr>
            <w:rStyle w:val="Hyperlink"/>
          </w:rPr>
          <w:t>Gifts, benefits, and hospitality</w:t>
        </w:r>
      </w:hyperlink>
    </w:p>
    <w:p w:rsidR="00E954EF" w:rsidRDefault="004E0CD3" w:rsidP="00E954EF">
      <w:pPr>
        <w:pStyle w:val="ListBullet"/>
        <w:numPr>
          <w:ilvl w:val="0"/>
          <w:numId w:val="49"/>
        </w:numPr>
        <w:tabs>
          <w:tab w:val="clear" w:pos="170"/>
          <w:tab w:val="left" w:pos="284"/>
          <w:tab w:val="num" w:pos="340"/>
          <w:tab w:val="left" w:pos="851"/>
          <w:tab w:val="left" w:pos="1134"/>
          <w:tab w:val="left" w:pos="1418"/>
        </w:tabs>
        <w:spacing w:before="100" w:after="100" w:line="230" w:lineRule="atLeast"/>
        <w:ind w:left="357" w:hanging="357"/>
      </w:pPr>
      <w:hyperlink r:id="rId26" w:history="1">
        <w:r w:rsidR="00E954EF">
          <w:rPr>
            <w:rStyle w:val="Hyperlink"/>
          </w:rPr>
          <w:t>Performance assessment</w:t>
        </w:r>
      </w:hyperlink>
      <w:r w:rsidR="00E954EF">
        <w:t>.</w:t>
      </w:r>
    </w:p>
    <w:p w:rsidR="00E954EF" w:rsidRDefault="00E954EF" w:rsidP="00E954EF">
      <w:pPr>
        <w:pStyle w:val="Heading2"/>
        <w:rPr>
          <w:lang w:val="en"/>
        </w:rPr>
      </w:pPr>
      <w:r>
        <w:rPr>
          <w:lang w:val="en"/>
        </w:rPr>
        <w:t>Model policies</w:t>
      </w:r>
      <w:bookmarkEnd w:id="8"/>
    </w:p>
    <w:p w:rsidR="00E954EF" w:rsidRDefault="00E954EF" w:rsidP="00233FDF">
      <w:pPr>
        <w:rPr>
          <w:lang w:val="en"/>
        </w:rPr>
      </w:pPr>
      <w:r>
        <w:rPr>
          <w:lang w:val="en"/>
        </w:rPr>
        <w:t xml:space="preserve">DELWP offers </w:t>
      </w:r>
      <w:hyperlink r:id="rId27" w:history="1">
        <w:r w:rsidRPr="00F35776">
          <w:rPr>
            <w:rStyle w:val="Strong"/>
            <w:b w:val="0"/>
            <w:color w:val="333333"/>
            <w:lang w:val="en"/>
          </w:rPr>
          <w:t>model policies</w:t>
        </w:r>
        <w:r w:rsidRPr="00F63FB6">
          <w:t xml:space="preserve"> </w:t>
        </w:r>
      </w:hyperlink>
      <w:r>
        <w:rPr>
          <w:lang w:val="en"/>
        </w:rPr>
        <w:t xml:space="preserve">on each of the above topics (available from </w:t>
      </w:r>
      <w:hyperlink r:id="rId28" w:history="1">
        <w:r w:rsidRPr="00F35776">
          <w:rPr>
            <w:rStyle w:val="Hyperlink"/>
            <w:lang w:val="en"/>
          </w:rPr>
          <w:t>On Board</w:t>
        </w:r>
      </w:hyperlink>
      <w:r w:rsidRPr="00F35776">
        <w:rPr>
          <w:lang w:val="en"/>
        </w:rPr>
        <w:t>).</w:t>
      </w:r>
      <w:r>
        <w:rPr>
          <w:lang w:val="en"/>
        </w:rPr>
        <w:t xml:space="preserve">  Your board</w:t>
      </w:r>
      <w:r w:rsidR="00233FDF">
        <w:rPr>
          <w:lang w:val="en"/>
        </w:rPr>
        <w:t>’s policies should be consistent with these model policies.</w:t>
      </w:r>
      <w:r>
        <w:rPr>
          <w:lang w:val="en"/>
        </w:rPr>
        <w:t xml:space="preserve"> </w:t>
      </w:r>
    </w:p>
    <w:p w:rsidR="00E954EF" w:rsidRDefault="00E954EF" w:rsidP="00E954EF">
      <w:pPr>
        <w:rPr>
          <w:lang w:val="en"/>
        </w:rPr>
      </w:pPr>
      <w:r>
        <w:rPr>
          <w:lang w:val="en"/>
        </w:rPr>
        <w:t>If your agency’s establishing Act or terms of reference contain specific requirements in relation to any of these topics, your board will need to adapt the relevant model policy accordingly.</w:t>
      </w:r>
    </w:p>
    <w:p w:rsidR="003E21E2" w:rsidRDefault="003E21E2" w:rsidP="001C3B13">
      <w:pPr>
        <w:pStyle w:val="Heading1"/>
        <w:spacing w:before="0" w:after="80"/>
        <w:rPr>
          <w:lang w:val="en"/>
        </w:rPr>
      </w:pPr>
      <w:r>
        <w:rPr>
          <w:lang w:val="en"/>
        </w:rPr>
        <w:lastRenderedPageBreak/>
        <w:t xml:space="preserve">Board meetings and decisions </w:t>
      </w:r>
      <w:bookmarkEnd w:id="6"/>
    </w:p>
    <w:p w:rsidR="003E21E2" w:rsidRDefault="003E21E2" w:rsidP="003E21E2">
      <w:pPr>
        <w:rPr>
          <w:lang w:val="en"/>
        </w:rPr>
      </w:pPr>
      <w:r>
        <w:rPr>
          <w:lang w:val="en"/>
        </w:rPr>
        <w:t xml:space="preserve">You </w:t>
      </w:r>
      <w:r w:rsidR="00BC6E1B">
        <w:rPr>
          <w:lang w:val="en"/>
        </w:rPr>
        <w:t>must</w:t>
      </w:r>
      <w:r>
        <w:rPr>
          <w:lang w:val="en"/>
        </w:rPr>
        <w:t xml:space="preserve"> understand the requirements for the conduct of board meetings (e.g. conflicts of interest, quorum, minutes</w:t>
      </w:r>
      <w:r w:rsidR="00BC6E1B">
        <w:rPr>
          <w:lang w:val="en"/>
        </w:rPr>
        <w:t>, confidentiality</w:t>
      </w:r>
      <w:r>
        <w:rPr>
          <w:lang w:val="en"/>
        </w:rPr>
        <w:t>). In particular, understand:</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the requirements for ensuring that the board's decisions are both </w:t>
      </w:r>
      <w:r>
        <w:rPr>
          <w:rStyle w:val="Strong"/>
          <w:lang w:val="en"/>
        </w:rPr>
        <w:t>valid</w:t>
      </w:r>
      <w:r>
        <w:rPr>
          <w:lang w:val="en"/>
        </w:rPr>
        <w:t xml:space="preserve"> and in the </w:t>
      </w:r>
      <w:r>
        <w:rPr>
          <w:rStyle w:val="Strong"/>
          <w:lang w:val="en"/>
        </w:rPr>
        <w:t>public interest</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the accountability of </w:t>
      </w:r>
      <w:r w:rsidRPr="00F35776">
        <w:t>each</w:t>
      </w:r>
      <w:r w:rsidRPr="00F35776">
        <w:rPr>
          <w:lang w:val="en"/>
        </w:rPr>
        <w:t xml:space="preserve"> board </w:t>
      </w:r>
      <w:r w:rsidRPr="00F35776">
        <w:t>member</w:t>
      </w:r>
      <w:r w:rsidRPr="00F35776">
        <w:rPr>
          <w:lang w:val="en"/>
        </w:rPr>
        <w:t xml:space="preserve"> </w:t>
      </w:r>
      <w:r>
        <w:rPr>
          <w:lang w:val="en"/>
        </w:rPr>
        <w:t>for every decision that the board makes.</w:t>
      </w:r>
    </w:p>
    <w:p w:rsidR="003E21E2" w:rsidRDefault="003E21E2" w:rsidP="003E21E2">
      <w:pPr>
        <w:rPr>
          <w:lang w:val="en"/>
        </w:rPr>
      </w:pPr>
      <w:r>
        <w:rPr>
          <w:lang w:val="en"/>
        </w:rPr>
        <w:t xml:space="preserve">DELWP offers a support module on </w:t>
      </w:r>
      <w:hyperlink r:id="rId29" w:history="1">
        <w:r w:rsidR="00B76FE2">
          <w:rPr>
            <w:rStyle w:val="Hyperlink"/>
            <w:lang w:val="en"/>
          </w:rPr>
          <w:t>M</w:t>
        </w:r>
        <w:r>
          <w:rPr>
            <w:rStyle w:val="Hyperlink"/>
            <w:lang w:val="en"/>
          </w:rPr>
          <w:t>eetings and decisions</w:t>
        </w:r>
      </w:hyperlink>
      <w:r>
        <w:rPr>
          <w:lang w:val="en"/>
        </w:rPr>
        <w:t xml:space="preserve"> </w:t>
      </w:r>
      <w:r w:rsidR="004B7877">
        <w:rPr>
          <w:lang w:val="en"/>
        </w:rPr>
        <w:t>with a model policy, guidance note</w:t>
      </w:r>
      <w:r>
        <w:rPr>
          <w:lang w:val="en"/>
        </w:rPr>
        <w:t xml:space="preserve">, etc. </w:t>
      </w:r>
    </w:p>
    <w:p w:rsidR="00E954EF" w:rsidRDefault="00E954EF" w:rsidP="001C3B13">
      <w:pPr>
        <w:pStyle w:val="Heading2"/>
        <w:spacing w:before="140" w:after="80"/>
        <w:rPr>
          <w:lang w:val="en"/>
        </w:rPr>
      </w:pPr>
      <w:r>
        <w:rPr>
          <w:lang w:val="en"/>
        </w:rPr>
        <w:t>Delegations and subcommittees</w:t>
      </w:r>
    </w:p>
    <w:p w:rsidR="00E954EF" w:rsidRPr="00A45F3B" w:rsidRDefault="00E954EF" w:rsidP="00E954EF">
      <w:pPr>
        <w:rPr>
          <w:lang w:val="en"/>
        </w:rPr>
      </w:pPr>
      <w:r>
        <w:rPr>
          <w:lang w:val="en"/>
        </w:rPr>
        <w:t xml:space="preserve">It is important to check whether your board can delegate any of its decision-making powers and, if so, which ones and to whom.  You also need to understand how subcommittees operate and the limits of their role (e.g. is there any legal power for your board to delegate certain decisions to </w:t>
      </w:r>
      <w:r w:rsidR="00727C6B">
        <w:rPr>
          <w:lang w:val="en"/>
        </w:rPr>
        <w:t xml:space="preserve">certain </w:t>
      </w:r>
      <w:r>
        <w:rPr>
          <w:lang w:val="en"/>
        </w:rPr>
        <w:t>members of a subcommittee?).</w:t>
      </w:r>
    </w:p>
    <w:p w:rsidR="003E21E2" w:rsidRDefault="003E21E2" w:rsidP="00AA0DB1">
      <w:pPr>
        <w:pStyle w:val="Heading1"/>
        <w:spacing w:before="0" w:after="40"/>
        <w:rPr>
          <w:lang w:val="en"/>
        </w:rPr>
      </w:pPr>
      <w:bookmarkStart w:id="9" w:name="plans"/>
      <w:r>
        <w:rPr>
          <w:lang w:val="en"/>
        </w:rPr>
        <w:t xml:space="preserve">Strategic and business planning </w:t>
      </w:r>
      <w:bookmarkEnd w:id="9"/>
    </w:p>
    <w:p w:rsidR="003E21E2" w:rsidRDefault="003E21E2" w:rsidP="003E21E2">
      <w:pPr>
        <w:rPr>
          <w:lang w:val="en"/>
        </w:rPr>
      </w:pPr>
      <w:r>
        <w:rPr>
          <w:lang w:val="en"/>
        </w:rPr>
        <w:t>You must understand the strategic and business planning requirements that apply to your agency, for example:</w:t>
      </w:r>
    </w:p>
    <w:p w:rsidR="003E21E2" w:rsidRDefault="003E21E2" w:rsidP="004C2232">
      <w:pPr>
        <w:pStyle w:val="ListBullet"/>
        <w:rPr>
          <w:lang w:val="en"/>
        </w:rPr>
      </w:pPr>
      <w:r w:rsidRPr="00557836">
        <w:t>strategic/corporate</w:t>
      </w:r>
      <w:r>
        <w:rPr>
          <w:lang w:val="en"/>
        </w:rPr>
        <w:t xml:space="preserve"> plans (medium to long term) </w:t>
      </w:r>
    </w:p>
    <w:p w:rsidR="003E21E2" w:rsidRDefault="003E21E2" w:rsidP="004C2232">
      <w:pPr>
        <w:pStyle w:val="ListBullet"/>
        <w:rPr>
          <w:lang w:val="en"/>
        </w:rPr>
      </w:pPr>
      <w:r w:rsidRPr="00557836">
        <w:t>annual/business</w:t>
      </w:r>
      <w:r>
        <w:rPr>
          <w:lang w:val="en"/>
        </w:rPr>
        <w:t xml:space="preserve"> plans (short term).</w:t>
      </w:r>
    </w:p>
    <w:p w:rsidR="003E21E2" w:rsidRDefault="003E21E2" w:rsidP="001C3B13">
      <w:pPr>
        <w:pStyle w:val="Heading1"/>
        <w:spacing w:before="140" w:after="80"/>
        <w:rPr>
          <w:lang w:val="en"/>
        </w:rPr>
      </w:pPr>
      <w:bookmarkStart w:id="10" w:name="report"/>
      <w:r>
        <w:rPr>
          <w:lang w:val="en"/>
        </w:rPr>
        <w:t>Performance monitoring</w:t>
      </w:r>
      <w:r w:rsidR="00A47193">
        <w:rPr>
          <w:lang w:val="en"/>
        </w:rPr>
        <w:t xml:space="preserve"> and </w:t>
      </w:r>
      <w:r>
        <w:rPr>
          <w:lang w:val="en"/>
        </w:rPr>
        <w:t>reporting</w:t>
      </w:r>
      <w:bookmarkEnd w:id="10"/>
    </w:p>
    <w:p w:rsidR="003E21E2" w:rsidRDefault="003E21E2" w:rsidP="003E21E2">
      <w:pPr>
        <w:rPr>
          <w:lang w:val="en"/>
        </w:rPr>
      </w:pPr>
      <w:r>
        <w:rPr>
          <w:lang w:val="en"/>
        </w:rPr>
        <w:t>You must understand your board’s performance monitoring and reporting obligations, for example:</w:t>
      </w:r>
    </w:p>
    <w:p w:rsidR="003E21E2" w:rsidRDefault="004E0CD3" w:rsidP="003E21E2">
      <w:pPr>
        <w:pStyle w:val="ListBullet"/>
        <w:keepLines/>
        <w:numPr>
          <w:ilvl w:val="0"/>
          <w:numId w:val="48"/>
        </w:numPr>
        <w:tabs>
          <w:tab w:val="clear" w:pos="170"/>
          <w:tab w:val="clear" w:pos="567"/>
          <w:tab w:val="left" w:pos="851"/>
        </w:tabs>
        <w:spacing w:before="100" w:after="100" w:line="260" w:lineRule="atLeast"/>
        <w:rPr>
          <w:lang w:val="en"/>
        </w:rPr>
      </w:pPr>
      <w:hyperlink r:id="rId30" w:history="1">
        <w:r w:rsidR="003E21E2" w:rsidRPr="009919D6">
          <w:rPr>
            <w:rStyle w:val="Hyperlink"/>
            <w:lang w:val="en"/>
          </w:rPr>
          <w:t>annual reporting</w:t>
        </w:r>
      </w:hyperlink>
      <w:r w:rsidR="003E21E2">
        <w:rPr>
          <w:lang w:val="en"/>
        </w:rPr>
        <w:t xml:space="preserve"> obligations (e.g. </w:t>
      </w:r>
      <w:r w:rsidR="001C3B13">
        <w:rPr>
          <w:lang w:val="en"/>
        </w:rPr>
        <w:t>does your agency submit an annual report that is reported or tabled in Parliament under</w:t>
      </w:r>
      <w:r w:rsidR="003E21E2">
        <w:rPr>
          <w:lang w:val="en"/>
        </w:rPr>
        <w:t xml:space="preserve"> the Financial Management Act?)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sidRPr="00557836">
        <w:t xml:space="preserve">risk </w:t>
      </w:r>
      <w:bookmarkStart w:id="11" w:name="employ"/>
      <w:r w:rsidRPr="00557836">
        <w:t>management</w:t>
      </w:r>
      <w:r>
        <w:rPr>
          <w:lang w:val="en"/>
        </w:rPr>
        <w:t xml:space="preserve"> obligations</w:t>
      </w:r>
    </w:p>
    <w:p w:rsidR="003E21E2" w:rsidRPr="002668F6"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other performance monitoring and reporting obligations.</w:t>
      </w:r>
    </w:p>
    <w:p w:rsidR="003E21E2" w:rsidRDefault="003E21E2" w:rsidP="001C3B13">
      <w:pPr>
        <w:pStyle w:val="Heading1"/>
        <w:spacing w:before="140" w:after="80"/>
        <w:rPr>
          <w:lang w:val="en"/>
        </w:rPr>
      </w:pPr>
      <w:r>
        <w:rPr>
          <w:lang w:val="en"/>
        </w:rPr>
        <w:t>Employment of staff</w:t>
      </w:r>
      <w:bookmarkEnd w:id="11"/>
    </w:p>
    <w:p w:rsidR="003E21E2" w:rsidRDefault="003E21E2" w:rsidP="003E21E2">
      <w:pPr>
        <w:rPr>
          <w:lang w:val="en"/>
        </w:rPr>
      </w:pPr>
      <w:r>
        <w:rPr>
          <w:lang w:val="en"/>
        </w:rPr>
        <w:t xml:space="preserve">If your agency employs staff, </w:t>
      </w:r>
      <w:r w:rsidR="006F2CA1">
        <w:rPr>
          <w:lang w:val="en"/>
        </w:rPr>
        <w:t>key requirements are</w:t>
      </w:r>
      <w:r>
        <w:rPr>
          <w:lang w:val="en"/>
        </w:rPr>
        <w:t>:</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all staff </w:t>
      </w:r>
      <w:r w:rsidR="006F2CA1">
        <w:rPr>
          <w:lang w:val="en"/>
        </w:rPr>
        <w:t>must</w:t>
      </w:r>
      <w:r>
        <w:rPr>
          <w:lang w:val="en"/>
        </w:rPr>
        <w:t xml:space="preserve"> be treated in accordance with the </w:t>
      </w:r>
      <w:r w:rsidRPr="00557836">
        <w:t xml:space="preserve">public sector employment principles </w:t>
      </w:r>
      <w:r>
        <w:rPr>
          <w:lang w:val="en"/>
        </w:rPr>
        <w:t xml:space="preserve">in section 8 of the PAA </w:t>
      </w:r>
    </w:p>
    <w:p w:rsidR="003E21E2" w:rsidRDefault="003E21E2" w:rsidP="003E21E2">
      <w:pPr>
        <w:pStyle w:val="ListBullet"/>
        <w:keepLines/>
        <w:numPr>
          <w:ilvl w:val="0"/>
          <w:numId w:val="48"/>
        </w:numPr>
        <w:tabs>
          <w:tab w:val="clear" w:pos="170"/>
          <w:tab w:val="clear" w:pos="567"/>
          <w:tab w:val="left" w:pos="851"/>
        </w:tabs>
        <w:spacing w:before="100" w:after="100" w:line="260" w:lineRule="atLeast"/>
        <w:rPr>
          <w:lang w:val="en"/>
        </w:rPr>
      </w:pPr>
      <w:r>
        <w:rPr>
          <w:lang w:val="en"/>
        </w:rPr>
        <w:t xml:space="preserve">all staff </w:t>
      </w:r>
      <w:r w:rsidR="006F2CA1">
        <w:rPr>
          <w:lang w:val="en"/>
        </w:rPr>
        <w:t xml:space="preserve">must </w:t>
      </w:r>
      <w:r>
        <w:rPr>
          <w:lang w:val="en"/>
        </w:rPr>
        <w:t xml:space="preserve"> comply with the </w:t>
      </w:r>
      <w:hyperlink r:id="rId31" w:history="1">
        <w:r w:rsidR="00D530B2" w:rsidRPr="00E5784A">
          <w:rPr>
            <w:rStyle w:val="Hyperlink"/>
          </w:rPr>
          <w:t>Code of Conduct for Victorian Public Sector Employees</w:t>
        </w:r>
      </w:hyperlink>
      <w:r w:rsidR="00D530B2">
        <w:t>.</w:t>
      </w:r>
    </w:p>
    <w:p w:rsidR="002D612C" w:rsidRDefault="002D612C" w:rsidP="0022771E">
      <w:pPr>
        <w:pStyle w:val="Heading1"/>
        <w:spacing w:before="140" w:after="80"/>
      </w:pPr>
      <w:r>
        <w:lastRenderedPageBreak/>
        <w:t xml:space="preserve">Further </w:t>
      </w:r>
      <w:r w:rsidR="009A2AAB">
        <w:t>information</w:t>
      </w:r>
    </w:p>
    <w:p w:rsidR="005C2BE8" w:rsidRDefault="005C2BE8" w:rsidP="005C2BE8">
      <w:r>
        <w:t xml:space="preserve">This guidance note is available from the </w:t>
      </w:r>
      <w:hyperlink r:id="rId32" w:history="1">
        <w:r w:rsidRPr="00B704BC">
          <w:rPr>
            <w:rStyle w:val="Hyperlink"/>
          </w:rPr>
          <w:t>Induction and education</w:t>
        </w:r>
      </w:hyperlink>
      <w:r>
        <w:t xml:space="preserve"> s</w:t>
      </w:r>
      <w:r w:rsidRPr="00A3042C">
        <w:t>upport module</w:t>
      </w:r>
      <w:r>
        <w:t xml:space="preserve"> on On Board. </w:t>
      </w:r>
    </w:p>
    <w:p w:rsidR="005C2BE8" w:rsidRDefault="005C2BE8" w:rsidP="005C2BE8">
      <w:r>
        <w:t>Guidance on other key governance topics is also available from On Board</w:t>
      </w:r>
      <w:r w:rsidRPr="00EA3CA7">
        <w:rPr>
          <w:rStyle w:val="Emphasis-Bold"/>
          <w:rFonts w:eastAsiaTheme="majorEastAsia"/>
          <w:b w:val="0"/>
        </w:rPr>
        <w:t xml:space="preserve"> </w:t>
      </w:r>
      <w:r w:rsidRPr="00A66B72">
        <w:rPr>
          <w:rStyle w:val="Emphasis-Bold"/>
          <w:rFonts w:eastAsiaTheme="majorEastAsia"/>
          <w:b w:val="0"/>
        </w:rPr>
        <w:t>(</w:t>
      </w:r>
      <w:hyperlink r:id="rId33" w:history="1">
        <w:r w:rsidRPr="00A3042C">
          <w:rPr>
            <w:rStyle w:val="Hyperlink"/>
            <w:rFonts w:eastAsiaTheme="majorEastAsia"/>
          </w:rPr>
          <w:t>www.delwp.vic.gov.au/onboard</w:t>
        </w:r>
      </w:hyperlink>
      <w:r>
        <w:rPr>
          <w:rStyle w:val="Emphasis-Bold"/>
          <w:rFonts w:eastAsiaTheme="majorEastAsia"/>
          <w:b w:val="0"/>
        </w:rPr>
        <w:t>).</w:t>
      </w:r>
    </w:p>
    <w:p w:rsidR="005C2BE8" w:rsidRDefault="005C2BE8" w:rsidP="005C2BE8">
      <w:r>
        <w:t xml:space="preserve">For small voluntary (category 3) committees of management go to </w:t>
      </w:r>
      <w:hyperlink r:id="rId34" w:history="1">
        <w:r w:rsidRPr="00E118CD">
          <w:rPr>
            <w:rStyle w:val="Hyperlink"/>
          </w:rPr>
          <w:t>www.delwp.vic.gov.au/committtees</w:t>
        </w:r>
      </w:hyperlink>
      <w:r>
        <w:t xml:space="preserve">. </w:t>
      </w:r>
    </w:p>
    <w:p w:rsidR="005C2BE8" w:rsidRDefault="005C2BE8" w:rsidP="005C2BE8">
      <w:r>
        <w:t>DELWP also offers support to its agencies through DELWP divisions and regional offices.  Please contact your agency’s usual DELWP relationship manager or team or phone the Customer Service Centre on 136 186</w:t>
      </w:r>
    </w:p>
    <w:p w:rsidR="00AA13BD" w:rsidRPr="00FC4E61" w:rsidRDefault="001F256D" w:rsidP="00A61E04">
      <w:pPr>
        <w:rPr>
          <w:rFonts w:eastAsia="Calibri"/>
        </w:rPr>
      </w:pPr>
      <w:r w:rsidRPr="00732FB1">
        <w:rPr>
          <w:noProof/>
          <w:color w:val="228591"/>
          <w:lang w:eastAsia="en-AU"/>
        </w:rPr>
        <mc:AlternateContent>
          <mc:Choice Requires="wpc">
            <w:drawing>
              <wp:anchor distT="0" distB="0" distL="114300" distR="114300" simplePos="0" relativeHeight="251659776" behindDoc="0" locked="1" layoutInCell="1" allowOverlap="1" wp14:anchorId="25D87ABA" wp14:editId="7CE8FED1">
                <wp:simplePos x="0" y="0"/>
                <wp:positionH relativeFrom="page">
                  <wp:posOffset>340995</wp:posOffset>
                </wp:positionH>
                <wp:positionV relativeFrom="page">
                  <wp:posOffset>8282940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35"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36"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37"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38"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2E5991" w:rsidP="001F256D">
                              <w:pPr>
                                <w:widowControl w:val="0"/>
                                <w:spacing w:after="100" w:line="200" w:lineRule="atLeast"/>
                                <w:rPr>
                                  <w:rFonts w:asciiTheme="minorHAnsi" w:hAnsiTheme="minorHAnsi"/>
                                  <w:sz w:val="15"/>
                                  <w:szCs w:val="15"/>
                                </w:rPr>
                              </w:pPr>
                              <w:r>
                                <w:rPr>
                                  <w:rFonts w:asciiTheme="minorHAnsi" w:hAnsiTheme="minorHAnsi"/>
                                  <w:sz w:val="15"/>
                                  <w:szCs w:val="15"/>
                                </w:rPr>
                                <w:t>2</w:t>
                              </w:r>
                              <w:r w:rsidR="00D61B31">
                                <w:rPr>
                                  <w:rFonts w:asciiTheme="minorHAnsi" w:hAnsiTheme="minorHAnsi"/>
                                  <w:sz w:val="15"/>
                                  <w:szCs w:val="15"/>
                                </w:rPr>
                                <w:t>0</w:t>
                              </w:r>
                              <w:r w:rsidR="001F256D" w:rsidRPr="0022751F">
                                <w:rPr>
                                  <w:rFonts w:asciiTheme="minorHAnsi" w:hAnsiTheme="minorHAnsi"/>
                                  <w:sz w:val="15"/>
                                  <w:szCs w:val="15"/>
                                </w:rPr>
                                <w:t xml:space="preserve"> </w:t>
                              </w:r>
                              <w:r>
                                <w:rPr>
                                  <w:rFonts w:asciiTheme="minorHAnsi" w:hAnsiTheme="minorHAnsi"/>
                                  <w:sz w:val="15"/>
                                  <w:szCs w:val="15"/>
                                </w:rPr>
                                <w:t>September</w:t>
                              </w:r>
                              <w:r w:rsidR="001F256D" w:rsidRPr="0022751F">
                                <w:rPr>
                                  <w:rFonts w:asciiTheme="minorHAnsi" w:hAnsiTheme="minorHAnsi"/>
                                  <w:sz w:val="15"/>
                                  <w:szCs w:val="15"/>
                                </w:rPr>
                                <w:t xml:space="preserve"> 201</w:t>
                              </w:r>
                              <w:r w:rsidR="00A12514">
                                <w:rPr>
                                  <w:rFonts w:asciiTheme="minorHAnsi" w:hAnsiTheme="minorHAnsi"/>
                                  <w:sz w:val="15"/>
                                  <w:szCs w:val="15"/>
                                </w:rPr>
                                <w:t>6</w:t>
                              </w:r>
                              <w:r w:rsidR="001F256D" w:rsidRPr="0022751F">
                                <w:rPr>
                                  <w:rFonts w:asciiTheme="minorHAnsi" w:hAnsiTheme="minorHAnsi"/>
                                  <w:sz w:val="15"/>
                                  <w:szCs w:val="15"/>
                                </w:rPr>
                                <w:t xml:space="preserve"> (</w:t>
                              </w:r>
                              <w:r w:rsidR="001F256D">
                                <w:rPr>
                                  <w:rStyle w:val="Emphasis-Bold"/>
                                  <w:rFonts w:asciiTheme="minorHAnsi" w:hAnsiTheme="minorHAnsi"/>
                                  <w:sz w:val="15"/>
                                  <w:szCs w:val="15"/>
                                </w:rPr>
                                <w:t>version 2</w:t>
                              </w:r>
                              <w:r w:rsidR="00A12514">
                                <w:rPr>
                                  <w:rStyle w:val="Emphasis-Bold"/>
                                  <w:rFonts w:asciiTheme="minorHAnsi" w:hAnsiTheme="minorHAnsi"/>
                                  <w:sz w:val="15"/>
                                  <w:szCs w:val="15"/>
                                </w:rPr>
                                <w:t>.06</w:t>
                              </w:r>
                              <w:r w:rsidR="001F256D" w:rsidRPr="0022751F">
                                <w:rPr>
                                  <w:rFonts w:asciiTheme="minorHAnsi" w:hAnsiTheme="minorHAnsi"/>
                                  <w:sz w:val="15"/>
                                  <w:szCs w:val="15"/>
                                </w:rPr>
                                <w:t xml:space="preserve">) </w:t>
                              </w:r>
                              <w:r w:rsidR="00C3475C">
                                <w:rPr>
                                  <w:rFonts w:asciiTheme="minorHAnsi" w:hAnsiTheme="minorHAnsi"/>
                                  <w:sz w:val="15"/>
                                  <w:szCs w:val="15"/>
                                </w:rPr>
                                <w:t>– 1.</w:t>
                              </w:r>
                              <w:r w:rsidR="00BD2A4E">
                                <w:rPr>
                                  <w:rFonts w:asciiTheme="minorHAnsi" w:hAnsiTheme="minorHAnsi"/>
                                  <w:sz w:val="15"/>
                                  <w:szCs w:val="15"/>
                                </w:rPr>
                                <w:t>2</w:t>
                              </w:r>
                              <w:r w:rsidR="003139BA">
                                <w:rPr>
                                  <w:rFonts w:asciiTheme="minorHAnsi" w:hAnsiTheme="minorHAnsi"/>
                                  <w:sz w:val="15"/>
                                  <w:szCs w:val="15"/>
                                </w:rPr>
                                <w:t>4</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40"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6.85pt;margin-top:652.2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ds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jBzfOy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41"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42"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43"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44"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2E5991" w:rsidP="001F256D">
                        <w:pPr>
                          <w:widowControl w:val="0"/>
                          <w:spacing w:after="100" w:line="200" w:lineRule="atLeast"/>
                          <w:rPr>
                            <w:rFonts w:asciiTheme="minorHAnsi" w:hAnsiTheme="minorHAnsi"/>
                            <w:sz w:val="15"/>
                            <w:szCs w:val="15"/>
                          </w:rPr>
                        </w:pPr>
                        <w:r>
                          <w:rPr>
                            <w:rFonts w:asciiTheme="minorHAnsi" w:hAnsiTheme="minorHAnsi"/>
                            <w:sz w:val="15"/>
                            <w:szCs w:val="15"/>
                          </w:rPr>
                          <w:t>2</w:t>
                        </w:r>
                        <w:r w:rsidR="00D61B31">
                          <w:rPr>
                            <w:rFonts w:asciiTheme="minorHAnsi" w:hAnsiTheme="minorHAnsi"/>
                            <w:sz w:val="15"/>
                            <w:szCs w:val="15"/>
                          </w:rPr>
                          <w:t>0</w:t>
                        </w:r>
                        <w:r w:rsidR="001F256D" w:rsidRPr="0022751F">
                          <w:rPr>
                            <w:rFonts w:asciiTheme="minorHAnsi" w:hAnsiTheme="minorHAnsi"/>
                            <w:sz w:val="15"/>
                            <w:szCs w:val="15"/>
                          </w:rPr>
                          <w:t xml:space="preserve"> </w:t>
                        </w:r>
                        <w:r>
                          <w:rPr>
                            <w:rFonts w:asciiTheme="minorHAnsi" w:hAnsiTheme="minorHAnsi"/>
                            <w:sz w:val="15"/>
                            <w:szCs w:val="15"/>
                          </w:rPr>
                          <w:t>September</w:t>
                        </w:r>
                        <w:r w:rsidR="001F256D" w:rsidRPr="0022751F">
                          <w:rPr>
                            <w:rFonts w:asciiTheme="minorHAnsi" w:hAnsiTheme="minorHAnsi"/>
                            <w:sz w:val="15"/>
                            <w:szCs w:val="15"/>
                          </w:rPr>
                          <w:t xml:space="preserve"> 201</w:t>
                        </w:r>
                        <w:r w:rsidR="00A12514">
                          <w:rPr>
                            <w:rFonts w:asciiTheme="minorHAnsi" w:hAnsiTheme="minorHAnsi"/>
                            <w:sz w:val="15"/>
                            <w:szCs w:val="15"/>
                          </w:rPr>
                          <w:t>6</w:t>
                        </w:r>
                        <w:r w:rsidR="001F256D" w:rsidRPr="0022751F">
                          <w:rPr>
                            <w:rFonts w:asciiTheme="minorHAnsi" w:hAnsiTheme="minorHAnsi"/>
                            <w:sz w:val="15"/>
                            <w:szCs w:val="15"/>
                          </w:rPr>
                          <w:t xml:space="preserve"> (</w:t>
                        </w:r>
                        <w:r w:rsidR="001F256D">
                          <w:rPr>
                            <w:rStyle w:val="Emphasis-Bold"/>
                            <w:rFonts w:asciiTheme="minorHAnsi" w:hAnsiTheme="minorHAnsi"/>
                            <w:sz w:val="15"/>
                            <w:szCs w:val="15"/>
                          </w:rPr>
                          <w:t>version 2</w:t>
                        </w:r>
                        <w:r w:rsidR="00A12514">
                          <w:rPr>
                            <w:rStyle w:val="Emphasis-Bold"/>
                            <w:rFonts w:asciiTheme="minorHAnsi" w:hAnsiTheme="minorHAnsi"/>
                            <w:sz w:val="15"/>
                            <w:szCs w:val="15"/>
                          </w:rPr>
                          <w:t>.06</w:t>
                        </w:r>
                        <w:r w:rsidR="001F256D" w:rsidRPr="0022751F">
                          <w:rPr>
                            <w:rFonts w:asciiTheme="minorHAnsi" w:hAnsiTheme="minorHAnsi"/>
                            <w:sz w:val="15"/>
                            <w:szCs w:val="15"/>
                          </w:rPr>
                          <w:t xml:space="preserve">) </w:t>
                        </w:r>
                        <w:r w:rsidR="00C3475C">
                          <w:rPr>
                            <w:rFonts w:asciiTheme="minorHAnsi" w:hAnsiTheme="minorHAnsi"/>
                            <w:sz w:val="15"/>
                            <w:szCs w:val="15"/>
                          </w:rPr>
                          <w:t>– 1.</w:t>
                        </w:r>
                        <w:r w:rsidR="00BD2A4E">
                          <w:rPr>
                            <w:rFonts w:asciiTheme="minorHAnsi" w:hAnsiTheme="minorHAnsi"/>
                            <w:sz w:val="15"/>
                            <w:szCs w:val="15"/>
                          </w:rPr>
                          <w:t>2</w:t>
                        </w:r>
                        <w:r w:rsidR="003139BA">
                          <w:rPr>
                            <w:rFonts w:asciiTheme="minorHAnsi" w:hAnsiTheme="minorHAnsi"/>
                            <w:sz w:val="15"/>
                            <w:szCs w:val="15"/>
                          </w:rPr>
                          <w:t>4</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45"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AA13BD" w:rsidRPr="00FC4E61" w:rsidSect="00BD3DA8">
      <w:type w:val="continuous"/>
      <w:pgSz w:w="11907" w:h="16840" w:code="9"/>
      <w:pgMar w:top="2268" w:right="567" w:bottom="851" w:left="1134" w:header="284" w:footer="1021"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2B3F48" w:rsidP="000F55F1">
    <w:pPr>
      <w:pStyle w:val="ImprintText"/>
      <w:spacing w:before="300" w:after="0"/>
    </w:pPr>
    <w:r>
      <w:rPr>
        <w:noProof/>
        <w:lang w:eastAsia="en-AU"/>
      </w:rPr>
      <w:drawing>
        <wp:anchor distT="0" distB="0" distL="114300" distR="114300" simplePos="0" relativeHeight="251665408" behindDoc="0" locked="0" layoutInCell="1" allowOverlap="1" wp14:anchorId="28C1CA2D" wp14:editId="2D75F7B7">
          <wp:simplePos x="0" y="0"/>
          <wp:positionH relativeFrom="column">
            <wp:posOffset>5332437</wp:posOffset>
          </wp:positionH>
          <wp:positionV relativeFrom="paragraph">
            <wp:posOffset>123314</wp:posOffset>
          </wp:positionV>
          <wp:extent cx="1160584" cy="336572"/>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4E0CD3">
          <w:rPr>
            <w:noProof/>
            <w:szCs w:val="16"/>
          </w:rPr>
          <w:t>2</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4E0CD3">
          <w:rPr>
            <w:noProof/>
            <w:szCs w:val="16"/>
          </w:rPr>
          <w:t>4</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2B3F48"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54E2B1D6" wp14:editId="17CD38E2">
          <wp:simplePos x="0" y="0"/>
          <wp:positionH relativeFrom="column">
            <wp:posOffset>5135490</wp:posOffset>
          </wp:positionH>
          <wp:positionV relativeFrom="paragraph">
            <wp:posOffset>153963</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4E0CD3">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4E0CD3">
          <w:rPr>
            <w:noProof/>
            <w:szCs w:val="16"/>
          </w:rPr>
          <w:t>4</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 w:id="1">
    <w:p w:rsidR="00A74C2A" w:rsidRDefault="00A74C2A" w:rsidP="00A74C2A">
      <w:pPr>
        <w:pStyle w:val="FootnoteText"/>
      </w:pPr>
      <w:r>
        <w:rPr>
          <w:rStyle w:val="FootnoteReference"/>
        </w:rPr>
        <w:footnoteRef/>
      </w:r>
      <w:r>
        <w:t xml:space="preserve">  For example, see section 85 of the PAA.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673CAEB5" wp14:editId="1E075343">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2C1B9A" w:rsidP="00557836">
          <w:pPr>
            <w:pStyle w:val="CertHDWhite"/>
            <w:tabs>
              <w:tab w:val="left" w:pos="3544"/>
              <w:tab w:val="left" w:pos="7513"/>
            </w:tabs>
            <w:rPr>
              <w:sz w:val="28"/>
              <w:szCs w:val="28"/>
            </w:rPr>
          </w:pPr>
          <w:r>
            <w:rPr>
              <w:sz w:val="28"/>
              <w:szCs w:val="28"/>
            </w:rPr>
            <w:t>Inducti</w:t>
          </w:r>
          <w:r w:rsidR="00557836">
            <w:rPr>
              <w:sz w:val="28"/>
              <w:szCs w:val="28"/>
            </w:rPr>
            <w:t>on and education – (6</w:t>
          </w:r>
          <w:r w:rsidR="000C753A">
            <w:rPr>
              <w:sz w:val="28"/>
              <w:szCs w:val="28"/>
            </w:rPr>
            <w:t xml:space="preserve">) </w:t>
          </w:r>
          <w:r w:rsidR="00557836">
            <w:rPr>
              <w:sz w:val="28"/>
              <w:szCs w:val="28"/>
            </w:rPr>
            <w:t>Basic requirements of good governance</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4C6B19A1" wp14:editId="43C30E21">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lvlText w:val="%1."/>
      <w:lvlJc w:val="left"/>
      <w:pPr>
        <w:tabs>
          <w:tab w:val="num" w:pos="360"/>
        </w:tabs>
        <w:ind w:left="360" w:hanging="360"/>
      </w:pPr>
    </w:lvl>
  </w:abstractNum>
  <w:abstractNum w:abstractNumId="9">
    <w:nsid w:val="FFFFFF89"/>
    <w:multiLevelType w:val="singleLevel"/>
    <w:tmpl w:val="8738F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16000"/>
    <w:multiLevelType w:val="hybridMultilevel"/>
    <w:tmpl w:val="5664A870"/>
    <w:lvl w:ilvl="0" w:tplc="C05E6DB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BBC00CC"/>
    <w:multiLevelType w:val="multilevel"/>
    <w:tmpl w:val="07EA1EDC"/>
    <w:lvl w:ilvl="0">
      <w:start w:val="1"/>
      <w:numFmt w:val="bullet"/>
      <w:pStyle w:val="TableBodyBullet"/>
      <w:lvlText w:val=""/>
      <w:lvlJc w:val="left"/>
      <w:pPr>
        <w:tabs>
          <w:tab w:val="num" w:pos="284"/>
        </w:tabs>
        <w:ind w:left="284" w:hanging="227"/>
      </w:pPr>
      <w:rPr>
        <w:rFonts w:ascii="Symbol" w:hAnsi="Symbol" w:hint="default"/>
        <w:color w:val="auto"/>
        <w:position w:val="2"/>
        <w:sz w:val="14"/>
      </w:rPr>
    </w:lvl>
    <w:lvl w:ilvl="1">
      <w:start w:val="1"/>
      <w:numFmt w:val="bullet"/>
      <w:pStyle w:val="TableBodyBullet2"/>
      <w:lvlText w:val="-"/>
      <w:lvlJc w:val="left"/>
      <w:pPr>
        <w:tabs>
          <w:tab w:val="num" w:pos="284"/>
        </w:tabs>
        <w:ind w:left="284" w:hanging="142"/>
      </w:pPr>
      <w:rPr>
        <w:rFonts w:ascii="Arial" w:hAnsi="Aria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4"/>
  </w:num>
  <w:num w:numId="14">
    <w:abstractNumId w:val="19"/>
  </w:num>
  <w:num w:numId="15">
    <w:abstractNumId w:val="23"/>
  </w:num>
  <w:num w:numId="16">
    <w:abstractNumId w:val="12"/>
  </w:num>
  <w:num w:numId="17">
    <w:abstractNumId w:val="23"/>
  </w:num>
  <w:num w:numId="18">
    <w:abstractNumId w:val="23"/>
  </w:num>
  <w:num w:numId="19">
    <w:abstractNumId w:val="23"/>
  </w:num>
  <w:num w:numId="20">
    <w:abstractNumId w:val="11"/>
  </w:num>
  <w:num w:numId="21">
    <w:abstractNumId w:val="14"/>
  </w:num>
  <w:num w:numId="22">
    <w:abstractNumId w:val="20"/>
  </w:num>
  <w:num w:numId="23">
    <w:abstractNumId w:val="22"/>
  </w:num>
  <w:num w:numId="24">
    <w:abstractNumId w:val="13"/>
  </w:num>
  <w:num w:numId="25">
    <w:abstractNumId w:val="2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2"/>
  </w:num>
  <w:num w:numId="36">
    <w:abstractNumId w:val="23"/>
  </w:num>
  <w:num w:numId="37">
    <w:abstractNumId w:val="11"/>
  </w:num>
  <w:num w:numId="38">
    <w:abstractNumId w:val="16"/>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3"/>
  </w:num>
  <w:num w:numId="46">
    <w:abstractNumId w:val="10"/>
  </w:num>
  <w:num w:numId="47">
    <w:abstractNumId w:val="18"/>
  </w:num>
  <w:num w:numId="4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D7A"/>
    <w:rsid w:val="000148A0"/>
    <w:rsid w:val="00015C24"/>
    <w:rsid w:val="00016DA9"/>
    <w:rsid w:val="00023243"/>
    <w:rsid w:val="0003050C"/>
    <w:rsid w:val="00031FA3"/>
    <w:rsid w:val="00034A8C"/>
    <w:rsid w:val="00034D96"/>
    <w:rsid w:val="0003535F"/>
    <w:rsid w:val="000369B5"/>
    <w:rsid w:val="0004062B"/>
    <w:rsid w:val="0004460F"/>
    <w:rsid w:val="000473F1"/>
    <w:rsid w:val="0005215B"/>
    <w:rsid w:val="0005400E"/>
    <w:rsid w:val="00055FEF"/>
    <w:rsid w:val="00056393"/>
    <w:rsid w:val="00062DAF"/>
    <w:rsid w:val="00063E31"/>
    <w:rsid w:val="000645D2"/>
    <w:rsid w:val="00065CAC"/>
    <w:rsid w:val="00073844"/>
    <w:rsid w:val="00075307"/>
    <w:rsid w:val="00077758"/>
    <w:rsid w:val="00084C46"/>
    <w:rsid w:val="0008754B"/>
    <w:rsid w:val="00087AE2"/>
    <w:rsid w:val="000953DE"/>
    <w:rsid w:val="0009699E"/>
    <w:rsid w:val="000978E5"/>
    <w:rsid w:val="000A1A91"/>
    <w:rsid w:val="000A1CA5"/>
    <w:rsid w:val="000B04C5"/>
    <w:rsid w:val="000B0ACC"/>
    <w:rsid w:val="000B5903"/>
    <w:rsid w:val="000B65E4"/>
    <w:rsid w:val="000C1E27"/>
    <w:rsid w:val="000C3259"/>
    <w:rsid w:val="000C39E4"/>
    <w:rsid w:val="000C50D0"/>
    <w:rsid w:val="000C753A"/>
    <w:rsid w:val="000D54BA"/>
    <w:rsid w:val="000D7650"/>
    <w:rsid w:val="000E33C4"/>
    <w:rsid w:val="000E37C5"/>
    <w:rsid w:val="000E7036"/>
    <w:rsid w:val="000F1B8D"/>
    <w:rsid w:val="000F55F1"/>
    <w:rsid w:val="001013E9"/>
    <w:rsid w:val="0011067F"/>
    <w:rsid w:val="00110FBC"/>
    <w:rsid w:val="00111811"/>
    <w:rsid w:val="00113F41"/>
    <w:rsid w:val="00120C40"/>
    <w:rsid w:val="00120F3F"/>
    <w:rsid w:val="00121DE0"/>
    <w:rsid w:val="00125376"/>
    <w:rsid w:val="00131B2C"/>
    <w:rsid w:val="00132C25"/>
    <w:rsid w:val="00135491"/>
    <w:rsid w:val="00135E62"/>
    <w:rsid w:val="001379A2"/>
    <w:rsid w:val="0014585D"/>
    <w:rsid w:val="00146F02"/>
    <w:rsid w:val="00150024"/>
    <w:rsid w:val="00154170"/>
    <w:rsid w:val="00154577"/>
    <w:rsid w:val="001635B1"/>
    <w:rsid w:val="00163B59"/>
    <w:rsid w:val="0017095A"/>
    <w:rsid w:val="00177115"/>
    <w:rsid w:val="00181FBC"/>
    <w:rsid w:val="00184A57"/>
    <w:rsid w:val="001855F2"/>
    <w:rsid w:val="00191E3B"/>
    <w:rsid w:val="00194823"/>
    <w:rsid w:val="001A243B"/>
    <w:rsid w:val="001A2547"/>
    <w:rsid w:val="001A3C24"/>
    <w:rsid w:val="001A4A93"/>
    <w:rsid w:val="001A70BE"/>
    <w:rsid w:val="001B11D5"/>
    <w:rsid w:val="001B16AA"/>
    <w:rsid w:val="001B2943"/>
    <w:rsid w:val="001B64A3"/>
    <w:rsid w:val="001C14C3"/>
    <w:rsid w:val="001C3014"/>
    <w:rsid w:val="001C3B13"/>
    <w:rsid w:val="001C3CA8"/>
    <w:rsid w:val="001C3D80"/>
    <w:rsid w:val="001D1B56"/>
    <w:rsid w:val="001D5362"/>
    <w:rsid w:val="001E1ADF"/>
    <w:rsid w:val="001E2024"/>
    <w:rsid w:val="001E322D"/>
    <w:rsid w:val="001E46F0"/>
    <w:rsid w:val="001F1B09"/>
    <w:rsid w:val="001F256D"/>
    <w:rsid w:val="001F3863"/>
    <w:rsid w:val="001F40CB"/>
    <w:rsid w:val="002015AD"/>
    <w:rsid w:val="0020255B"/>
    <w:rsid w:val="0020300D"/>
    <w:rsid w:val="002122D2"/>
    <w:rsid w:val="00212FD4"/>
    <w:rsid w:val="002131B6"/>
    <w:rsid w:val="00217921"/>
    <w:rsid w:val="00217D52"/>
    <w:rsid w:val="00220902"/>
    <w:rsid w:val="00220CF7"/>
    <w:rsid w:val="002242E0"/>
    <w:rsid w:val="002253EC"/>
    <w:rsid w:val="0022751F"/>
    <w:rsid w:val="0022771E"/>
    <w:rsid w:val="00233FDF"/>
    <w:rsid w:val="00234ABA"/>
    <w:rsid w:val="00236DA4"/>
    <w:rsid w:val="0024281C"/>
    <w:rsid w:val="00242DFE"/>
    <w:rsid w:val="00246D68"/>
    <w:rsid w:val="00250E32"/>
    <w:rsid w:val="0025261A"/>
    <w:rsid w:val="002526EA"/>
    <w:rsid w:val="002537A2"/>
    <w:rsid w:val="00257A07"/>
    <w:rsid w:val="002617A9"/>
    <w:rsid w:val="00261DCB"/>
    <w:rsid w:val="00266355"/>
    <w:rsid w:val="00271B91"/>
    <w:rsid w:val="00281AD5"/>
    <w:rsid w:val="00285925"/>
    <w:rsid w:val="002A6CED"/>
    <w:rsid w:val="002B006E"/>
    <w:rsid w:val="002B3F48"/>
    <w:rsid w:val="002C12AF"/>
    <w:rsid w:val="002C1B9A"/>
    <w:rsid w:val="002C4BC3"/>
    <w:rsid w:val="002C5BA2"/>
    <w:rsid w:val="002D2478"/>
    <w:rsid w:val="002D3CC8"/>
    <w:rsid w:val="002D4666"/>
    <w:rsid w:val="002D612C"/>
    <w:rsid w:val="002D680B"/>
    <w:rsid w:val="002D7E3C"/>
    <w:rsid w:val="002E2EC1"/>
    <w:rsid w:val="002E5991"/>
    <w:rsid w:val="002E6BF7"/>
    <w:rsid w:val="002F3AB6"/>
    <w:rsid w:val="002F73E2"/>
    <w:rsid w:val="003011AF"/>
    <w:rsid w:val="0030650B"/>
    <w:rsid w:val="003139BA"/>
    <w:rsid w:val="003202D2"/>
    <w:rsid w:val="00321F9E"/>
    <w:rsid w:val="003272FF"/>
    <w:rsid w:val="00327CF0"/>
    <w:rsid w:val="00330679"/>
    <w:rsid w:val="00330D84"/>
    <w:rsid w:val="00340B78"/>
    <w:rsid w:val="00342505"/>
    <w:rsid w:val="00343384"/>
    <w:rsid w:val="00345BFA"/>
    <w:rsid w:val="00345CC7"/>
    <w:rsid w:val="00350C01"/>
    <w:rsid w:val="003543E6"/>
    <w:rsid w:val="00360B69"/>
    <w:rsid w:val="0036130E"/>
    <w:rsid w:val="00361402"/>
    <w:rsid w:val="003700E2"/>
    <w:rsid w:val="003726F0"/>
    <w:rsid w:val="00374BAC"/>
    <w:rsid w:val="00375220"/>
    <w:rsid w:val="003850E5"/>
    <w:rsid w:val="00385DE1"/>
    <w:rsid w:val="00391FEF"/>
    <w:rsid w:val="00393083"/>
    <w:rsid w:val="003A138D"/>
    <w:rsid w:val="003A21AE"/>
    <w:rsid w:val="003A38C0"/>
    <w:rsid w:val="003A5B96"/>
    <w:rsid w:val="003A5FCB"/>
    <w:rsid w:val="003B0216"/>
    <w:rsid w:val="003B245E"/>
    <w:rsid w:val="003B43DE"/>
    <w:rsid w:val="003B59F9"/>
    <w:rsid w:val="003C0AE2"/>
    <w:rsid w:val="003C2962"/>
    <w:rsid w:val="003C2BBF"/>
    <w:rsid w:val="003C64BD"/>
    <w:rsid w:val="003D7766"/>
    <w:rsid w:val="003E0B9A"/>
    <w:rsid w:val="003E21E2"/>
    <w:rsid w:val="003E5C7B"/>
    <w:rsid w:val="003F1932"/>
    <w:rsid w:val="003F3A22"/>
    <w:rsid w:val="003F437F"/>
    <w:rsid w:val="003F4EA1"/>
    <w:rsid w:val="003F519F"/>
    <w:rsid w:val="003F5A5C"/>
    <w:rsid w:val="00404EF3"/>
    <w:rsid w:val="00405E81"/>
    <w:rsid w:val="00406463"/>
    <w:rsid w:val="00412A56"/>
    <w:rsid w:val="00414DB2"/>
    <w:rsid w:val="004168CB"/>
    <w:rsid w:val="00424165"/>
    <w:rsid w:val="00426499"/>
    <w:rsid w:val="00427F35"/>
    <w:rsid w:val="00430A52"/>
    <w:rsid w:val="0043327C"/>
    <w:rsid w:val="0043348E"/>
    <w:rsid w:val="00434942"/>
    <w:rsid w:val="00437275"/>
    <w:rsid w:val="004401B3"/>
    <w:rsid w:val="004426E1"/>
    <w:rsid w:val="0044301C"/>
    <w:rsid w:val="00443D6D"/>
    <w:rsid w:val="004465D2"/>
    <w:rsid w:val="004469C1"/>
    <w:rsid w:val="00446E82"/>
    <w:rsid w:val="004509E7"/>
    <w:rsid w:val="00450FAA"/>
    <w:rsid w:val="00451170"/>
    <w:rsid w:val="00455AC0"/>
    <w:rsid w:val="00455EFA"/>
    <w:rsid w:val="00461DBA"/>
    <w:rsid w:val="00464027"/>
    <w:rsid w:val="004752E5"/>
    <w:rsid w:val="0047538B"/>
    <w:rsid w:val="00476585"/>
    <w:rsid w:val="0047767A"/>
    <w:rsid w:val="00482508"/>
    <w:rsid w:val="00484F0C"/>
    <w:rsid w:val="0048623D"/>
    <w:rsid w:val="00487611"/>
    <w:rsid w:val="004969C1"/>
    <w:rsid w:val="004B3050"/>
    <w:rsid w:val="004B7145"/>
    <w:rsid w:val="004B7877"/>
    <w:rsid w:val="004C19AB"/>
    <w:rsid w:val="004C2232"/>
    <w:rsid w:val="004E0CD3"/>
    <w:rsid w:val="004E0DA3"/>
    <w:rsid w:val="004E3903"/>
    <w:rsid w:val="004E4BDF"/>
    <w:rsid w:val="004E6888"/>
    <w:rsid w:val="004E6D65"/>
    <w:rsid w:val="004F0BEF"/>
    <w:rsid w:val="004F79F8"/>
    <w:rsid w:val="00500777"/>
    <w:rsid w:val="00502C27"/>
    <w:rsid w:val="00503A60"/>
    <w:rsid w:val="005056F5"/>
    <w:rsid w:val="0050769F"/>
    <w:rsid w:val="00510A2E"/>
    <w:rsid w:val="00512102"/>
    <w:rsid w:val="00512D4E"/>
    <w:rsid w:val="005136F3"/>
    <w:rsid w:val="005229C6"/>
    <w:rsid w:val="00524C52"/>
    <w:rsid w:val="005304F7"/>
    <w:rsid w:val="005309AD"/>
    <w:rsid w:val="00533181"/>
    <w:rsid w:val="00534B38"/>
    <w:rsid w:val="00540762"/>
    <w:rsid w:val="00544B68"/>
    <w:rsid w:val="00546FBB"/>
    <w:rsid w:val="00547E15"/>
    <w:rsid w:val="00557836"/>
    <w:rsid w:val="00557B17"/>
    <w:rsid w:val="0056076E"/>
    <w:rsid w:val="00561D8B"/>
    <w:rsid w:val="00565531"/>
    <w:rsid w:val="005660D3"/>
    <w:rsid w:val="0057281A"/>
    <w:rsid w:val="00573554"/>
    <w:rsid w:val="00573E23"/>
    <w:rsid w:val="00574F88"/>
    <w:rsid w:val="00575F3A"/>
    <w:rsid w:val="00580EFA"/>
    <w:rsid w:val="00582724"/>
    <w:rsid w:val="00585110"/>
    <w:rsid w:val="0058566F"/>
    <w:rsid w:val="00592FB3"/>
    <w:rsid w:val="00597D4A"/>
    <w:rsid w:val="005A4EE7"/>
    <w:rsid w:val="005B0C29"/>
    <w:rsid w:val="005B3CE8"/>
    <w:rsid w:val="005B4A26"/>
    <w:rsid w:val="005B55D4"/>
    <w:rsid w:val="005C0840"/>
    <w:rsid w:val="005C2BE8"/>
    <w:rsid w:val="005C5CD8"/>
    <w:rsid w:val="005C70F5"/>
    <w:rsid w:val="005C7645"/>
    <w:rsid w:val="005D2BF6"/>
    <w:rsid w:val="005E1401"/>
    <w:rsid w:val="005E3068"/>
    <w:rsid w:val="005E3C89"/>
    <w:rsid w:val="005F2C9F"/>
    <w:rsid w:val="00602D4A"/>
    <w:rsid w:val="00603134"/>
    <w:rsid w:val="00603603"/>
    <w:rsid w:val="00606451"/>
    <w:rsid w:val="00613B7F"/>
    <w:rsid w:val="00617901"/>
    <w:rsid w:val="00621B48"/>
    <w:rsid w:val="00621E9B"/>
    <w:rsid w:val="00623482"/>
    <w:rsid w:val="0062464D"/>
    <w:rsid w:val="0062669A"/>
    <w:rsid w:val="00632914"/>
    <w:rsid w:val="006355B1"/>
    <w:rsid w:val="0063635A"/>
    <w:rsid w:val="00645D03"/>
    <w:rsid w:val="0065542D"/>
    <w:rsid w:val="006554A4"/>
    <w:rsid w:val="00656186"/>
    <w:rsid w:val="00656F8C"/>
    <w:rsid w:val="00657072"/>
    <w:rsid w:val="006643F2"/>
    <w:rsid w:val="006670F9"/>
    <w:rsid w:val="00667E70"/>
    <w:rsid w:val="00672EF5"/>
    <w:rsid w:val="006741C5"/>
    <w:rsid w:val="00675636"/>
    <w:rsid w:val="006767CB"/>
    <w:rsid w:val="006800DF"/>
    <w:rsid w:val="006925F6"/>
    <w:rsid w:val="0069559B"/>
    <w:rsid w:val="0069754D"/>
    <w:rsid w:val="006A14FF"/>
    <w:rsid w:val="006A2476"/>
    <w:rsid w:val="006A4ED2"/>
    <w:rsid w:val="006B4688"/>
    <w:rsid w:val="006B5DED"/>
    <w:rsid w:val="006C254A"/>
    <w:rsid w:val="006D2D9C"/>
    <w:rsid w:val="006D5078"/>
    <w:rsid w:val="006D5BEF"/>
    <w:rsid w:val="006E48AC"/>
    <w:rsid w:val="006F0077"/>
    <w:rsid w:val="006F2CA1"/>
    <w:rsid w:val="006F53DB"/>
    <w:rsid w:val="006F707D"/>
    <w:rsid w:val="006F7A86"/>
    <w:rsid w:val="007025FC"/>
    <w:rsid w:val="00702F83"/>
    <w:rsid w:val="0070362A"/>
    <w:rsid w:val="00705440"/>
    <w:rsid w:val="007065B0"/>
    <w:rsid w:val="007078B0"/>
    <w:rsid w:val="007131A0"/>
    <w:rsid w:val="00715A65"/>
    <w:rsid w:val="00725C38"/>
    <w:rsid w:val="00727C6B"/>
    <w:rsid w:val="00731631"/>
    <w:rsid w:val="00732FB1"/>
    <w:rsid w:val="00752E36"/>
    <w:rsid w:val="0075546A"/>
    <w:rsid w:val="00756A07"/>
    <w:rsid w:val="00761A56"/>
    <w:rsid w:val="00762889"/>
    <w:rsid w:val="00763884"/>
    <w:rsid w:val="007702BD"/>
    <w:rsid w:val="00774B72"/>
    <w:rsid w:val="00777619"/>
    <w:rsid w:val="00783053"/>
    <w:rsid w:val="0078430B"/>
    <w:rsid w:val="00786306"/>
    <w:rsid w:val="007923E7"/>
    <w:rsid w:val="007946DA"/>
    <w:rsid w:val="007968BD"/>
    <w:rsid w:val="007A0889"/>
    <w:rsid w:val="007A5D48"/>
    <w:rsid w:val="007B0467"/>
    <w:rsid w:val="007B0E45"/>
    <w:rsid w:val="007B10CA"/>
    <w:rsid w:val="007B1469"/>
    <w:rsid w:val="007B37CB"/>
    <w:rsid w:val="007B4A19"/>
    <w:rsid w:val="007B62D9"/>
    <w:rsid w:val="007B62F8"/>
    <w:rsid w:val="007B6E26"/>
    <w:rsid w:val="007C279A"/>
    <w:rsid w:val="007D06DC"/>
    <w:rsid w:val="007D4B4C"/>
    <w:rsid w:val="007D5D30"/>
    <w:rsid w:val="007E0776"/>
    <w:rsid w:val="007E3E33"/>
    <w:rsid w:val="007E4AF6"/>
    <w:rsid w:val="007E6690"/>
    <w:rsid w:val="007F2140"/>
    <w:rsid w:val="007F5211"/>
    <w:rsid w:val="00802259"/>
    <w:rsid w:val="008110B2"/>
    <w:rsid w:val="00814978"/>
    <w:rsid w:val="00815894"/>
    <w:rsid w:val="008221ED"/>
    <w:rsid w:val="0082312C"/>
    <w:rsid w:val="00826EBF"/>
    <w:rsid w:val="00827FFB"/>
    <w:rsid w:val="00830822"/>
    <w:rsid w:val="00830F96"/>
    <w:rsid w:val="00833900"/>
    <w:rsid w:val="00834943"/>
    <w:rsid w:val="0083541B"/>
    <w:rsid w:val="008357E1"/>
    <w:rsid w:val="00836649"/>
    <w:rsid w:val="008401F9"/>
    <w:rsid w:val="008406DF"/>
    <w:rsid w:val="008448B8"/>
    <w:rsid w:val="00844D8A"/>
    <w:rsid w:val="0086306E"/>
    <w:rsid w:val="00865A63"/>
    <w:rsid w:val="008700D2"/>
    <w:rsid w:val="00870499"/>
    <w:rsid w:val="00872BAF"/>
    <w:rsid w:val="008732EE"/>
    <w:rsid w:val="00882309"/>
    <w:rsid w:val="00882FC0"/>
    <w:rsid w:val="008832F9"/>
    <w:rsid w:val="00887805"/>
    <w:rsid w:val="008979EB"/>
    <w:rsid w:val="008A1AE2"/>
    <w:rsid w:val="008A34B4"/>
    <w:rsid w:val="008A3B87"/>
    <w:rsid w:val="008A6BBA"/>
    <w:rsid w:val="008B15FC"/>
    <w:rsid w:val="008B61B5"/>
    <w:rsid w:val="008B79E3"/>
    <w:rsid w:val="008C1B1D"/>
    <w:rsid w:val="008C2F34"/>
    <w:rsid w:val="008D14B2"/>
    <w:rsid w:val="008D1E0D"/>
    <w:rsid w:val="008D4117"/>
    <w:rsid w:val="008E39E1"/>
    <w:rsid w:val="008E66DF"/>
    <w:rsid w:val="008E6C22"/>
    <w:rsid w:val="008F0EBC"/>
    <w:rsid w:val="008F4932"/>
    <w:rsid w:val="008F6051"/>
    <w:rsid w:val="008F783D"/>
    <w:rsid w:val="009152D0"/>
    <w:rsid w:val="00915D5A"/>
    <w:rsid w:val="009167CF"/>
    <w:rsid w:val="00920D57"/>
    <w:rsid w:val="009226A7"/>
    <w:rsid w:val="00926BDE"/>
    <w:rsid w:val="00926F8A"/>
    <w:rsid w:val="00927E6A"/>
    <w:rsid w:val="00931918"/>
    <w:rsid w:val="00932B46"/>
    <w:rsid w:val="009359A7"/>
    <w:rsid w:val="00936BF0"/>
    <w:rsid w:val="00936DDB"/>
    <w:rsid w:val="00942CDF"/>
    <w:rsid w:val="00942D97"/>
    <w:rsid w:val="00942DA2"/>
    <w:rsid w:val="009441AD"/>
    <w:rsid w:val="00945A38"/>
    <w:rsid w:val="009523BC"/>
    <w:rsid w:val="00952694"/>
    <w:rsid w:val="00953344"/>
    <w:rsid w:val="009537CD"/>
    <w:rsid w:val="00960CF0"/>
    <w:rsid w:val="00961FFC"/>
    <w:rsid w:val="00962D3B"/>
    <w:rsid w:val="0096310D"/>
    <w:rsid w:val="0096491E"/>
    <w:rsid w:val="009660DD"/>
    <w:rsid w:val="00967951"/>
    <w:rsid w:val="00972191"/>
    <w:rsid w:val="00972BB4"/>
    <w:rsid w:val="00974044"/>
    <w:rsid w:val="00976C10"/>
    <w:rsid w:val="00981EA2"/>
    <w:rsid w:val="00984BA0"/>
    <w:rsid w:val="009872FB"/>
    <w:rsid w:val="00990FC8"/>
    <w:rsid w:val="00991A46"/>
    <w:rsid w:val="00992718"/>
    <w:rsid w:val="00997934"/>
    <w:rsid w:val="009A0FD3"/>
    <w:rsid w:val="009A2AAB"/>
    <w:rsid w:val="009A3F4B"/>
    <w:rsid w:val="009A4C27"/>
    <w:rsid w:val="009A69A3"/>
    <w:rsid w:val="009B459F"/>
    <w:rsid w:val="009C3B5A"/>
    <w:rsid w:val="009C7EBB"/>
    <w:rsid w:val="009D0501"/>
    <w:rsid w:val="009D0ED4"/>
    <w:rsid w:val="009D5461"/>
    <w:rsid w:val="009D629C"/>
    <w:rsid w:val="009E1310"/>
    <w:rsid w:val="009E666D"/>
    <w:rsid w:val="009E66AE"/>
    <w:rsid w:val="009F2D92"/>
    <w:rsid w:val="009F3A5D"/>
    <w:rsid w:val="00A0021E"/>
    <w:rsid w:val="00A03F08"/>
    <w:rsid w:val="00A04614"/>
    <w:rsid w:val="00A049D6"/>
    <w:rsid w:val="00A05A4F"/>
    <w:rsid w:val="00A11FE6"/>
    <w:rsid w:val="00A12514"/>
    <w:rsid w:val="00A17EA0"/>
    <w:rsid w:val="00A30A64"/>
    <w:rsid w:val="00A357C2"/>
    <w:rsid w:val="00A369E0"/>
    <w:rsid w:val="00A36BC9"/>
    <w:rsid w:val="00A37BFA"/>
    <w:rsid w:val="00A45F3B"/>
    <w:rsid w:val="00A47193"/>
    <w:rsid w:val="00A500BE"/>
    <w:rsid w:val="00A50650"/>
    <w:rsid w:val="00A55B4F"/>
    <w:rsid w:val="00A56C4D"/>
    <w:rsid w:val="00A57EE2"/>
    <w:rsid w:val="00A6075D"/>
    <w:rsid w:val="00A61E04"/>
    <w:rsid w:val="00A62351"/>
    <w:rsid w:val="00A6450E"/>
    <w:rsid w:val="00A6672D"/>
    <w:rsid w:val="00A66B72"/>
    <w:rsid w:val="00A67D11"/>
    <w:rsid w:val="00A730A4"/>
    <w:rsid w:val="00A74C2A"/>
    <w:rsid w:val="00A80E1B"/>
    <w:rsid w:val="00A83A7C"/>
    <w:rsid w:val="00A85593"/>
    <w:rsid w:val="00A85D36"/>
    <w:rsid w:val="00A91ECD"/>
    <w:rsid w:val="00AA0DB1"/>
    <w:rsid w:val="00AA13BD"/>
    <w:rsid w:val="00AA6401"/>
    <w:rsid w:val="00AB1938"/>
    <w:rsid w:val="00AB446A"/>
    <w:rsid w:val="00AB6453"/>
    <w:rsid w:val="00AC0691"/>
    <w:rsid w:val="00AC0ECF"/>
    <w:rsid w:val="00AC10D3"/>
    <w:rsid w:val="00AC1AFB"/>
    <w:rsid w:val="00AC372B"/>
    <w:rsid w:val="00AC45C7"/>
    <w:rsid w:val="00AC495B"/>
    <w:rsid w:val="00AC49E0"/>
    <w:rsid w:val="00AC7B3C"/>
    <w:rsid w:val="00AD1127"/>
    <w:rsid w:val="00AE3A1C"/>
    <w:rsid w:val="00AE6F47"/>
    <w:rsid w:val="00AE7239"/>
    <w:rsid w:val="00AE7772"/>
    <w:rsid w:val="00AF2C12"/>
    <w:rsid w:val="00AF4DB4"/>
    <w:rsid w:val="00AF5303"/>
    <w:rsid w:val="00AF7D3C"/>
    <w:rsid w:val="00B0346D"/>
    <w:rsid w:val="00B068DA"/>
    <w:rsid w:val="00B077CF"/>
    <w:rsid w:val="00B1116C"/>
    <w:rsid w:val="00B137B4"/>
    <w:rsid w:val="00B14F72"/>
    <w:rsid w:val="00B169A1"/>
    <w:rsid w:val="00B2038D"/>
    <w:rsid w:val="00B2053E"/>
    <w:rsid w:val="00B24A07"/>
    <w:rsid w:val="00B262B2"/>
    <w:rsid w:val="00B359F5"/>
    <w:rsid w:val="00B41FA2"/>
    <w:rsid w:val="00B43DDD"/>
    <w:rsid w:val="00B47165"/>
    <w:rsid w:val="00B4734F"/>
    <w:rsid w:val="00B475BF"/>
    <w:rsid w:val="00B518B3"/>
    <w:rsid w:val="00B60419"/>
    <w:rsid w:val="00B60892"/>
    <w:rsid w:val="00B63961"/>
    <w:rsid w:val="00B65608"/>
    <w:rsid w:val="00B65C5D"/>
    <w:rsid w:val="00B704BC"/>
    <w:rsid w:val="00B76FE2"/>
    <w:rsid w:val="00B7762B"/>
    <w:rsid w:val="00B809FD"/>
    <w:rsid w:val="00B928AF"/>
    <w:rsid w:val="00B952C3"/>
    <w:rsid w:val="00B95745"/>
    <w:rsid w:val="00BA1FED"/>
    <w:rsid w:val="00BA342A"/>
    <w:rsid w:val="00BA5D84"/>
    <w:rsid w:val="00BB3138"/>
    <w:rsid w:val="00BB37E4"/>
    <w:rsid w:val="00BC6E1B"/>
    <w:rsid w:val="00BD0DD9"/>
    <w:rsid w:val="00BD2A4E"/>
    <w:rsid w:val="00BD341B"/>
    <w:rsid w:val="00BD3DA8"/>
    <w:rsid w:val="00BD490F"/>
    <w:rsid w:val="00BD4BC3"/>
    <w:rsid w:val="00BE3BD3"/>
    <w:rsid w:val="00BF0552"/>
    <w:rsid w:val="00BF24FE"/>
    <w:rsid w:val="00BF28EE"/>
    <w:rsid w:val="00BF40D3"/>
    <w:rsid w:val="00BF62F9"/>
    <w:rsid w:val="00C00C90"/>
    <w:rsid w:val="00C061DD"/>
    <w:rsid w:val="00C116FF"/>
    <w:rsid w:val="00C12A10"/>
    <w:rsid w:val="00C16819"/>
    <w:rsid w:val="00C20463"/>
    <w:rsid w:val="00C21047"/>
    <w:rsid w:val="00C237AC"/>
    <w:rsid w:val="00C27352"/>
    <w:rsid w:val="00C33019"/>
    <w:rsid w:val="00C33F2A"/>
    <w:rsid w:val="00C3475C"/>
    <w:rsid w:val="00C36059"/>
    <w:rsid w:val="00C403BA"/>
    <w:rsid w:val="00C42F01"/>
    <w:rsid w:val="00C46B5E"/>
    <w:rsid w:val="00C651CE"/>
    <w:rsid w:val="00C7182C"/>
    <w:rsid w:val="00C71C37"/>
    <w:rsid w:val="00C73267"/>
    <w:rsid w:val="00C76FCE"/>
    <w:rsid w:val="00C772CA"/>
    <w:rsid w:val="00C847E0"/>
    <w:rsid w:val="00C86652"/>
    <w:rsid w:val="00C86B17"/>
    <w:rsid w:val="00CA19B7"/>
    <w:rsid w:val="00CA48E0"/>
    <w:rsid w:val="00CA6FCB"/>
    <w:rsid w:val="00CB2CD3"/>
    <w:rsid w:val="00CB5455"/>
    <w:rsid w:val="00CB6FB3"/>
    <w:rsid w:val="00CD0C9F"/>
    <w:rsid w:val="00CD26A6"/>
    <w:rsid w:val="00CD784C"/>
    <w:rsid w:val="00CE10A1"/>
    <w:rsid w:val="00CE2CF3"/>
    <w:rsid w:val="00CE5F8B"/>
    <w:rsid w:val="00CE72A0"/>
    <w:rsid w:val="00CF41F7"/>
    <w:rsid w:val="00CF58FB"/>
    <w:rsid w:val="00CF5E50"/>
    <w:rsid w:val="00D025FF"/>
    <w:rsid w:val="00D031DB"/>
    <w:rsid w:val="00D031F0"/>
    <w:rsid w:val="00D033C6"/>
    <w:rsid w:val="00D053C5"/>
    <w:rsid w:val="00D06E67"/>
    <w:rsid w:val="00D10A4D"/>
    <w:rsid w:val="00D114E4"/>
    <w:rsid w:val="00D11924"/>
    <w:rsid w:val="00D13102"/>
    <w:rsid w:val="00D2159F"/>
    <w:rsid w:val="00D30797"/>
    <w:rsid w:val="00D32969"/>
    <w:rsid w:val="00D33BE6"/>
    <w:rsid w:val="00D408CF"/>
    <w:rsid w:val="00D45BD0"/>
    <w:rsid w:val="00D46EF3"/>
    <w:rsid w:val="00D47EDB"/>
    <w:rsid w:val="00D50A8D"/>
    <w:rsid w:val="00D530B2"/>
    <w:rsid w:val="00D54DE0"/>
    <w:rsid w:val="00D54FC2"/>
    <w:rsid w:val="00D57FF0"/>
    <w:rsid w:val="00D61B31"/>
    <w:rsid w:val="00D634D8"/>
    <w:rsid w:val="00D65AEF"/>
    <w:rsid w:val="00D8058E"/>
    <w:rsid w:val="00D840DE"/>
    <w:rsid w:val="00D84684"/>
    <w:rsid w:val="00D96EAC"/>
    <w:rsid w:val="00DA0042"/>
    <w:rsid w:val="00DA0543"/>
    <w:rsid w:val="00DA4EC3"/>
    <w:rsid w:val="00DB3698"/>
    <w:rsid w:val="00DC5740"/>
    <w:rsid w:val="00DC5E65"/>
    <w:rsid w:val="00DC68E1"/>
    <w:rsid w:val="00DD0AB3"/>
    <w:rsid w:val="00DD3436"/>
    <w:rsid w:val="00DE2624"/>
    <w:rsid w:val="00DE5117"/>
    <w:rsid w:val="00DF494B"/>
    <w:rsid w:val="00DF4EF9"/>
    <w:rsid w:val="00DF6665"/>
    <w:rsid w:val="00E01765"/>
    <w:rsid w:val="00E01929"/>
    <w:rsid w:val="00E01E34"/>
    <w:rsid w:val="00E02650"/>
    <w:rsid w:val="00E0504B"/>
    <w:rsid w:val="00E07718"/>
    <w:rsid w:val="00E12A00"/>
    <w:rsid w:val="00E12EE7"/>
    <w:rsid w:val="00E1532E"/>
    <w:rsid w:val="00E1571A"/>
    <w:rsid w:val="00E15BD0"/>
    <w:rsid w:val="00E1692A"/>
    <w:rsid w:val="00E20F69"/>
    <w:rsid w:val="00E2266E"/>
    <w:rsid w:val="00E2394C"/>
    <w:rsid w:val="00E24BA8"/>
    <w:rsid w:val="00E30FFD"/>
    <w:rsid w:val="00E325A1"/>
    <w:rsid w:val="00E33F9A"/>
    <w:rsid w:val="00E35770"/>
    <w:rsid w:val="00E40235"/>
    <w:rsid w:val="00E433F5"/>
    <w:rsid w:val="00E434E6"/>
    <w:rsid w:val="00E446F5"/>
    <w:rsid w:val="00E51072"/>
    <w:rsid w:val="00E51248"/>
    <w:rsid w:val="00E535D0"/>
    <w:rsid w:val="00E53E6B"/>
    <w:rsid w:val="00E56D27"/>
    <w:rsid w:val="00E6278D"/>
    <w:rsid w:val="00E67421"/>
    <w:rsid w:val="00E75004"/>
    <w:rsid w:val="00E8448C"/>
    <w:rsid w:val="00E84E11"/>
    <w:rsid w:val="00E9178F"/>
    <w:rsid w:val="00E954EF"/>
    <w:rsid w:val="00E9718F"/>
    <w:rsid w:val="00EA06EC"/>
    <w:rsid w:val="00EA2B53"/>
    <w:rsid w:val="00EA31C2"/>
    <w:rsid w:val="00EA3CA7"/>
    <w:rsid w:val="00EA7D7F"/>
    <w:rsid w:val="00EB236F"/>
    <w:rsid w:val="00EB29D9"/>
    <w:rsid w:val="00EB2BB2"/>
    <w:rsid w:val="00EB75EA"/>
    <w:rsid w:val="00EC0AE0"/>
    <w:rsid w:val="00EC4DCD"/>
    <w:rsid w:val="00EC627F"/>
    <w:rsid w:val="00EC6F19"/>
    <w:rsid w:val="00EE0ED0"/>
    <w:rsid w:val="00EE1051"/>
    <w:rsid w:val="00F0013D"/>
    <w:rsid w:val="00F031CC"/>
    <w:rsid w:val="00F0569C"/>
    <w:rsid w:val="00F10174"/>
    <w:rsid w:val="00F10929"/>
    <w:rsid w:val="00F1125D"/>
    <w:rsid w:val="00F13B95"/>
    <w:rsid w:val="00F14A9D"/>
    <w:rsid w:val="00F15CF7"/>
    <w:rsid w:val="00F26838"/>
    <w:rsid w:val="00F26B7C"/>
    <w:rsid w:val="00F27E16"/>
    <w:rsid w:val="00F35776"/>
    <w:rsid w:val="00F46148"/>
    <w:rsid w:val="00F54CCE"/>
    <w:rsid w:val="00F63FB6"/>
    <w:rsid w:val="00F67782"/>
    <w:rsid w:val="00F708A6"/>
    <w:rsid w:val="00F71D96"/>
    <w:rsid w:val="00F72625"/>
    <w:rsid w:val="00F733FA"/>
    <w:rsid w:val="00F74611"/>
    <w:rsid w:val="00F74678"/>
    <w:rsid w:val="00F77FA1"/>
    <w:rsid w:val="00F83A6F"/>
    <w:rsid w:val="00F845F4"/>
    <w:rsid w:val="00F86863"/>
    <w:rsid w:val="00F910D5"/>
    <w:rsid w:val="00F930FD"/>
    <w:rsid w:val="00F96CFF"/>
    <w:rsid w:val="00F97A1B"/>
    <w:rsid w:val="00F97E7B"/>
    <w:rsid w:val="00FA2BC8"/>
    <w:rsid w:val="00FA453F"/>
    <w:rsid w:val="00FA5311"/>
    <w:rsid w:val="00FA73B6"/>
    <w:rsid w:val="00FB0441"/>
    <w:rsid w:val="00FB0890"/>
    <w:rsid w:val="00FB25D3"/>
    <w:rsid w:val="00FB3AFA"/>
    <w:rsid w:val="00FB4958"/>
    <w:rsid w:val="00FC01F8"/>
    <w:rsid w:val="00FC0E0C"/>
    <w:rsid w:val="00FC4E61"/>
    <w:rsid w:val="00FC7F03"/>
    <w:rsid w:val="00FD34FA"/>
    <w:rsid w:val="00FD674C"/>
    <w:rsid w:val="00FD74D6"/>
    <w:rsid w:val="00FE0078"/>
    <w:rsid w:val="00FE229F"/>
    <w:rsid w:val="00FE4EB7"/>
    <w:rsid w:val="00FE56FD"/>
    <w:rsid w:val="00FF0FE0"/>
    <w:rsid w:val="00FF2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uiPriority="99"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uiPriority="99"/>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Strong" w:uiPriority="22"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uiPriority w:val="22"/>
    <w:qFormat/>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uiPriority w:val="99"/>
    <w:qFormat/>
    <w:rsid w:val="00613B7F"/>
    <w:pPr>
      <w:tabs>
        <w:tab w:val="left" w:pos="284"/>
      </w:tabs>
      <w:spacing w:after="40"/>
      <w:ind w:left="284" w:hanging="284"/>
    </w:pPr>
    <w:rPr>
      <w:sz w:val="18"/>
      <w:szCs w:val="20"/>
    </w:rPr>
  </w:style>
  <w:style w:type="character" w:customStyle="1" w:styleId="FootnoteTextChar">
    <w:name w:val="Footnote Text Char"/>
    <w:link w:val="FootnoteText"/>
    <w:uiPriority w:val="99"/>
    <w:rsid w:val="00613B7F"/>
    <w:rPr>
      <w:rFonts w:ascii="Calibri" w:hAnsi="Calibri"/>
      <w:sz w:val="18"/>
      <w:lang w:eastAsia="en-US"/>
    </w:rPr>
  </w:style>
  <w:style w:type="character" w:styleId="FootnoteReference">
    <w:name w:val="footnote reference"/>
    <w:uiPriority w:val="99"/>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paragraph" w:customStyle="1" w:styleId="TableBodyBullet">
    <w:name w:val="Table Body Bullet"/>
    <w:basedOn w:val="BodyText"/>
    <w:uiPriority w:val="1"/>
    <w:qFormat/>
    <w:rsid w:val="003E21E2"/>
    <w:pPr>
      <w:numPr>
        <w:numId w:val="47"/>
      </w:numPr>
      <w:tabs>
        <w:tab w:val="left" w:pos="851"/>
      </w:tabs>
      <w:spacing w:before="6" w:after="100" w:line="260" w:lineRule="atLeast"/>
    </w:pPr>
    <w:rPr>
      <w:rFonts w:ascii="Arial" w:hAnsi="Arial"/>
      <w:color w:val="1C1C1C"/>
      <w:sz w:val="18"/>
      <w:szCs w:val="18"/>
      <w:lang w:eastAsia="en-AU"/>
    </w:rPr>
  </w:style>
  <w:style w:type="paragraph" w:customStyle="1" w:styleId="TableBodyBullet2">
    <w:name w:val="Table Body Bullet 2"/>
    <w:basedOn w:val="TableBodyBullet"/>
    <w:uiPriority w:val="1"/>
    <w:qFormat/>
    <w:rsid w:val="003E21E2"/>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uiPriority="99"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uiPriority="99"/>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Strong" w:uiPriority="22"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uiPriority w:val="22"/>
    <w:qFormat/>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uiPriority w:val="99"/>
    <w:qFormat/>
    <w:rsid w:val="00613B7F"/>
    <w:pPr>
      <w:tabs>
        <w:tab w:val="left" w:pos="284"/>
      </w:tabs>
      <w:spacing w:after="40"/>
      <w:ind w:left="284" w:hanging="284"/>
    </w:pPr>
    <w:rPr>
      <w:sz w:val="18"/>
      <w:szCs w:val="20"/>
    </w:rPr>
  </w:style>
  <w:style w:type="character" w:customStyle="1" w:styleId="FootnoteTextChar">
    <w:name w:val="Footnote Text Char"/>
    <w:link w:val="FootnoteText"/>
    <w:uiPriority w:val="99"/>
    <w:rsid w:val="00613B7F"/>
    <w:rPr>
      <w:rFonts w:ascii="Calibri" w:hAnsi="Calibri"/>
      <w:sz w:val="18"/>
      <w:lang w:eastAsia="en-US"/>
    </w:rPr>
  </w:style>
  <w:style w:type="character" w:styleId="FootnoteReference">
    <w:name w:val="footnote reference"/>
    <w:uiPriority w:val="99"/>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paragraph" w:customStyle="1" w:styleId="TableBodyBullet">
    <w:name w:val="Table Body Bullet"/>
    <w:basedOn w:val="BodyText"/>
    <w:uiPriority w:val="1"/>
    <w:qFormat/>
    <w:rsid w:val="003E21E2"/>
    <w:pPr>
      <w:numPr>
        <w:numId w:val="47"/>
      </w:numPr>
      <w:tabs>
        <w:tab w:val="left" w:pos="851"/>
      </w:tabs>
      <w:spacing w:before="6" w:after="100" w:line="260" w:lineRule="atLeast"/>
    </w:pPr>
    <w:rPr>
      <w:rFonts w:ascii="Arial" w:hAnsi="Arial"/>
      <w:color w:val="1C1C1C"/>
      <w:sz w:val="18"/>
      <w:szCs w:val="18"/>
      <w:lang w:eastAsia="en-AU"/>
    </w:rPr>
  </w:style>
  <w:style w:type="paragraph" w:customStyle="1" w:styleId="TableBodyBullet2">
    <w:name w:val="Table Body Bullet 2"/>
    <w:basedOn w:val="TableBodyBullet"/>
    <w:uiPriority w:val="1"/>
    <w:qFormat/>
    <w:rsid w:val="003E21E2"/>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i.vic.gov.au/about-us/boards-and-governance/on-board-governance-guides-and-resources/induction-and-continuing-education" TargetMode="External"/><Relationship Id="rId18" Type="http://schemas.openxmlformats.org/officeDocument/2006/relationships/hyperlink" Target="http://www.delwp.vic.gov.au/onboard" TargetMode="External"/><Relationship Id="rId26" Type="http://schemas.openxmlformats.org/officeDocument/2006/relationships/hyperlink" Target="http://www.depi.vic.gov.au/about-us/boards-and-governance/on-board-governance-guides-and-resources/performance-assessment"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depi.vic.gov.au/about-us/boards-and-governance/on-board-governance-guides-and-resources/induction-and-continuing-education" TargetMode="External"/><Relationship Id="rId34" Type="http://schemas.openxmlformats.org/officeDocument/2006/relationships/hyperlink" Target="http://www.delwp.vic.gov.au/committtees" TargetMode="External"/><Relationship Id="rId42" Type="http://schemas.openxmlformats.org/officeDocument/2006/relationships/hyperlink" Target="http://www.relayservice.com.a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epi.vic.gov.au/about-us/boards-and-governance/on-board-governance-guides-and-resources/induction-and-continuing-education" TargetMode="External"/><Relationship Id="rId25" Type="http://schemas.openxmlformats.org/officeDocument/2006/relationships/hyperlink" Target="http://www.depi.vic.gov.au/about-us/boards-and-governance/on-board-governance-guides-and-resources/gifts-benefits-and-hospitality" TargetMode="External"/><Relationship Id="rId33" Type="http://schemas.openxmlformats.org/officeDocument/2006/relationships/hyperlink" Target="http://www.delwp.vic.gov.au/onboard" TargetMode="External"/><Relationship Id="rId38" Type="http://schemas.openxmlformats.org/officeDocument/2006/relationships/hyperlink" Target="http://www.delwp.vic.gov.au/onboar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psc.vic.gov.au/html-resources/code-of-conduct-for-victorian-public-sector-employees/" TargetMode="External"/><Relationship Id="rId20" Type="http://schemas.openxmlformats.org/officeDocument/2006/relationships/hyperlink" Target="http://www.delwp.vic.gov.au/onboard" TargetMode="External"/><Relationship Id="rId29" Type="http://schemas.openxmlformats.org/officeDocument/2006/relationships/hyperlink" Target="http://www.depi.vic.gov.au/about-us/boards-and-governance/on-board-governance-guides-and-resources/meetings-and-decision-making" TargetMode="External"/><Relationship Id="rId41"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depi.vic.gov.au/about-us/boards-and-governance/on-board-governance-guides-and-resources/dispute-resolution" TargetMode="External"/><Relationship Id="rId32" Type="http://schemas.openxmlformats.org/officeDocument/2006/relationships/hyperlink" Target="http://www.depi.vic.gov.au/about-us/boards-and-governance/on-board-governance-guides-and-resources/induction-and-continuing-education" TargetMode="External"/><Relationship Id="rId37" Type="http://schemas.openxmlformats.org/officeDocument/2006/relationships/hyperlink" Target="http://www.delwp.vic.gov.au" TargetMode="External"/><Relationship Id="rId40" Type="http://schemas.openxmlformats.org/officeDocument/2006/relationships/hyperlink" Target="http://creativecommons.org/licenses/by/4.0/" TargetMode="External"/><Relationship Id="rId45"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hyperlink" Target="http://vpsc.vic.gov.au/resources/code-of-conduct-for-directors/" TargetMode="External"/><Relationship Id="rId23" Type="http://schemas.openxmlformats.org/officeDocument/2006/relationships/hyperlink" Target="http://www.depi.vic.gov.au/about-us/boards-and-governance/on-board-governance-guides-and-resources/conflict-of-interest" TargetMode="External"/><Relationship Id="rId28" Type="http://schemas.openxmlformats.org/officeDocument/2006/relationships/hyperlink" Target="http://www.depi.vic.gov.au/onboard" TargetMode="External"/><Relationship Id="rId36" Type="http://schemas.openxmlformats.org/officeDocument/2006/relationships/hyperlink" Target="http://www.relayservice.com.au" TargetMode="External"/><Relationship Id="rId10" Type="http://schemas.openxmlformats.org/officeDocument/2006/relationships/footer" Target="footer1.xml"/><Relationship Id="rId19" Type="http://schemas.openxmlformats.org/officeDocument/2006/relationships/hyperlink" Target="http://vpsc.vic.gov.au/resources/code-of-conduct-for-directors/" TargetMode="External"/><Relationship Id="rId31" Type="http://schemas.openxmlformats.org/officeDocument/2006/relationships/hyperlink" Target="http://vpsc.vic.gov.au/html-resources/code-of-conduct-for-victorian-public-sector-employees/" TargetMode="External"/><Relationship Id="rId44" Type="http://schemas.openxmlformats.org/officeDocument/2006/relationships/hyperlink" Target="http://www.delwp.vic.gov.au/onboar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elwp.vic.gov.au/onboard" TargetMode="External"/><Relationship Id="rId22" Type="http://schemas.openxmlformats.org/officeDocument/2006/relationships/hyperlink" Target="http://www.depi.vic.gov.au/about-us/boards-and-governance/on-board-governance-guides-and-resources/code-of-conduct" TargetMode="External"/><Relationship Id="rId27" Type="http://schemas.openxmlformats.org/officeDocument/2006/relationships/hyperlink" Target="http://www.depi.vic.gov.au/about-us/boards-and-governance/on-board-governance-guides-and-resources/model-policies" TargetMode="External"/><Relationship Id="rId30" Type="http://schemas.openxmlformats.org/officeDocument/2006/relationships/hyperlink" Target="http://www.depi.vic.gov.au/about-us/boards-and-governance/on-board-governance-guides-and-resources/annual-reporting" TargetMode="External"/><Relationship Id="rId35" Type="http://schemas.openxmlformats.org/officeDocument/2006/relationships/hyperlink" Target="mailto:customer.service@delwp.vic.gov.au" TargetMode="External"/><Relationship Id="rId43" Type="http://schemas.openxmlformats.org/officeDocument/2006/relationships/hyperlink" Target="http://www.delwp.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155D-67F1-48DF-88CC-98E1D9B3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4</Pages>
  <Words>1373</Words>
  <Characters>10225</Characters>
  <Application>Microsoft Office Word</Application>
  <DocSecurity>0</DocSecurity>
  <Lines>352</Lines>
  <Paragraphs>263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2017-02-26T12:10:00Z</dcterms:created>
  <dcterms:modified xsi:type="dcterms:W3CDTF">2017-02-26T12:10:00Z</dcterms:modified>
</cp:coreProperties>
</file>