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6BC5D" w14:textId="28560E15" w:rsidR="00377A31" w:rsidRPr="00D30BFF" w:rsidRDefault="00377A31" w:rsidP="00377A31">
      <w:pPr>
        <w:pStyle w:val="Title"/>
        <w:rPr>
          <w:lang w:val="en-AU"/>
        </w:rPr>
      </w:pPr>
      <w:r w:rsidRPr="00D30BFF">
        <w:rPr>
          <w:lang w:val="en-AU"/>
        </w:rPr>
        <w:t>Department of Energy, Environment and Climate Action</w:t>
      </w:r>
    </w:p>
    <w:p w14:paraId="5A7B0D56" w14:textId="42517295" w:rsidR="007968FE" w:rsidRPr="00D30BFF" w:rsidRDefault="00377A31" w:rsidP="00377A31">
      <w:pPr>
        <w:pStyle w:val="Subtitle"/>
        <w:rPr>
          <w:lang w:val="en-AU"/>
        </w:rPr>
      </w:pPr>
      <w:r w:rsidRPr="00D30BFF">
        <w:rPr>
          <w:lang w:val="en-AU"/>
        </w:rPr>
        <w:t xml:space="preserve">Corporate Plan 2025 </w:t>
      </w:r>
      <w:r w:rsidR="00D30BFF">
        <w:rPr>
          <w:lang w:val="en-AU"/>
        </w:rPr>
        <w:t>-</w:t>
      </w:r>
      <w:r w:rsidRPr="00D30BFF">
        <w:rPr>
          <w:lang w:val="en-AU"/>
        </w:rPr>
        <w:t xml:space="preserve"> 2029</w:t>
      </w:r>
    </w:p>
    <w:p w14:paraId="3DBB9254" w14:textId="77777777" w:rsidR="00A51AD4" w:rsidRPr="00D30BFF" w:rsidRDefault="00A51AD4" w:rsidP="00D30BFF">
      <w:pPr>
        <w:pStyle w:val="TOAHeading"/>
        <w:pageBreakBefore/>
        <w:spacing w:before="600"/>
      </w:pPr>
      <w:r w:rsidRPr="00D30BFF">
        <w:lastRenderedPageBreak/>
        <w:t>Table of Contents</w:t>
      </w:r>
    </w:p>
    <w:p w14:paraId="18353063" w14:textId="52C52F64" w:rsidR="00D30BFF" w:rsidRDefault="00D30BFF">
      <w:pPr>
        <w:pStyle w:val="TOC1"/>
        <w:tabs>
          <w:tab w:val="right" w:leader="dot" w:pos="9628"/>
        </w:tabs>
        <w:rPr>
          <w:rFonts w:asciiTheme="minorHAnsi" w:hAnsiTheme="minorHAnsi" w:cstheme="minorBidi"/>
          <w:b/>
          <w:bCs w:val="0"/>
          <w:noProof/>
          <w:kern w:val="2"/>
          <w:lang w:eastAsia="en-GB"/>
          <w14:ligatures w14:val="standardContextual"/>
        </w:rPr>
      </w:pPr>
      <w:r>
        <w:rPr>
          <w:rFonts w:cstheme="majorHAnsi"/>
          <w:sz w:val="28"/>
        </w:rPr>
        <w:fldChar w:fldCharType="begin"/>
      </w:r>
      <w:r>
        <w:rPr>
          <w:rFonts w:cstheme="majorHAnsi"/>
          <w:sz w:val="28"/>
        </w:rPr>
        <w:instrText xml:space="preserve"> TOC \o "1-1" \h \z \u </w:instrText>
      </w:r>
      <w:r>
        <w:rPr>
          <w:rFonts w:cstheme="majorHAnsi"/>
          <w:sz w:val="28"/>
        </w:rPr>
        <w:fldChar w:fldCharType="separate"/>
      </w:r>
      <w:hyperlink w:anchor="_Toc207621351" w:history="1">
        <w:r w:rsidRPr="00B27AB6">
          <w:rPr>
            <w:rStyle w:val="Hyperlink"/>
            <w:noProof/>
          </w:rPr>
          <w:t>Message from the Secretary</w:t>
        </w:r>
        <w:r>
          <w:rPr>
            <w:noProof/>
            <w:webHidden/>
          </w:rPr>
          <w:tab/>
        </w:r>
        <w:r>
          <w:rPr>
            <w:noProof/>
            <w:webHidden/>
          </w:rPr>
          <w:fldChar w:fldCharType="begin"/>
        </w:r>
        <w:r>
          <w:rPr>
            <w:noProof/>
            <w:webHidden/>
          </w:rPr>
          <w:instrText xml:space="preserve"> PAGEREF _Toc207621351 \h </w:instrText>
        </w:r>
        <w:r>
          <w:rPr>
            <w:noProof/>
            <w:webHidden/>
          </w:rPr>
        </w:r>
        <w:r>
          <w:rPr>
            <w:noProof/>
            <w:webHidden/>
          </w:rPr>
          <w:fldChar w:fldCharType="separate"/>
        </w:r>
        <w:r>
          <w:rPr>
            <w:noProof/>
            <w:webHidden/>
          </w:rPr>
          <w:t>3</w:t>
        </w:r>
        <w:r>
          <w:rPr>
            <w:noProof/>
            <w:webHidden/>
          </w:rPr>
          <w:fldChar w:fldCharType="end"/>
        </w:r>
      </w:hyperlink>
    </w:p>
    <w:p w14:paraId="4B8E17C9" w14:textId="374DCA3C" w:rsidR="00D30BFF" w:rsidRDefault="00D30BFF">
      <w:pPr>
        <w:pStyle w:val="TOC1"/>
        <w:tabs>
          <w:tab w:val="right" w:leader="dot" w:pos="9628"/>
        </w:tabs>
        <w:rPr>
          <w:rFonts w:asciiTheme="minorHAnsi" w:hAnsiTheme="minorHAnsi" w:cstheme="minorBidi"/>
          <w:b/>
          <w:bCs w:val="0"/>
          <w:noProof/>
          <w:kern w:val="2"/>
          <w:lang w:eastAsia="en-GB"/>
          <w14:ligatures w14:val="standardContextual"/>
        </w:rPr>
      </w:pPr>
      <w:hyperlink w:anchor="_Toc207621352" w:history="1">
        <w:r w:rsidRPr="00B27AB6">
          <w:rPr>
            <w:rStyle w:val="Hyperlink"/>
            <w:noProof/>
          </w:rPr>
          <w:t>Our Ministers</w:t>
        </w:r>
        <w:r>
          <w:rPr>
            <w:noProof/>
            <w:webHidden/>
          </w:rPr>
          <w:tab/>
        </w:r>
        <w:r>
          <w:rPr>
            <w:noProof/>
            <w:webHidden/>
          </w:rPr>
          <w:fldChar w:fldCharType="begin"/>
        </w:r>
        <w:r>
          <w:rPr>
            <w:noProof/>
            <w:webHidden/>
          </w:rPr>
          <w:instrText xml:space="preserve"> PAGEREF _Toc207621352 \h </w:instrText>
        </w:r>
        <w:r>
          <w:rPr>
            <w:noProof/>
            <w:webHidden/>
          </w:rPr>
        </w:r>
        <w:r>
          <w:rPr>
            <w:noProof/>
            <w:webHidden/>
          </w:rPr>
          <w:fldChar w:fldCharType="separate"/>
        </w:r>
        <w:r>
          <w:rPr>
            <w:noProof/>
            <w:webHidden/>
          </w:rPr>
          <w:t>6</w:t>
        </w:r>
        <w:r>
          <w:rPr>
            <w:noProof/>
            <w:webHidden/>
          </w:rPr>
          <w:fldChar w:fldCharType="end"/>
        </w:r>
      </w:hyperlink>
    </w:p>
    <w:p w14:paraId="25336159" w14:textId="3DE98E45" w:rsidR="00D30BFF" w:rsidRDefault="00D30BFF">
      <w:pPr>
        <w:pStyle w:val="TOC1"/>
        <w:tabs>
          <w:tab w:val="right" w:leader="dot" w:pos="9628"/>
        </w:tabs>
        <w:rPr>
          <w:rFonts w:asciiTheme="minorHAnsi" w:hAnsiTheme="minorHAnsi" w:cstheme="minorBidi"/>
          <w:b/>
          <w:bCs w:val="0"/>
          <w:noProof/>
          <w:kern w:val="2"/>
          <w:lang w:eastAsia="en-GB"/>
          <w14:ligatures w14:val="standardContextual"/>
        </w:rPr>
      </w:pPr>
      <w:hyperlink w:anchor="_Toc207621353" w:history="1">
        <w:r w:rsidRPr="00B27AB6">
          <w:rPr>
            <w:rStyle w:val="Hyperlink"/>
            <w:noProof/>
          </w:rPr>
          <w:t>Department overview</w:t>
        </w:r>
        <w:r>
          <w:rPr>
            <w:noProof/>
            <w:webHidden/>
          </w:rPr>
          <w:tab/>
        </w:r>
        <w:r>
          <w:rPr>
            <w:noProof/>
            <w:webHidden/>
          </w:rPr>
          <w:fldChar w:fldCharType="begin"/>
        </w:r>
        <w:r>
          <w:rPr>
            <w:noProof/>
            <w:webHidden/>
          </w:rPr>
          <w:instrText xml:space="preserve"> PAGEREF _Toc207621353 \h </w:instrText>
        </w:r>
        <w:r>
          <w:rPr>
            <w:noProof/>
            <w:webHidden/>
          </w:rPr>
        </w:r>
        <w:r>
          <w:rPr>
            <w:noProof/>
            <w:webHidden/>
          </w:rPr>
          <w:fldChar w:fldCharType="separate"/>
        </w:r>
        <w:r>
          <w:rPr>
            <w:noProof/>
            <w:webHidden/>
          </w:rPr>
          <w:t>7</w:t>
        </w:r>
        <w:r>
          <w:rPr>
            <w:noProof/>
            <w:webHidden/>
          </w:rPr>
          <w:fldChar w:fldCharType="end"/>
        </w:r>
      </w:hyperlink>
    </w:p>
    <w:p w14:paraId="3F2A5951" w14:textId="5F62CA6B" w:rsidR="00D30BFF" w:rsidRDefault="00D30BFF">
      <w:pPr>
        <w:pStyle w:val="TOC1"/>
        <w:tabs>
          <w:tab w:val="right" w:leader="dot" w:pos="9628"/>
        </w:tabs>
        <w:rPr>
          <w:rFonts w:asciiTheme="minorHAnsi" w:hAnsiTheme="minorHAnsi" w:cstheme="minorBidi"/>
          <w:b/>
          <w:bCs w:val="0"/>
          <w:noProof/>
          <w:kern w:val="2"/>
          <w:lang w:eastAsia="en-GB"/>
          <w14:ligatures w14:val="standardContextual"/>
        </w:rPr>
      </w:pPr>
      <w:hyperlink w:anchor="_Toc207621354" w:history="1">
        <w:r w:rsidRPr="00B27AB6">
          <w:rPr>
            <w:rStyle w:val="Hyperlink"/>
            <w:noProof/>
          </w:rPr>
          <w:t>Our groups</w:t>
        </w:r>
        <w:r>
          <w:rPr>
            <w:noProof/>
            <w:webHidden/>
          </w:rPr>
          <w:tab/>
        </w:r>
        <w:r>
          <w:rPr>
            <w:noProof/>
            <w:webHidden/>
          </w:rPr>
          <w:fldChar w:fldCharType="begin"/>
        </w:r>
        <w:r>
          <w:rPr>
            <w:noProof/>
            <w:webHidden/>
          </w:rPr>
          <w:instrText xml:space="preserve"> PAGEREF _Toc207621354 \h </w:instrText>
        </w:r>
        <w:r>
          <w:rPr>
            <w:noProof/>
            <w:webHidden/>
          </w:rPr>
        </w:r>
        <w:r>
          <w:rPr>
            <w:noProof/>
            <w:webHidden/>
          </w:rPr>
          <w:fldChar w:fldCharType="separate"/>
        </w:r>
        <w:r>
          <w:rPr>
            <w:noProof/>
            <w:webHidden/>
          </w:rPr>
          <w:t>10</w:t>
        </w:r>
        <w:r>
          <w:rPr>
            <w:noProof/>
            <w:webHidden/>
          </w:rPr>
          <w:fldChar w:fldCharType="end"/>
        </w:r>
      </w:hyperlink>
    </w:p>
    <w:p w14:paraId="56B144ED" w14:textId="49F5B3FE" w:rsidR="00D30BFF" w:rsidRDefault="00D30BFF">
      <w:pPr>
        <w:pStyle w:val="TOC1"/>
        <w:tabs>
          <w:tab w:val="right" w:leader="dot" w:pos="9628"/>
        </w:tabs>
        <w:rPr>
          <w:rFonts w:asciiTheme="minorHAnsi" w:hAnsiTheme="minorHAnsi" w:cstheme="minorBidi"/>
          <w:b/>
          <w:bCs w:val="0"/>
          <w:noProof/>
          <w:kern w:val="2"/>
          <w:lang w:eastAsia="en-GB"/>
          <w14:ligatures w14:val="standardContextual"/>
        </w:rPr>
      </w:pPr>
      <w:hyperlink w:anchor="_Toc207621355" w:history="1">
        <w:r w:rsidRPr="00B27AB6">
          <w:rPr>
            <w:rStyle w:val="Hyperlink"/>
            <w:noProof/>
          </w:rPr>
          <w:t>Organisational Chart from 1 July 2025</w:t>
        </w:r>
        <w:r>
          <w:rPr>
            <w:noProof/>
            <w:webHidden/>
          </w:rPr>
          <w:tab/>
        </w:r>
        <w:r>
          <w:rPr>
            <w:noProof/>
            <w:webHidden/>
          </w:rPr>
          <w:fldChar w:fldCharType="begin"/>
        </w:r>
        <w:r>
          <w:rPr>
            <w:noProof/>
            <w:webHidden/>
          </w:rPr>
          <w:instrText xml:space="preserve"> PAGEREF _Toc207621355 \h </w:instrText>
        </w:r>
        <w:r>
          <w:rPr>
            <w:noProof/>
            <w:webHidden/>
          </w:rPr>
        </w:r>
        <w:r>
          <w:rPr>
            <w:noProof/>
            <w:webHidden/>
          </w:rPr>
          <w:fldChar w:fldCharType="separate"/>
        </w:r>
        <w:r>
          <w:rPr>
            <w:noProof/>
            <w:webHidden/>
          </w:rPr>
          <w:t>14</w:t>
        </w:r>
        <w:r>
          <w:rPr>
            <w:noProof/>
            <w:webHidden/>
          </w:rPr>
          <w:fldChar w:fldCharType="end"/>
        </w:r>
      </w:hyperlink>
    </w:p>
    <w:p w14:paraId="69AE2365" w14:textId="10A46878" w:rsidR="00D30BFF" w:rsidRDefault="00D30BFF">
      <w:pPr>
        <w:pStyle w:val="TOC1"/>
        <w:tabs>
          <w:tab w:val="right" w:leader="dot" w:pos="9628"/>
        </w:tabs>
        <w:rPr>
          <w:rFonts w:asciiTheme="minorHAnsi" w:hAnsiTheme="minorHAnsi" w:cstheme="minorBidi"/>
          <w:b/>
          <w:bCs w:val="0"/>
          <w:noProof/>
          <w:kern w:val="2"/>
          <w:lang w:eastAsia="en-GB"/>
          <w14:ligatures w14:val="standardContextual"/>
        </w:rPr>
      </w:pPr>
      <w:hyperlink w:anchor="_Toc207621356" w:history="1">
        <w:r w:rsidRPr="00B27AB6">
          <w:rPr>
            <w:rStyle w:val="Hyperlink"/>
            <w:noProof/>
          </w:rPr>
          <w:t>Our operating environment</w:t>
        </w:r>
        <w:r>
          <w:rPr>
            <w:noProof/>
            <w:webHidden/>
          </w:rPr>
          <w:tab/>
        </w:r>
        <w:r>
          <w:rPr>
            <w:noProof/>
            <w:webHidden/>
          </w:rPr>
          <w:fldChar w:fldCharType="begin"/>
        </w:r>
        <w:r>
          <w:rPr>
            <w:noProof/>
            <w:webHidden/>
          </w:rPr>
          <w:instrText xml:space="preserve"> PAGEREF _Toc207621356 \h </w:instrText>
        </w:r>
        <w:r>
          <w:rPr>
            <w:noProof/>
            <w:webHidden/>
          </w:rPr>
        </w:r>
        <w:r>
          <w:rPr>
            <w:noProof/>
            <w:webHidden/>
          </w:rPr>
          <w:fldChar w:fldCharType="separate"/>
        </w:r>
        <w:r>
          <w:rPr>
            <w:noProof/>
            <w:webHidden/>
          </w:rPr>
          <w:t>15</w:t>
        </w:r>
        <w:r>
          <w:rPr>
            <w:noProof/>
            <w:webHidden/>
          </w:rPr>
          <w:fldChar w:fldCharType="end"/>
        </w:r>
      </w:hyperlink>
    </w:p>
    <w:p w14:paraId="5890B7BA" w14:textId="0B915049" w:rsidR="00D30BFF" w:rsidRDefault="00D30BFF">
      <w:pPr>
        <w:pStyle w:val="TOC1"/>
        <w:tabs>
          <w:tab w:val="right" w:leader="dot" w:pos="9628"/>
        </w:tabs>
        <w:rPr>
          <w:rFonts w:asciiTheme="minorHAnsi" w:hAnsiTheme="minorHAnsi" w:cstheme="minorBidi"/>
          <w:b/>
          <w:bCs w:val="0"/>
          <w:noProof/>
          <w:kern w:val="2"/>
          <w:lang w:eastAsia="en-GB"/>
          <w14:ligatures w14:val="standardContextual"/>
        </w:rPr>
      </w:pPr>
      <w:hyperlink w:anchor="_Toc207621357" w:history="1">
        <w:r w:rsidRPr="00B27AB6">
          <w:rPr>
            <w:rStyle w:val="Hyperlink"/>
            <w:noProof/>
          </w:rPr>
          <w:t>DEECA’s role in supporting economic growth</w:t>
        </w:r>
        <w:r>
          <w:rPr>
            <w:noProof/>
            <w:webHidden/>
          </w:rPr>
          <w:tab/>
        </w:r>
        <w:r>
          <w:rPr>
            <w:noProof/>
            <w:webHidden/>
          </w:rPr>
          <w:fldChar w:fldCharType="begin"/>
        </w:r>
        <w:r>
          <w:rPr>
            <w:noProof/>
            <w:webHidden/>
          </w:rPr>
          <w:instrText xml:space="preserve"> PAGEREF _Toc207621357 \h </w:instrText>
        </w:r>
        <w:r>
          <w:rPr>
            <w:noProof/>
            <w:webHidden/>
          </w:rPr>
        </w:r>
        <w:r>
          <w:rPr>
            <w:noProof/>
            <w:webHidden/>
          </w:rPr>
          <w:fldChar w:fldCharType="separate"/>
        </w:r>
        <w:r>
          <w:rPr>
            <w:noProof/>
            <w:webHidden/>
          </w:rPr>
          <w:t>20</w:t>
        </w:r>
        <w:r>
          <w:rPr>
            <w:noProof/>
            <w:webHidden/>
          </w:rPr>
          <w:fldChar w:fldCharType="end"/>
        </w:r>
      </w:hyperlink>
    </w:p>
    <w:p w14:paraId="42E532D6" w14:textId="031A4431" w:rsidR="00D30BFF" w:rsidRDefault="00D30BFF">
      <w:pPr>
        <w:pStyle w:val="TOC1"/>
        <w:tabs>
          <w:tab w:val="right" w:leader="dot" w:pos="9628"/>
        </w:tabs>
        <w:rPr>
          <w:rFonts w:asciiTheme="minorHAnsi" w:hAnsiTheme="minorHAnsi" w:cstheme="minorBidi"/>
          <w:b/>
          <w:bCs w:val="0"/>
          <w:noProof/>
          <w:kern w:val="2"/>
          <w:lang w:eastAsia="en-GB"/>
          <w14:ligatures w14:val="standardContextual"/>
        </w:rPr>
      </w:pPr>
      <w:hyperlink w:anchor="_Toc207621358" w:history="1">
        <w:r w:rsidRPr="00B27AB6">
          <w:rPr>
            <w:rStyle w:val="Hyperlink"/>
            <w:noProof/>
          </w:rPr>
          <w:t>Aboriginal Self</w:t>
        </w:r>
        <w:r w:rsidRPr="00B27AB6">
          <w:rPr>
            <w:rStyle w:val="Hyperlink"/>
            <w:rFonts w:ascii="Cambria Math" w:hAnsi="Cambria Math" w:cs="Cambria Math"/>
            <w:noProof/>
          </w:rPr>
          <w:t>‑</w:t>
        </w:r>
        <w:r w:rsidRPr="00B27AB6">
          <w:rPr>
            <w:rStyle w:val="Hyperlink"/>
            <w:noProof/>
          </w:rPr>
          <w:t>Determination</w:t>
        </w:r>
        <w:r>
          <w:rPr>
            <w:noProof/>
            <w:webHidden/>
          </w:rPr>
          <w:tab/>
        </w:r>
        <w:r>
          <w:rPr>
            <w:noProof/>
            <w:webHidden/>
          </w:rPr>
          <w:fldChar w:fldCharType="begin"/>
        </w:r>
        <w:r>
          <w:rPr>
            <w:noProof/>
            <w:webHidden/>
          </w:rPr>
          <w:instrText xml:space="preserve"> PAGEREF _Toc207621358 \h </w:instrText>
        </w:r>
        <w:r>
          <w:rPr>
            <w:noProof/>
            <w:webHidden/>
          </w:rPr>
        </w:r>
        <w:r>
          <w:rPr>
            <w:noProof/>
            <w:webHidden/>
          </w:rPr>
          <w:fldChar w:fldCharType="separate"/>
        </w:r>
        <w:r>
          <w:rPr>
            <w:noProof/>
            <w:webHidden/>
          </w:rPr>
          <w:t>22</w:t>
        </w:r>
        <w:r>
          <w:rPr>
            <w:noProof/>
            <w:webHidden/>
          </w:rPr>
          <w:fldChar w:fldCharType="end"/>
        </w:r>
      </w:hyperlink>
    </w:p>
    <w:p w14:paraId="6DDC1488" w14:textId="7964E905" w:rsidR="00D30BFF" w:rsidRDefault="00D30BFF">
      <w:pPr>
        <w:pStyle w:val="TOC1"/>
        <w:tabs>
          <w:tab w:val="right" w:leader="dot" w:pos="9628"/>
        </w:tabs>
        <w:rPr>
          <w:rFonts w:asciiTheme="minorHAnsi" w:hAnsiTheme="minorHAnsi" w:cstheme="minorBidi"/>
          <w:b/>
          <w:bCs w:val="0"/>
          <w:noProof/>
          <w:kern w:val="2"/>
          <w:lang w:eastAsia="en-GB"/>
          <w14:ligatures w14:val="standardContextual"/>
        </w:rPr>
      </w:pPr>
      <w:hyperlink w:anchor="_Toc207621359" w:history="1">
        <w:r w:rsidRPr="00B27AB6">
          <w:rPr>
            <w:rStyle w:val="Hyperlink"/>
            <w:noProof/>
          </w:rPr>
          <w:t>DEECA Community Charter</w:t>
        </w:r>
        <w:r>
          <w:rPr>
            <w:noProof/>
            <w:webHidden/>
          </w:rPr>
          <w:tab/>
        </w:r>
        <w:r>
          <w:rPr>
            <w:noProof/>
            <w:webHidden/>
          </w:rPr>
          <w:fldChar w:fldCharType="begin"/>
        </w:r>
        <w:r>
          <w:rPr>
            <w:noProof/>
            <w:webHidden/>
          </w:rPr>
          <w:instrText xml:space="preserve"> PAGEREF _Toc207621359 \h </w:instrText>
        </w:r>
        <w:r>
          <w:rPr>
            <w:noProof/>
            <w:webHidden/>
          </w:rPr>
        </w:r>
        <w:r>
          <w:rPr>
            <w:noProof/>
            <w:webHidden/>
          </w:rPr>
          <w:fldChar w:fldCharType="separate"/>
        </w:r>
        <w:r>
          <w:rPr>
            <w:noProof/>
            <w:webHidden/>
          </w:rPr>
          <w:t>23</w:t>
        </w:r>
        <w:r>
          <w:rPr>
            <w:noProof/>
            <w:webHidden/>
          </w:rPr>
          <w:fldChar w:fldCharType="end"/>
        </w:r>
      </w:hyperlink>
    </w:p>
    <w:p w14:paraId="2F0C889D" w14:textId="1CFDCE55" w:rsidR="00D30BFF" w:rsidRDefault="00D30BFF">
      <w:pPr>
        <w:pStyle w:val="TOC1"/>
        <w:tabs>
          <w:tab w:val="right" w:leader="dot" w:pos="9628"/>
        </w:tabs>
        <w:rPr>
          <w:rFonts w:asciiTheme="minorHAnsi" w:hAnsiTheme="minorHAnsi" w:cstheme="minorBidi"/>
          <w:b/>
          <w:bCs w:val="0"/>
          <w:noProof/>
          <w:kern w:val="2"/>
          <w:lang w:eastAsia="en-GB"/>
          <w14:ligatures w14:val="standardContextual"/>
        </w:rPr>
      </w:pPr>
      <w:hyperlink w:anchor="_Toc207621360" w:history="1">
        <w:r w:rsidRPr="00B27AB6">
          <w:rPr>
            <w:rStyle w:val="Hyperlink"/>
            <w:noProof/>
          </w:rPr>
          <w:t>Cross-cutting themes</w:t>
        </w:r>
        <w:r>
          <w:rPr>
            <w:noProof/>
            <w:webHidden/>
          </w:rPr>
          <w:tab/>
        </w:r>
        <w:r>
          <w:rPr>
            <w:noProof/>
            <w:webHidden/>
          </w:rPr>
          <w:fldChar w:fldCharType="begin"/>
        </w:r>
        <w:r>
          <w:rPr>
            <w:noProof/>
            <w:webHidden/>
          </w:rPr>
          <w:instrText xml:space="preserve"> PAGEREF _Toc207621360 \h </w:instrText>
        </w:r>
        <w:r>
          <w:rPr>
            <w:noProof/>
            <w:webHidden/>
          </w:rPr>
        </w:r>
        <w:r>
          <w:rPr>
            <w:noProof/>
            <w:webHidden/>
          </w:rPr>
          <w:fldChar w:fldCharType="separate"/>
        </w:r>
        <w:r>
          <w:rPr>
            <w:noProof/>
            <w:webHidden/>
          </w:rPr>
          <w:t>25</w:t>
        </w:r>
        <w:r>
          <w:rPr>
            <w:noProof/>
            <w:webHidden/>
          </w:rPr>
          <w:fldChar w:fldCharType="end"/>
        </w:r>
      </w:hyperlink>
    </w:p>
    <w:p w14:paraId="0EE1B565" w14:textId="12A7E7F7" w:rsidR="00D30BFF" w:rsidRDefault="00D30BFF">
      <w:pPr>
        <w:pStyle w:val="TOC1"/>
        <w:tabs>
          <w:tab w:val="right" w:leader="dot" w:pos="9628"/>
        </w:tabs>
        <w:rPr>
          <w:rFonts w:asciiTheme="minorHAnsi" w:hAnsiTheme="minorHAnsi" w:cstheme="minorBidi"/>
          <w:b/>
          <w:bCs w:val="0"/>
          <w:noProof/>
          <w:kern w:val="2"/>
          <w:lang w:eastAsia="en-GB"/>
          <w14:ligatures w14:val="standardContextual"/>
        </w:rPr>
      </w:pPr>
      <w:hyperlink w:anchor="_Toc207621361" w:history="1">
        <w:r w:rsidRPr="00B27AB6">
          <w:rPr>
            <w:rStyle w:val="Hyperlink"/>
            <w:noProof/>
          </w:rPr>
          <w:t>Sustainable Development Goals</w:t>
        </w:r>
        <w:r>
          <w:rPr>
            <w:noProof/>
            <w:webHidden/>
          </w:rPr>
          <w:tab/>
        </w:r>
        <w:r>
          <w:rPr>
            <w:noProof/>
            <w:webHidden/>
          </w:rPr>
          <w:fldChar w:fldCharType="begin"/>
        </w:r>
        <w:r>
          <w:rPr>
            <w:noProof/>
            <w:webHidden/>
          </w:rPr>
          <w:instrText xml:space="preserve"> PAGEREF _Toc207621361 \h </w:instrText>
        </w:r>
        <w:r>
          <w:rPr>
            <w:noProof/>
            <w:webHidden/>
          </w:rPr>
        </w:r>
        <w:r>
          <w:rPr>
            <w:noProof/>
            <w:webHidden/>
          </w:rPr>
          <w:fldChar w:fldCharType="separate"/>
        </w:r>
        <w:r>
          <w:rPr>
            <w:noProof/>
            <w:webHidden/>
          </w:rPr>
          <w:t>34</w:t>
        </w:r>
        <w:r>
          <w:rPr>
            <w:noProof/>
            <w:webHidden/>
          </w:rPr>
          <w:fldChar w:fldCharType="end"/>
        </w:r>
      </w:hyperlink>
    </w:p>
    <w:p w14:paraId="03F8ACAD" w14:textId="50408D59" w:rsidR="00D30BFF" w:rsidRDefault="00D30BFF">
      <w:pPr>
        <w:pStyle w:val="TOC1"/>
        <w:tabs>
          <w:tab w:val="right" w:leader="dot" w:pos="9628"/>
        </w:tabs>
        <w:rPr>
          <w:rFonts w:asciiTheme="minorHAnsi" w:hAnsiTheme="minorHAnsi" w:cstheme="minorBidi"/>
          <w:b/>
          <w:bCs w:val="0"/>
          <w:noProof/>
          <w:kern w:val="2"/>
          <w:lang w:eastAsia="en-GB"/>
          <w14:ligatures w14:val="standardContextual"/>
        </w:rPr>
      </w:pPr>
      <w:hyperlink w:anchor="_Toc207621362" w:history="1">
        <w:r w:rsidRPr="00B27AB6">
          <w:rPr>
            <w:rStyle w:val="Hyperlink"/>
            <w:noProof/>
          </w:rPr>
          <w:t>One-DEECA: This is our business</w:t>
        </w:r>
        <w:r>
          <w:rPr>
            <w:noProof/>
            <w:webHidden/>
          </w:rPr>
          <w:tab/>
        </w:r>
        <w:r>
          <w:rPr>
            <w:noProof/>
            <w:webHidden/>
          </w:rPr>
          <w:fldChar w:fldCharType="begin"/>
        </w:r>
        <w:r>
          <w:rPr>
            <w:noProof/>
            <w:webHidden/>
          </w:rPr>
          <w:instrText xml:space="preserve"> PAGEREF _Toc207621362 \h </w:instrText>
        </w:r>
        <w:r>
          <w:rPr>
            <w:noProof/>
            <w:webHidden/>
          </w:rPr>
        </w:r>
        <w:r>
          <w:rPr>
            <w:noProof/>
            <w:webHidden/>
          </w:rPr>
          <w:fldChar w:fldCharType="separate"/>
        </w:r>
        <w:r>
          <w:rPr>
            <w:noProof/>
            <w:webHidden/>
          </w:rPr>
          <w:t>38</w:t>
        </w:r>
        <w:r>
          <w:rPr>
            <w:noProof/>
            <w:webHidden/>
          </w:rPr>
          <w:fldChar w:fldCharType="end"/>
        </w:r>
      </w:hyperlink>
    </w:p>
    <w:p w14:paraId="7605192C" w14:textId="381F04E3" w:rsidR="00D30BFF" w:rsidRDefault="00D30BFF">
      <w:pPr>
        <w:pStyle w:val="TOC1"/>
        <w:tabs>
          <w:tab w:val="right" w:leader="dot" w:pos="9628"/>
        </w:tabs>
        <w:rPr>
          <w:rFonts w:asciiTheme="minorHAnsi" w:hAnsiTheme="minorHAnsi" w:cstheme="minorBidi"/>
          <w:b/>
          <w:bCs w:val="0"/>
          <w:noProof/>
          <w:kern w:val="2"/>
          <w:lang w:eastAsia="en-GB"/>
          <w14:ligatures w14:val="standardContextual"/>
        </w:rPr>
      </w:pPr>
      <w:hyperlink w:anchor="_Toc207621363" w:history="1">
        <w:r w:rsidRPr="00B27AB6">
          <w:rPr>
            <w:rStyle w:val="Hyperlink"/>
            <w:noProof/>
          </w:rPr>
          <w:t>Our outcomes</w:t>
        </w:r>
        <w:r>
          <w:rPr>
            <w:noProof/>
            <w:webHidden/>
          </w:rPr>
          <w:tab/>
        </w:r>
        <w:r>
          <w:rPr>
            <w:noProof/>
            <w:webHidden/>
          </w:rPr>
          <w:fldChar w:fldCharType="begin"/>
        </w:r>
        <w:r>
          <w:rPr>
            <w:noProof/>
            <w:webHidden/>
          </w:rPr>
          <w:instrText xml:space="preserve"> PAGEREF _Toc207621363 \h </w:instrText>
        </w:r>
        <w:r>
          <w:rPr>
            <w:noProof/>
            <w:webHidden/>
          </w:rPr>
        </w:r>
        <w:r>
          <w:rPr>
            <w:noProof/>
            <w:webHidden/>
          </w:rPr>
          <w:fldChar w:fldCharType="separate"/>
        </w:r>
        <w:r>
          <w:rPr>
            <w:noProof/>
            <w:webHidden/>
          </w:rPr>
          <w:t>45</w:t>
        </w:r>
        <w:r>
          <w:rPr>
            <w:noProof/>
            <w:webHidden/>
          </w:rPr>
          <w:fldChar w:fldCharType="end"/>
        </w:r>
      </w:hyperlink>
    </w:p>
    <w:p w14:paraId="3CA3B342" w14:textId="5E4DDAF4" w:rsidR="00D30BFF" w:rsidRDefault="00D30BFF" w:rsidP="00D30BFF">
      <w:pPr>
        <w:pStyle w:val="TOC1"/>
        <w:tabs>
          <w:tab w:val="left" w:pos="567"/>
          <w:tab w:val="right" w:leader="dot" w:pos="9628"/>
        </w:tabs>
        <w:ind w:left="426" w:hanging="426"/>
        <w:rPr>
          <w:rFonts w:asciiTheme="minorHAnsi" w:hAnsiTheme="minorHAnsi" w:cstheme="minorBidi"/>
          <w:b/>
          <w:bCs w:val="0"/>
          <w:noProof/>
          <w:kern w:val="2"/>
          <w:lang w:eastAsia="en-GB"/>
          <w14:ligatures w14:val="standardContextual"/>
        </w:rPr>
      </w:pPr>
      <w:hyperlink w:anchor="_Toc207621364" w:history="1">
        <w:r w:rsidRPr="00B27AB6">
          <w:rPr>
            <w:rStyle w:val="Hyperlink"/>
            <w:noProof/>
          </w:rPr>
          <w:t>Agriculture and Forestry</w:t>
        </w:r>
        <w:r>
          <w:rPr>
            <w:noProof/>
            <w:webHidden/>
          </w:rPr>
          <w:tab/>
        </w:r>
        <w:r>
          <w:rPr>
            <w:noProof/>
            <w:webHidden/>
          </w:rPr>
          <w:fldChar w:fldCharType="begin"/>
        </w:r>
        <w:r>
          <w:rPr>
            <w:noProof/>
            <w:webHidden/>
          </w:rPr>
          <w:instrText xml:space="preserve"> PAGEREF _Toc207621364 \h </w:instrText>
        </w:r>
        <w:r>
          <w:rPr>
            <w:noProof/>
            <w:webHidden/>
          </w:rPr>
        </w:r>
        <w:r>
          <w:rPr>
            <w:noProof/>
            <w:webHidden/>
          </w:rPr>
          <w:fldChar w:fldCharType="separate"/>
        </w:r>
        <w:r>
          <w:rPr>
            <w:noProof/>
            <w:webHidden/>
          </w:rPr>
          <w:t>46</w:t>
        </w:r>
        <w:r>
          <w:rPr>
            <w:noProof/>
            <w:webHidden/>
          </w:rPr>
          <w:fldChar w:fldCharType="end"/>
        </w:r>
      </w:hyperlink>
    </w:p>
    <w:p w14:paraId="6F20B1A2" w14:textId="7CC70D84" w:rsidR="00D30BFF" w:rsidRDefault="00D30BFF" w:rsidP="00D30BFF">
      <w:pPr>
        <w:pStyle w:val="TOC1"/>
        <w:tabs>
          <w:tab w:val="left" w:pos="567"/>
          <w:tab w:val="right" w:leader="dot" w:pos="9628"/>
        </w:tabs>
        <w:ind w:left="426" w:hanging="426"/>
        <w:rPr>
          <w:rFonts w:asciiTheme="minorHAnsi" w:hAnsiTheme="minorHAnsi" w:cstheme="minorBidi"/>
          <w:b/>
          <w:bCs w:val="0"/>
          <w:noProof/>
          <w:kern w:val="2"/>
          <w:lang w:eastAsia="en-GB"/>
          <w14:ligatures w14:val="standardContextual"/>
        </w:rPr>
      </w:pPr>
      <w:hyperlink w:anchor="_Toc207621365" w:history="1">
        <w:r w:rsidRPr="00B27AB6">
          <w:rPr>
            <w:rStyle w:val="Hyperlink"/>
            <w:noProof/>
          </w:rPr>
          <w:t>Climate Action</w:t>
        </w:r>
        <w:r>
          <w:rPr>
            <w:noProof/>
            <w:webHidden/>
          </w:rPr>
          <w:tab/>
        </w:r>
        <w:r>
          <w:rPr>
            <w:noProof/>
            <w:webHidden/>
          </w:rPr>
          <w:fldChar w:fldCharType="begin"/>
        </w:r>
        <w:r>
          <w:rPr>
            <w:noProof/>
            <w:webHidden/>
          </w:rPr>
          <w:instrText xml:space="preserve"> PAGEREF _Toc207621365 \h </w:instrText>
        </w:r>
        <w:r>
          <w:rPr>
            <w:noProof/>
            <w:webHidden/>
          </w:rPr>
        </w:r>
        <w:r>
          <w:rPr>
            <w:noProof/>
            <w:webHidden/>
          </w:rPr>
          <w:fldChar w:fldCharType="separate"/>
        </w:r>
        <w:r>
          <w:rPr>
            <w:noProof/>
            <w:webHidden/>
          </w:rPr>
          <w:t>50</w:t>
        </w:r>
        <w:r>
          <w:rPr>
            <w:noProof/>
            <w:webHidden/>
          </w:rPr>
          <w:fldChar w:fldCharType="end"/>
        </w:r>
      </w:hyperlink>
    </w:p>
    <w:p w14:paraId="544B78B4" w14:textId="734E701F" w:rsidR="00D30BFF" w:rsidRDefault="00D30BFF" w:rsidP="00D30BFF">
      <w:pPr>
        <w:pStyle w:val="TOC1"/>
        <w:tabs>
          <w:tab w:val="left" w:pos="567"/>
          <w:tab w:val="right" w:leader="dot" w:pos="9628"/>
        </w:tabs>
        <w:ind w:left="426" w:hanging="426"/>
        <w:rPr>
          <w:rFonts w:asciiTheme="minorHAnsi" w:hAnsiTheme="minorHAnsi" w:cstheme="minorBidi"/>
          <w:b/>
          <w:bCs w:val="0"/>
          <w:noProof/>
          <w:kern w:val="2"/>
          <w:lang w:eastAsia="en-GB"/>
          <w14:ligatures w14:val="standardContextual"/>
        </w:rPr>
      </w:pPr>
      <w:hyperlink w:anchor="_Toc207621366" w:history="1">
        <w:r w:rsidRPr="00B27AB6">
          <w:rPr>
            <w:rStyle w:val="Hyperlink"/>
            <w:noProof/>
          </w:rPr>
          <w:t>Earth Resources</w:t>
        </w:r>
        <w:r>
          <w:rPr>
            <w:noProof/>
            <w:webHidden/>
          </w:rPr>
          <w:tab/>
        </w:r>
        <w:r>
          <w:rPr>
            <w:noProof/>
            <w:webHidden/>
          </w:rPr>
          <w:fldChar w:fldCharType="begin"/>
        </w:r>
        <w:r>
          <w:rPr>
            <w:noProof/>
            <w:webHidden/>
          </w:rPr>
          <w:instrText xml:space="preserve"> PAGEREF _Toc207621366 \h </w:instrText>
        </w:r>
        <w:r>
          <w:rPr>
            <w:noProof/>
            <w:webHidden/>
          </w:rPr>
        </w:r>
        <w:r>
          <w:rPr>
            <w:noProof/>
            <w:webHidden/>
          </w:rPr>
          <w:fldChar w:fldCharType="separate"/>
        </w:r>
        <w:r>
          <w:rPr>
            <w:noProof/>
            <w:webHidden/>
          </w:rPr>
          <w:t>53</w:t>
        </w:r>
        <w:r>
          <w:rPr>
            <w:noProof/>
            <w:webHidden/>
          </w:rPr>
          <w:fldChar w:fldCharType="end"/>
        </w:r>
      </w:hyperlink>
    </w:p>
    <w:p w14:paraId="6E627DF6" w14:textId="0D9F66C3" w:rsidR="00D30BFF" w:rsidRDefault="00D30BFF" w:rsidP="00D30BFF">
      <w:pPr>
        <w:pStyle w:val="TOC1"/>
        <w:tabs>
          <w:tab w:val="left" w:pos="567"/>
          <w:tab w:val="right" w:leader="dot" w:pos="9628"/>
        </w:tabs>
        <w:ind w:left="426" w:hanging="426"/>
        <w:rPr>
          <w:rFonts w:asciiTheme="minorHAnsi" w:hAnsiTheme="minorHAnsi" w:cstheme="minorBidi"/>
          <w:b/>
          <w:bCs w:val="0"/>
          <w:noProof/>
          <w:kern w:val="2"/>
          <w:lang w:eastAsia="en-GB"/>
          <w14:ligatures w14:val="standardContextual"/>
        </w:rPr>
      </w:pPr>
      <w:hyperlink w:anchor="_Toc207621367" w:history="1">
        <w:r w:rsidRPr="00B27AB6">
          <w:rPr>
            <w:rStyle w:val="Hyperlink"/>
            <w:noProof/>
          </w:rPr>
          <w:t>Emergency Management</w:t>
        </w:r>
        <w:r>
          <w:rPr>
            <w:noProof/>
            <w:webHidden/>
          </w:rPr>
          <w:tab/>
        </w:r>
        <w:r>
          <w:rPr>
            <w:noProof/>
            <w:webHidden/>
          </w:rPr>
          <w:fldChar w:fldCharType="begin"/>
        </w:r>
        <w:r>
          <w:rPr>
            <w:noProof/>
            <w:webHidden/>
          </w:rPr>
          <w:instrText xml:space="preserve"> PAGEREF _Toc207621367 \h </w:instrText>
        </w:r>
        <w:r>
          <w:rPr>
            <w:noProof/>
            <w:webHidden/>
          </w:rPr>
        </w:r>
        <w:r>
          <w:rPr>
            <w:noProof/>
            <w:webHidden/>
          </w:rPr>
          <w:fldChar w:fldCharType="separate"/>
        </w:r>
        <w:r>
          <w:rPr>
            <w:noProof/>
            <w:webHidden/>
          </w:rPr>
          <w:t>56</w:t>
        </w:r>
        <w:r>
          <w:rPr>
            <w:noProof/>
            <w:webHidden/>
          </w:rPr>
          <w:fldChar w:fldCharType="end"/>
        </w:r>
      </w:hyperlink>
    </w:p>
    <w:p w14:paraId="538727C6" w14:textId="2B4CB88F" w:rsidR="00D30BFF" w:rsidRDefault="00D30BFF" w:rsidP="00D30BFF">
      <w:pPr>
        <w:pStyle w:val="TOC1"/>
        <w:tabs>
          <w:tab w:val="left" w:pos="567"/>
          <w:tab w:val="right" w:leader="dot" w:pos="9628"/>
        </w:tabs>
        <w:ind w:left="426" w:hanging="426"/>
        <w:rPr>
          <w:rFonts w:asciiTheme="minorHAnsi" w:hAnsiTheme="minorHAnsi" w:cstheme="minorBidi"/>
          <w:b/>
          <w:bCs w:val="0"/>
          <w:noProof/>
          <w:kern w:val="2"/>
          <w:lang w:eastAsia="en-GB"/>
          <w14:ligatures w14:val="standardContextual"/>
        </w:rPr>
      </w:pPr>
      <w:hyperlink w:anchor="_Toc207621368" w:history="1">
        <w:r w:rsidRPr="00B27AB6">
          <w:rPr>
            <w:rStyle w:val="Hyperlink"/>
            <w:noProof/>
          </w:rPr>
          <w:t>Energy</w:t>
        </w:r>
        <w:r>
          <w:rPr>
            <w:noProof/>
            <w:webHidden/>
          </w:rPr>
          <w:tab/>
        </w:r>
        <w:r>
          <w:rPr>
            <w:noProof/>
            <w:webHidden/>
          </w:rPr>
          <w:fldChar w:fldCharType="begin"/>
        </w:r>
        <w:r>
          <w:rPr>
            <w:noProof/>
            <w:webHidden/>
          </w:rPr>
          <w:instrText xml:space="preserve"> PAGEREF _Toc207621368 \h </w:instrText>
        </w:r>
        <w:r>
          <w:rPr>
            <w:noProof/>
            <w:webHidden/>
          </w:rPr>
        </w:r>
        <w:r>
          <w:rPr>
            <w:noProof/>
            <w:webHidden/>
          </w:rPr>
          <w:fldChar w:fldCharType="separate"/>
        </w:r>
        <w:r>
          <w:rPr>
            <w:noProof/>
            <w:webHidden/>
          </w:rPr>
          <w:t>60</w:t>
        </w:r>
        <w:r>
          <w:rPr>
            <w:noProof/>
            <w:webHidden/>
          </w:rPr>
          <w:fldChar w:fldCharType="end"/>
        </w:r>
      </w:hyperlink>
    </w:p>
    <w:p w14:paraId="030DB5DE" w14:textId="754F1BCE" w:rsidR="00D30BFF" w:rsidRDefault="00D30BFF" w:rsidP="00D30BFF">
      <w:pPr>
        <w:pStyle w:val="TOC1"/>
        <w:tabs>
          <w:tab w:val="left" w:pos="567"/>
          <w:tab w:val="right" w:leader="dot" w:pos="9628"/>
        </w:tabs>
        <w:ind w:left="426" w:hanging="426"/>
        <w:rPr>
          <w:rFonts w:asciiTheme="minorHAnsi" w:hAnsiTheme="minorHAnsi" w:cstheme="minorBidi"/>
          <w:b/>
          <w:bCs w:val="0"/>
          <w:noProof/>
          <w:kern w:val="2"/>
          <w:lang w:eastAsia="en-GB"/>
          <w14:ligatures w14:val="standardContextual"/>
        </w:rPr>
      </w:pPr>
      <w:hyperlink w:anchor="_Toc207621369" w:history="1">
        <w:r w:rsidRPr="00B27AB6">
          <w:rPr>
            <w:rStyle w:val="Hyperlink"/>
            <w:noProof/>
          </w:rPr>
          <w:t>Environment and Circular Economy</w:t>
        </w:r>
        <w:r>
          <w:rPr>
            <w:noProof/>
            <w:webHidden/>
          </w:rPr>
          <w:tab/>
        </w:r>
        <w:r>
          <w:rPr>
            <w:noProof/>
            <w:webHidden/>
          </w:rPr>
          <w:fldChar w:fldCharType="begin"/>
        </w:r>
        <w:r>
          <w:rPr>
            <w:noProof/>
            <w:webHidden/>
          </w:rPr>
          <w:instrText xml:space="preserve"> PAGEREF _Toc207621369 \h </w:instrText>
        </w:r>
        <w:r>
          <w:rPr>
            <w:noProof/>
            <w:webHidden/>
          </w:rPr>
        </w:r>
        <w:r>
          <w:rPr>
            <w:noProof/>
            <w:webHidden/>
          </w:rPr>
          <w:fldChar w:fldCharType="separate"/>
        </w:r>
        <w:r>
          <w:rPr>
            <w:noProof/>
            <w:webHidden/>
          </w:rPr>
          <w:t>64</w:t>
        </w:r>
        <w:r>
          <w:rPr>
            <w:noProof/>
            <w:webHidden/>
          </w:rPr>
          <w:fldChar w:fldCharType="end"/>
        </w:r>
      </w:hyperlink>
    </w:p>
    <w:p w14:paraId="4006BE72" w14:textId="2448E5A0" w:rsidR="00D30BFF" w:rsidRDefault="00D30BFF" w:rsidP="00D30BFF">
      <w:pPr>
        <w:pStyle w:val="TOC1"/>
        <w:tabs>
          <w:tab w:val="left" w:pos="567"/>
          <w:tab w:val="right" w:leader="dot" w:pos="9628"/>
        </w:tabs>
        <w:ind w:left="426" w:hanging="426"/>
        <w:rPr>
          <w:rFonts w:asciiTheme="minorHAnsi" w:hAnsiTheme="minorHAnsi" w:cstheme="minorBidi"/>
          <w:b/>
          <w:bCs w:val="0"/>
          <w:noProof/>
          <w:kern w:val="2"/>
          <w:lang w:eastAsia="en-GB"/>
          <w14:ligatures w14:val="standardContextual"/>
        </w:rPr>
      </w:pPr>
      <w:hyperlink w:anchor="_Toc207621370" w:history="1">
        <w:r w:rsidRPr="00B27AB6">
          <w:rPr>
            <w:rStyle w:val="Hyperlink"/>
            <w:noProof/>
          </w:rPr>
          <w:t>Land Management</w:t>
        </w:r>
        <w:r>
          <w:rPr>
            <w:noProof/>
            <w:webHidden/>
          </w:rPr>
          <w:tab/>
        </w:r>
        <w:r>
          <w:rPr>
            <w:noProof/>
            <w:webHidden/>
          </w:rPr>
          <w:fldChar w:fldCharType="begin"/>
        </w:r>
        <w:r>
          <w:rPr>
            <w:noProof/>
            <w:webHidden/>
          </w:rPr>
          <w:instrText xml:space="preserve"> PAGEREF _Toc207621370 \h </w:instrText>
        </w:r>
        <w:r>
          <w:rPr>
            <w:noProof/>
            <w:webHidden/>
          </w:rPr>
        </w:r>
        <w:r>
          <w:rPr>
            <w:noProof/>
            <w:webHidden/>
          </w:rPr>
          <w:fldChar w:fldCharType="separate"/>
        </w:r>
        <w:r>
          <w:rPr>
            <w:noProof/>
            <w:webHidden/>
          </w:rPr>
          <w:t>69</w:t>
        </w:r>
        <w:r>
          <w:rPr>
            <w:noProof/>
            <w:webHidden/>
          </w:rPr>
          <w:fldChar w:fldCharType="end"/>
        </w:r>
      </w:hyperlink>
    </w:p>
    <w:p w14:paraId="5DC4E91E" w14:textId="15DB644E" w:rsidR="00D30BFF" w:rsidRDefault="00D30BFF" w:rsidP="00D30BFF">
      <w:pPr>
        <w:pStyle w:val="TOC1"/>
        <w:tabs>
          <w:tab w:val="left" w:pos="567"/>
          <w:tab w:val="right" w:leader="dot" w:pos="9628"/>
        </w:tabs>
        <w:ind w:left="426" w:hanging="426"/>
        <w:rPr>
          <w:rFonts w:asciiTheme="minorHAnsi" w:hAnsiTheme="minorHAnsi" w:cstheme="minorBidi"/>
          <w:b/>
          <w:bCs w:val="0"/>
          <w:noProof/>
          <w:kern w:val="2"/>
          <w:lang w:eastAsia="en-GB"/>
          <w14:ligatures w14:val="standardContextual"/>
        </w:rPr>
      </w:pPr>
      <w:hyperlink w:anchor="_Toc207621371" w:history="1">
        <w:r w:rsidRPr="00B27AB6">
          <w:rPr>
            <w:rStyle w:val="Hyperlink"/>
            <w:noProof/>
          </w:rPr>
          <w:t>Water</w:t>
        </w:r>
        <w:r>
          <w:rPr>
            <w:noProof/>
            <w:webHidden/>
          </w:rPr>
          <w:tab/>
        </w:r>
        <w:r>
          <w:rPr>
            <w:noProof/>
            <w:webHidden/>
          </w:rPr>
          <w:fldChar w:fldCharType="begin"/>
        </w:r>
        <w:r>
          <w:rPr>
            <w:noProof/>
            <w:webHidden/>
          </w:rPr>
          <w:instrText xml:space="preserve"> PAGEREF _Toc207621371 \h </w:instrText>
        </w:r>
        <w:r>
          <w:rPr>
            <w:noProof/>
            <w:webHidden/>
          </w:rPr>
        </w:r>
        <w:r>
          <w:rPr>
            <w:noProof/>
            <w:webHidden/>
          </w:rPr>
          <w:fldChar w:fldCharType="separate"/>
        </w:r>
        <w:r>
          <w:rPr>
            <w:noProof/>
            <w:webHidden/>
          </w:rPr>
          <w:t>74</w:t>
        </w:r>
        <w:r>
          <w:rPr>
            <w:noProof/>
            <w:webHidden/>
          </w:rPr>
          <w:fldChar w:fldCharType="end"/>
        </w:r>
      </w:hyperlink>
    </w:p>
    <w:p w14:paraId="662FFC3D" w14:textId="51B82240" w:rsidR="00D30BFF" w:rsidRDefault="00D30BFF">
      <w:pPr>
        <w:pStyle w:val="TOC1"/>
        <w:tabs>
          <w:tab w:val="right" w:leader="dot" w:pos="9628"/>
        </w:tabs>
        <w:rPr>
          <w:rFonts w:asciiTheme="minorHAnsi" w:hAnsiTheme="minorHAnsi" w:cstheme="minorBidi"/>
          <w:b/>
          <w:bCs w:val="0"/>
          <w:noProof/>
          <w:kern w:val="2"/>
          <w:lang w:eastAsia="en-GB"/>
          <w14:ligatures w14:val="standardContextual"/>
        </w:rPr>
      </w:pPr>
      <w:hyperlink w:anchor="_Toc207621372" w:history="1">
        <w:r w:rsidRPr="00B27AB6">
          <w:rPr>
            <w:rStyle w:val="Hyperlink"/>
            <w:noProof/>
          </w:rPr>
          <w:t>Financial, asset and workforce outlook</w:t>
        </w:r>
        <w:r>
          <w:rPr>
            <w:noProof/>
            <w:webHidden/>
          </w:rPr>
          <w:tab/>
        </w:r>
        <w:r>
          <w:rPr>
            <w:noProof/>
            <w:webHidden/>
          </w:rPr>
          <w:fldChar w:fldCharType="begin"/>
        </w:r>
        <w:r>
          <w:rPr>
            <w:noProof/>
            <w:webHidden/>
          </w:rPr>
          <w:instrText xml:space="preserve"> PAGEREF _Toc207621372 \h </w:instrText>
        </w:r>
        <w:r>
          <w:rPr>
            <w:noProof/>
            <w:webHidden/>
          </w:rPr>
        </w:r>
        <w:r>
          <w:rPr>
            <w:noProof/>
            <w:webHidden/>
          </w:rPr>
          <w:fldChar w:fldCharType="separate"/>
        </w:r>
        <w:r>
          <w:rPr>
            <w:noProof/>
            <w:webHidden/>
          </w:rPr>
          <w:t>78</w:t>
        </w:r>
        <w:r>
          <w:rPr>
            <w:noProof/>
            <w:webHidden/>
          </w:rPr>
          <w:fldChar w:fldCharType="end"/>
        </w:r>
      </w:hyperlink>
    </w:p>
    <w:p w14:paraId="59EC8FEB" w14:textId="3E179522" w:rsidR="00D30BFF" w:rsidRDefault="00D30BFF">
      <w:pPr>
        <w:pStyle w:val="TOC1"/>
        <w:tabs>
          <w:tab w:val="right" w:leader="dot" w:pos="9628"/>
        </w:tabs>
        <w:rPr>
          <w:rFonts w:asciiTheme="minorHAnsi" w:hAnsiTheme="minorHAnsi" w:cstheme="minorBidi"/>
          <w:b/>
          <w:bCs w:val="0"/>
          <w:noProof/>
          <w:kern w:val="2"/>
          <w:lang w:eastAsia="en-GB"/>
          <w14:ligatures w14:val="standardContextual"/>
        </w:rPr>
      </w:pPr>
      <w:hyperlink w:anchor="_Toc207621373" w:history="1">
        <w:r w:rsidRPr="00B27AB6">
          <w:rPr>
            <w:rStyle w:val="Hyperlink"/>
            <w:noProof/>
          </w:rPr>
          <w:t>Publication information</w:t>
        </w:r>
        <w:r>
          <w:rPr>
            <w:noProof/>
            <w:webHidden/>
          </w:rPr>
          <w:tab/>
        </w:r>
        <w:r>
          <w:rPr>
            <w:noProof/>
            <w:webHidden/>
          </w:rPr>
          <w:fldChar w:fldCharType="begin"/>
        </w:r>
        <w:r>
          <w:rPr>
            <w:noProof/>
            <w:webHidden/>
          </w:rPr>
          <w:instrText xml:space="preserve"> PAGEREF _Toc207621373 \h </w:instrText>
        </w:r>
        <w:r>
          <w:rPr>
            <w:noProof/>
            <w:webHidden/>
          </w:rPr>
        </w:r>
        <w:r>
          <w:rPr>
            <w:noProof/>
            <w:webHidden/>
          </w:rPr>
          <w:fldChar w:fldCharType="separate"/>
        </w:r>
        <w:r>
          <w:rPr>
            <w:noProof/>
            <w:webHidden/>
          </w:rPr>
          <w:t>87</w:t>
        </w:r>
        <w:r>
          <w:rPr>
            <w:noProof/>
            <w:webHidden/>
          </w:rPr>
          <w:fldChar w:fldCharType="end"/>
        </w:r>
      </w:hyperlink>
    </w:p>
    <w:p w14:paraId="53F3934D" w14:textId="635A0974" w:rsidR="00B165A7" w:rsidRPr="00D30BFF" w:rsidRDefault="00D30BFF">
      <w:pPr>
        <w:suppressAutoHyphens w:val="0"/>
        <w:spacing w:after="160"/>
        <w:rPr>
          <w:rFonts w:asciiTheme="majorHAnsi" w:hAnsiTheme="majorHAnsi" w:cstheme="majorHAnsi"/>
          <w:szCs w:val="24"/>
        </w:rPr>
        <w:sectPr w:rsidR="00B165A7" w:rsidRPr="00D30BFF" w:rsidSect="00EB277B">
          <w:footerReference w:type="even" r:id="rId8"/>
          <w:footerReference w:type="default" r:id="rId9"/>
          <w:pgSz w:w="11906" w:h="16838"/>
          <w:pgMar w:top="1134" w:right="1134" w:bottom="1134" w:left="1134" w:header="720" w:footer="454" w:gutter="0"/>
          <w:cols w:space="720"/>
          <w:noEndnote/>
          <w:docGrid w:linePitch="326"/>
        </w:sectPr>
      </w:pPr>
      <w:r>
        <w:rPr>
          <w:rFonts w:asciiTheme="majorHAnsi" w:hAnsiTheme="majorHAnsi" w:cstheme="majorHAnsi"/>
          <w:sz w:val="28"/>
          <w:szCs w:val="24"/>
        </w:rPr>
        <w:fldChar w:fldCharType="end"/>
      </w:r>
    </w:p>
    <w:p w14:paraId="4266E45D" w14:textId="011DAA5E" w:rsidR="00BE0BA2" w:rsidRPr="00D30BFF" w:rsidRDefault="00CD50DC" w:rsidP="00BE0BA2">
      <w:pPr>
        <w:pStyle w:val="Heading1"/>
        <w:rPr>
          <w:lang w:val="en-AU"/>
        </w:rPr>
      </w:pPr>
      <w:bookmarkStart w:id="0" w:name="_Toc207621351"/>
      <w:r w:rsidRPr="00D30BFF">
        <w:rPr>
          <w:lang w:val="en-AU"/>
        </w:rPr>
        <w:lastRenderedPageBreak/>
        <w:t>Message from the Secretary</w:t>
      </w:r>
      <w:bookmarkEnd w:id="0"/>
    </w:p>
    <w:p w14:paraId="30C1ED37" w14:textId="77777777" w:rsidR="000C3DAF" w:rsidRDefault="00CD50DC" w:rsidP="00CD50DC">
      <w:pPr>
        <w:pStyle w:val="BodyText"/>
        <w:rPr>
          <w:b/>
          <w:bCs/>
          <w:lang w:val="en-AU"/>
        </w:rPr>
      </w:pPr>
      <w:r w:rsidRPr="00D30BFF">
        <w:rPr>
          <w:b/>
          <w:bCs/>
          <w:lang w:val="en-AU"/>
        </w:rPr>
        <w:t>A resilient and prosperous Victoria requires environmental stewardship and economic growth to go hand in hand.</w:t>
      </w:r>
    </w:p>
    <w:p w14:paraId="5645CA75" w14:textId="77777777" w:rsidR="000C3DAF" w:rsidRDefault="00CD50DC" w:rsidP="00CD50DC">
      <w:pPr>
        <w:pStyle w:val="BodyText"/>
        <w:rPr>
          <w:lang w:val="en-AU"/>
        </w:rPr>
      </w:pPr>
      <w:r w:rsidRPr="00D30BFF">
        <w:rPr>
          <w:lang w:val="en-AU"/>
        </w:rPr>
        <w:t>With the local, state, national and global context continuously evolving, planning for how we operate as an organisation is essential to deliver on our commitments to the Victorian community.</w:t>
      </w:r>
    </w:p>
    <w:p w14:paraId="722CC3A9" w14:textId="2C4E2BF3" w:rsidR="000C3DAF" w:rsidRDefault="00CD50DC" w:rsidP="00CD50DC">
      <w:pPr>
        <w:pStyle w:val="BodyText"/>
        <w:rPr>
          <w:lang w:val="en-AU"/>
        </w:rPr>
      </w:pPr>
      <w:r w:rsidRPr="00D30BFF">
        <w:rPr>
          <w:lang w:val="en-AU"/>
        </w:rPr>
        <w:t xml:space="preserve">Even as we prepare for the future, we acknowledge that we live and work on the country of the world’s oldest living culture – maintained by Traditional Owners who did not cede sovereignty. Working with Victoria’s </w:t>
      </w:r>
      <w:r w:rsidR="00912327">
        <w:rPr>
          <w:lang w:val="en-AU"/>
        </w:rPr>
        <w:t>T</w:t>
      </w:r>
      <w:r w:rsidRPr="00D30BFF">
        <w:rPr>
          <w:lang w:val="en-AU"/>
        </w:rPr>
        <w:t xml:space="preserve">raditional </w:t>
      </w:r>
      <w:r w:rsidR="00912327">
        <w:rPr>
          <w:lang w:val="en-AU"/>
        </w:rPr>
        <w:t>O</w:t>
      </w:r>
      <w:r w:rsidRPr="00D30BFF">
        <w:rPr>
          <w:lang w:val="en-AU"/>
        </w:rPr>
        <w:t>wners, we have an important obligation to enable meaningful progress towards self-determination, through ‘Pupangarli Marnmarnepu’, and to support the Victorian Government’s commitment to Treaty.</w:t>
      </w:r>
    </w:p>
    <w:p w14:paraId="56D15D81" w14:textId="77777777" w:rsidR="000C3DAF" w:rsidRDefault="00CD50DC" w:rsidP="00CD50DC">
      <w:pPr>
        <w:pStyle w:val="BodyText"/>
        <w:rPr>
          <w:lang w:val="en-AU"/>
        </w:rPr>
      </w:pPr>
      <w:r w:rsidRPr="00D30BFF">
        <w:rPr>
          <w:lang w:val="en-AU"/>
        </w:rPr>
        <w:t>The Department of Energy, Environment and Climate Action’s (DEECA) priorities in clean energy, secure water supplies, the circular economy, and climate resilience address environmental priorities and stimulate economic activity. Investments in renewable energy infrastructure, modern agricultural practices, integrated land management and sustainable extraction of resources creates jobs, attracts investment and grows our regions.</w:t>
      </w:r>
    </w:p>
    <w:p w14:paraId="7A6EE5E7" w14:textId="3A5B2CC5" w:rsidR="00CD50DC" w:rsidRPr="00D30BFF" w:rsidRDefault="00CD50DC" w:rsidP="00CD50DC">
      <w:pPr>
        <w:pStyle w:val="BodyText"/>
        <w:rPr>
          <w:lang w:val="en-AU"/>
        </w:rPr>
      </w:pPr>
      <w:r w:rsidRPr="00D30BFF">
        <w:rPr>
          <w:lang w:val="en-AU"/>
        </w:rPr>
        <w:t>Our roadmap to deliver these priorities, collaborate with partners, and be accountable for outcomes is presented in the DEECA Corporate Plan for 2025-29.</w:t>
      </w:r>
    </w:p>
    <w:p w14:paraId="0B76D053" w14:textId="77777777" w:rsidR="00CD50DC" w:rsidRPr="00D30BFF" w:rsidRDefault="00CD50DC" w:rsidP="00CD50DC">
      <w:pPr>
        <w:pStyle w:val="BodyText"/>
        <w:rPr>
          <w:lang w:val="en-AU"/>
        </w:rPr>
      </w:pPr>
      <w:r w:rsidRPr="00D30BFF">
        <w:rPr>
          <w:lang w:val="en-AU"/>
        </w:rPr>
        <w:t>The Corporate Plan is underpinned by our public sector values of responsiveness, integrity, impartiality, accountability, respect, leadership and human rights. Our approach is based on engaging with the community which we serve.</w:t>
      </w:r>
    </w:p>
    <w:p w14:paraId="6822A7F0" w14:textId="77777777" w:rsidR="00CD50DC" w:rsidRPr="00D30BFF" w:rsidRDefault="00CD50DC" w:rsidP="00CD50DC">
      <w:pPr>
        <w:pStyle w:val="BodyText"/>
        <w:rPr>
          <w:lang w:val="en-AU"/>
        </w:rPr>
      </w:pPr>
      <w:r w:rsidRPr="00D30BFF">
        <w:rPr>
          <w:lang w:val="en-AU"/>
        </w:rPr>
        <w:t>We partner with community, industry, business and Traditional Owners and First Nations people to undertake our key functions including:</w:t>
      </w:r>
    </w:p>
    <w:p w14:paraId="14918D57" w14:textId="77777777" w:rsidR="00CD50DC" w:rsidRPr="00D30BFF" w:rsidRDefault="00CD50DC" w:rsidP="004B1744">
      <w:pPr>
        <w:pStyle w:val="ListBullet"/>
        <w:rPr>
          <w:lang w:val="en-AU"/>
        </w:rPr>
      </w:pPr>
      <w:r w:rsidRPr="00D30BFF">
        <w:rPr>
          <w:lang w:val="en-AU"/>
        </w:rPr>
        <w:lastRenderedPageBreak/>
        <w:t>supporting Victoria’s world-class agriculture sector through fostering innovation, boosting productivity and supporting the farming community while safeguarding biosecurity, market access and animal welfare</w:t>
      </w:r>
    </w:p>
    <w:p w14:paraId="5AFCAE78" w14:textId="77777777" w:rsidR="000C3DAF" w:rsidRDefault="00CD50DC" w:rsidP="004B1744">
      <w:pPr>
        <w:pStyle w:val="ListBullet"/>
        <w:rPr>
          <w:lang w:val="en-AU"/>
        </w:rPr>
      </w:pPr>
      <w:r w:rsidRPr="00D30BFF">
        <w:rPr>
          <w:lang w:val="en-AU"/>
        </w:rPr>
        <w:t>leading the whole of government delivery of Victoria’s climate action, including an integrated energy transition which is affordable and reliable while meeting our renewable energy and climate targets</w:t>
      </w:r>
    </w:p>
    <w:p w14:paraId="579E54EF" w14:textId="77777777" w:rsidR="000C3DAF" w:rsidRDefault="00CD50DC" w:rsidP="004B1744">
      <w:pPr>
        <w:pStyle w:val="ListBullet"/>
        <w:rPr>
          <w:lang w:val="en-AU"/>
        </w:rPr>
      </w:pPr>
      <w:r w:rsidRPr="00D30BFF">
        <w:rPr>
          <w:lang w:val="en-AU"/>
        </w:rPr>
        <w:t>enabling sustainable and efficient use of Victoria’s resources to support Victoria’s Big Build and Housing targets and economic growth</w:t>
      </w:r>
    </w:p>
    <w:p w14:paraId="6D8B7E93" w14:textId="2ABE0A4F" w:rsidR="00CD50DC" w:rsidRPr="00D30BFF" w:rsidRDefault="00CD50DC" w:rsidP="004B1744">
      <w:pPr>
        <w:pStyle w:val="ListBullet"/>
        <w:rPr>
          <w:lang w:val="en-AU"/>
        </w:rPr>
      </w:pPr>
      <w:r w:rsidRPr="00D30BFF">
        <w:rPr>
          <w:lang w:val="en-AU"/>
        </w:rPr>
        <w:t>responding to emergencies that impact asset and public safety, infrastructure, and access to public land, including seasonal bushfire, flood, storm and biosecurity events, while continuing to increase future response capacity and resilience to a changing climate</w:t>
      </w:r>
    </w:p>
    <w:p w14:paraId="13D679BB" w14:textId="77777777" w:rsidR="000C3DAF" w:rsidRDefault="00CD50DC" w:rsidP="004B1744">
      <w:pPr>
        <w:pStyle w:val="ListBullet"/>
        <w:rPr>
          <w:lang w:val="en-AU"/>
        </w:rPr>
      </w:pPr>
      <w:r w:rsidRPr="00D30BFF">
        <w:rPr>
          <w:lang w:val="en-AU"/>
        </w:rPr>
        <w:t>managing natural and built assets on public land and continuing to develop opportunities for people to enjoy and engage with nature in Victoria, whilst protecting biodiversity and the environment and boosting economic growth through our visitor economy</w:t>
      </w:r>
    </w:p>
    <w:p w14:paraId="27294AE0" w14:textId="702D45AA" w:rsidR="00CD50DC" w:rsidRPr="00D30BFF" w:rsidRDefault="00CD50DC" w:rsidP="004B1744">
      <w:pPr>
        <w:pStyle w:val="ListBullet"/>
        <w:rPr>
          <w:lang w:val="en-AU"/>
        </w:rPr>
      </w:pPr>
      <w:r w:rsidRPr="00D30BFF">
        <w:rPr>
          <w:lang w:val="en-AU"/>
        </w:rPr>
        <w:t>sustainably managing Victoria’s water supplies, urban water security, healthy catchments and floodplains</w:t>
      </w:r>
    </w:p>
    <w:p w14:paraId="762A389B" w14:textId="77777777" w:rsidR="00CD50DC" w:rsidRPr="00D30BFF" w:rsidRDefault="00CD50DC" w:rsidP="004B1744">
      <w:pPr>
        <w:pStyle w:val="ListBullet"/>
        <w:rPr>
          <w:lang w:val="en-AU"/>
        </w:rPr>
      </w:pPr>
      <w:r w:rsidRPr="00D30BFF">
        <w:rPr>
          <w:lang w:val="en-AU"/>
        </w:rPr>
        <w:t>enabling self-determination, including through facilitating critical discussions and actions related to Treaty negotiations in Victoria and carefully considering the Yoorrook Justice Commission's findings and recommendations. We will also continue to improve DEECA’s systems and processes and build cultural capability and cultural safety in DEECA’s workforce</w:t>
      </w:r>
    </w:p>
    <w:p w14:paraId="4CCA8C37" w14:textId="77777777" w:rsidR="00CD50DC" w:rsidRPr="00D30BFF" w:rsidRDefault="00CD50DC" w:rsidP="00CD50DC">
      <w:pPr>
        <w:pStyle w:val="BodyText"/>
        <w:rPr>
          <w:lang w:val="en-AU"/>
        </w:rPr>
      </w:pPr>
      <w:r w:rsidRPr="00D30BFF">
        <w:rPr>
          <w:lang w:val="en-AU"/>
        </w:rPr>
        <w:lastRenderedPageBreak/>
        <w:t>The Corporate Plan also puts our work in a broader context, outlining how DEECA delivers projects and services against key Victorian government economic, environmental and social priorities and global sustainable development goals.</w:t>
      </w:r>
    </w:p>
    <w:p w14:paraId="11720834" w14:textId="77777777" w:rsidR="00CD50DC" w:rsidRPr="00D30BFF" w:rsidRDefault="00CD50DC" w:rsidP="00CD50DC">
      <w:pPr>
        <w:pStyle w:val="BodyText"/>
        <w:rPr>
          <w:lang w:val="en-AU"/>
        </w:rPr>
      </w:pPr>
      <w:r w:rsidRPr="00D30BFF">
        <w:rPr>
          <w:lang w:val="en-AU"/>
        </w:rPr>
        <w:t>This plan aims to enable DEECA to work more effectively towards a collective vision and shared outcomes, and to inform high-impact investment and decision making. We look forward to collaborating with our stakeholders across the state to see this corporate plan realised.</w:t>
      </w:r>
    </w:p>
    <w:p w14:paraId="5EB16DC8" w14:textId="77777777" w:rsidR="00CD50DC" w:rsidRPr="00D30BFF" w:rsidRDefault="00CD50DC" w:rsidP="004B1744">
      <w:pPr>
        <w:pStyle w:val="BodyText"/>
        <w:spacing w:before="480" w:after="0"/>
        <w:rPr>
          <w:b/>
          <w:bCs/>
          <w:lang w:val="en-AU"/>
        </w:rPr>
      </w:pPr>
      <w:r w:rsidRPr="00D30BFF">
        <w:rPr>
          <w:b/>
          <w:bCs/>
          <w:lang w:val="en-AU"/>
        </w:rPr>
        <w:t>John Bradley</w:t>
      </w:r>
    </w:p>
    <w:p w14:paraId="00539323" w14:textId="57CD8904" w:rsidR="00885AAB" w:rsidRPr="00D30BFF" w:rsidRDefault="00CD50DC" w:rsidP="00CD50DC">
      <w:pPr>
        <w:pStyle w:val="BodyText"/>
        <w:rPr>
          <w:lang w:val="en-AU"/>
        </w:rPr>
      </w:pPr>
      <w:r w:rsidRPr="00D30BFF">
        <w:rPr>
          <w:lang w:val="en-AU"/>
        </w:rPr>
        <w:t>DEECA Secretary</w:t>
      </w:r>
    </w:p>
    <w:p w14:paraId="133123E3" w14:textId="6DE64E14" w:rsidR="004B1744" w:rsidRPr="00D30BFF" w:rsidRDefault="004B1744" w:rsidP="004B1744">
      <w:pPr>
        <w:pStyle w:val="Heading1"/>
        <w:pageBreakBefore/>
        <w:rPr>
          <w:lang w:val="en-AU"/>
        </w:rPr>
      </w:pPr>
      <w:bookmarkStart w:id="1" w:name="_Toc207621352"/>
      <w:r w:rsidRPr="00D30BFF">
        <w:rPr>
          <w:lang w:val="en-AU"/>
        </w:rPr>
        <w:lastRenderedPageBreak/>
        <w:t>Our Ministers</w:t>
      </w:r>
      <w:bookmarkEnd w:id="1"/>
    </w:p>
    <w:p w14:paraId="50A52B9F" w14:textId="7258B619" w:rsidR="004B1744" w:rsidRPr="00D30BFF" w:rsidRDefault="004B1744" w:rsidP="004B1744">
      <w:pPr>
        <w:pStyle w:val="BodyText"/>
        <w:spacing w:after="600"/>
        <w:rPr>
          <w:lang w:val="en-AU"/>
        </w:rPr>
      </w:pPr>
      <w:r w:rsidRPr="00D30BFF">
        <w:rPr>
          <w:lang w:val="en-AU"/>
        </w:rPr>
        <w:t>DEECA supports the following 4 Ministers and 6 portfolios.</w:t>
      </w:r>
    </w:p>
    <w:p w14:paraId="573382E3" w14:textId="77777777" w:rsidR="004B1744" w:rsidRPr="00D30BFF" w:rsidRDefault="004B1744" w:rsidP="004B1744">
      <w:pPr>
        <w:pStyle w:val="BodyText"/>
        <w:spacing w:after="120" w:line="360" w:lineRule="auto"/>
        <w:rPr>
          <w:b/>
          <w:bCs/>
          <w:sz w:val="28"/>
          <w:szCs w:val="28"/>
          <w:lang w:val="en-AU"/>
        </w:rPr>
      </w:pPr>
      <w:r w:rsidRPr="00D30BFF">
        <w:rPr>
          <w:b/>
          <w:bCs/>
          <w:sz w:val="28"/>
          <w:szCs w:val="28"/>
          <w:lang w:val="en-AU"/>
        </w:rPr>
        <w:t>The Hon. Lily D’Ambrosio MP</w:t>
      </w:r>
    </w:p>
    <w:p w14:paraId="6E312C4F" w14:textId="77777777" w:rsidR="004B1744" w:rsidRPr="00D30BFF" w:rsidRDefault="004B1744" w:rsidP="004B1744">
      <w:pPr>
        <w:pStyle w:val="BodyText"/>
        <w:spacing w:after="120" w:line="360" w:lineRule="auto"/>
        <w:rPr>
          <w:lang w:val="en-AU"/>
        </w:rPr>
      </w:pPr>
      <w:r w:rsidRPr="00D30BFF">
        <w:rPr>
          <w:lang w:val="en-AU"/>
        </w:rPr>
        <w:t>Minister for Climate Action</w:t>
      </w:r>
    </w:p>
    <w:p w14:paraId="41E55517" w14:textId="77777777" w:rsidR="004B1744" w:rsidRPr="00D30BFF" w:rsidRDefault="004B1744" w:rsidP="004B1744">
      <w:pPr>
        <w:pStyle w:val="BodyText"/>
        <w:spacing w:after="120" w:line="360" w:lineRule="auto"/>
        <w:rPr>
          <w:lang w:val="en-AU"/>
        </w:rPr>
      </w:pPr>
      <w:r w:rsidRPr="00D30BFF">
        <w:rPr>
          <w:lang w:val="en-AU"/>
        </w:rPr>
        <w:t>Minister for Energy and Resources</w:t>
      </w:r>
    </w:p>
    <w:p w14:paraId="7D1BC4CC" w14:textId="6F7DB77A" w:rsidR="004B1744" w:rsidRPr="00D30BFF" w:rsidRDefault="004B1744" w:rsidP="004B1744">
      <w:pPr>
        <w:pStyle w:val="BodyText"/>
        <w:spacing w:after="600" w:line="360" w:lineRule="auto"/>
        <w:rPr>
          <w:lang w:val="en-AU"/>
        </w:rPr>
      </w:pPr>
      <w:r w:rsidRPr="00D30BFF">
        <w:rPr>
          <w:lang w:val="en-AU"/>
        </w:rPr>
        <w:t>Minister for the State Electricity Commission</w:t>
      </w:r>
    </w:p>
    <w:p w14:paraId="7E95E2E4" w14:textId="77777777" w:rsidR="004B1744" w:rsidRPr="00D30BFF" w:rsidRDefault="004B1744" w:rsidP="004B1744">
      <w:pPr>
        <w:pStyle w:val="BodyText"/>
        <w:spacing w:after="0" w:line="360" w:lineRule="auto"/>
        <w:rPr>
          <w:b/>
          <w:bCs/>
          <w:sz w:val="28"/>
          <w:szCs w:val="28"/>
          <w:lang w:val="en-AU"/>
        </w:rPr>
      </w:pPr>
      <w:r w:rsidRPr="00D30BFF">
        <w:rPr>
          <w:b/>
          <w:bCs/>
          <w:sz w:val="28"/>
          <w:szCs w:val="28"/>
          <w:lang w:val="en-AU"/>
        </w:rPr>
        <w:t>The Hon. Gayle Tierney MP</w:t>
      </w:r>
    </w:p>
    <w:p w14:paraId="72C232C5" w14:textId="572E32AC" w:rsidR="004B1744" w:rsidRPr="00D30BFF" w:rsidRDefault="004B1744" w:rsidP="004B1744">
      <w:pPr>
        <w:pStyle w:val="BodyText"/>
        <w:spacing w:after="600" w:line="360" w:lineRule="auto"/>
        <w:rPr>
          <w:lang w:val="en-AU"/>
        </w:rPr>
      </w:pPr>
      <w:r w:rsidRPr="00D30BFF">
        <w:rPr>
          <w:lang w:val="en-AU"/>
        </w:rPr>
        <w:t>Minister for Water</w:t>
      </w:r>
    </w:p>
    <w:p w14:paraId="18FDE9BE" w14:textId="77777777" w:rsidR="004B1744" w:rsidRPr="00D30BFF" w:rsidRDefault="004B1744" w:rsidP="004B1744">
      <w:pPr>
        <w:pStyle w:val="BodyText"/>
        <w:spacing w:after="0" w:line="360" w:lineRule="auto"/>
        <w:rPr>
          <w:b/>
          <w:bCs/>
          <w:sz w:val="28"/>
          <w:szCs w:val="28"/>
          <w:lang w:val="en-AU"/>
        </w:rPr>
      </w:pPr>
      <w:r w:rsidRPr="00D30BFF">
        <w:rPr>
          <w:b/>
          <w:bCs/>
          <w:sz w:val="28"/>
          <w:szCs w:val="28"/>
          <w:lang w:val="en-AU"/>
        </w:rPr>
        <w:t>Steve Dimopoulos MP</w:t>
      </w:r>
    </w:p>
    <w:p w14:paraId="61896BE0" w14:textId="5FFCDD7C" w:rsidR="004B1744" w:rsidRPr="00D30BFF" w:rsidRDefault="004B1744" w:rsidP="004B1744">
      <w:pPr>
        <w:pStyle w:val="BodyText"/>
        <w:spacing w:after="600" w:line="360" w:lineRule="auto"/>
        <w:rPr>
          <w:lang w:val="en-AU"/>
        </w:rPr>
      </w:pPr>
      <w:r w:rsidRPr="00D30BFF">
        <w:rPr>
          <w:lang w:val="en-AU"/>
        </w:rPr>
        <w:t>Minister for Environment</w:t>
      </w:r>
    </w:p>
    <w:p w14:paraId="3FAD63FD" w14:textId="77777777" w:rsidR="004B1744" w:rsidRPr="00D30BFF" w:rsidRDefault="004B1744" w:rsidP="004B1744">
      <w:pPr>
        <w:pStyle w:val="BodyText"/>
        <w:spacing w:after="0" w:line="360" w:lineRule="auto"/>
        <w:rPr>
          <w:b/>
          <w:bCs/>
          <w:sz w:val="28"/>
          <w:szCs w:val="28"/>
          <w:lang w:val="en-AU"/>
        </w:rPr>
      </w:pPr>
      <w:r w:rsidRPr="00D30BFF">
        <w:rPr>
          <w:b/>
          <w:bCs/>
          <w:sz w:val="28"/>
          <w:szCs w:val="28"/>
          <w:lang w:val="en-AU"/>
        </w:rPr>
        <w:t>The Hon. Ros Spence MP</w:t>
      </w:r>
    </w:p>
    <w:p w14:paraId="1F406BF0" w14:textId="79E1C17D" w:rsidR="004B1744" w:rsidRPr="00D30BFF" w:rsidRDefault="004B1744" w:rsidP="004B1744">
      <w:pPr>
        <w:pStyle w:val="BodyText"/>
        <w:spacing w:line="360" w:lineRule="auto"/>
        <w:rPr>
          <w:lang w:val="en-AU"/>
        </w:rPr>
      </w:pPr>
      <w:r w:rsidRPr="00D30BFF">
        <w:rPr>
          <w:lang w:val="en-AU"/>
        </w:rPr>
        <w:t>Minister for Agriculture</w:t>
      </w:r>
    </w:p>
    <w:p w14:paraId="3629030B" w14:textId="77777777" w:rsidR="000C3DAF" w:rsidRDefault="00B547A9" w:rsidP="00B547A9">
      <w:pPr>
        <w:pStyle w:val="Heading1"/>
        <w:pageBreakBefore/>
        <w:rPr>
          <w:lang w:val="en-AU"/>
        </w:rPr>
      </w:pPr>
      <w:bookmarkStart w:id="2" w:name="_Toc207621353"/>
      <w:r w:rsidRPr="00D30BFF">
        <w:rPr>
          <w:lang w:val="en-AU"/>
        </w:rPr>
        <w:lastRenderedPageBreak/>
        <w:t>Department overview</w:t>
      </w:r>
      <w:bookmarkEnd w:id="2"/>
    </w:p>
    <w:p w14:paraId="4FBEA698" w14:textId="2608AEDC" w:rsidR="00B547A9" w:rsidRPr="00D30BFF" w:rsidRDefault="00B547A9" w:rsidP="00B547A9">
      <w:pPr>
        <w:pStyle w:val="Heading2"/>
        <w:rPr>
          <w:lang w:val="en-AU"/>
        </w:rPr>
      </w:pPr>
      <w:r w:rsidRPr="00D30BFF">
        <w:rPr>
          <w:lang w:val="en-AU"/>
        </w:rPr>
        <w:t>What we do</w:t>
      </w:r>
    </w:p>
    <w:p w14:paraId="1CEF8CDF" w14:textId="77777777" w:rsidR="000C3DAF" w:rsidRDefault="00B547A9" w:rsidP="00B547A9">
      <w:pPr>
        <w:pStyle w:val="BodyText"/>
        <w:rPr>
          <w:lang w:val="en-AU"/>
        </w:rPr>
      </w:pPr>
      <w:r w:rsidRPr="00D30BFF">
        <w:rPr>
          <w:lang w:val="en-AU"/>
        </w:rPr>
        <w:t>DEECA brings together Victoria’s climate action, energy and resources, environment, water and agriculture portfolios to maximise connections between the environment, community, industry and economy.</w:t>
      </w:r>
    </w:p>
    <w:p w14:paraId="5A3E19A6" w14:textId="77777777" w:rsidR="000C3DAF" w:rsidRDefault="00B547A9" w:rsidP="00B547A9">
      <w:pPr>
        <w:pStyle w:val="BodyText"/>
        <w:rPr>
          <w:lang w:val="en-AU"/>
        </w:rPr>
      </w:pPr>
      <w:r w:rsidRPr="00D30BFF">
        <w:rPr>
          <w:lang w:val="en-AU"/>
        </w:rPr>
        <w:t>To best serve Victorians, we strive to build a positive organisational culture built on strong leadership, diversity collaboration, innovation and developing our people. Our vision for diversity and inclusion is a workplace culture that embraces individual differences in all forms and fosters innovation.</w:t>
      </w:r>
    </w:p>
    <w:p w14:paraId="6E56F08E" w14:textId="77777777" w:rsidR="000C3DAF" w:rsidRDefault="00B547A9" w:rsidP="00B547A9">
      <w:pPr>
        <w:pStyle w:val="Normalbeforebullets"/>
      </w:pPr>
      <w:r w:rsidRPr="00D30BFF">
        <w:t>We live our diversity and inclusion values when our people embrace the following principles:</w:t>
      </w:r>
    </w:p>
    <w:p w14:paraId="6D53A0DF" w14:textId="77777777" w:rsidR="000C3DAF" w:rsidRDefault="00B547A9" w:rsidP="00B547A9">
      <w:pPr>
        <w:pStyle w:val="ListBullet"/>
        <w:rPr>
          <w:lang w:val="en-AU"/>
        </w:rPr>
      </w:pPr>
      <w:r w:rsidRPr="00D30BFF">
        <w:rPr>
          <w:lang w:val="en-AU"/>
        </w:rPr>
        <w:t>connect effectively with our diverse customers and communities to understand their needs</w:t>
      </w:r>
    </w:p>
    <w:p w14:paraId="4F411552" w14:textId="77777777" w:rsidR="000C3DAF" w:rsidRDefault="00B547A9" w:rsidP="00B547A9">
      <w:pPr>
        <w:pStyle w:val="ListBullet"/>
        <w:rPr>
          <w:lang w:val="en-AU"/>
        </w:rPr>
      </w:pPr>
      <w:r w:rsidRPr="00D30BFF">
        <w:rPr>
          <w:lang w:val="en-AU"/>
        </w:rPr>
        <w:t>embrace different viewpoints</w:t>
      </w:r>
    </w:p>
    <w:p w14:paraId="20B13F0D" w14:textId="77777777" w:rsidR="000C3DAF" w:rsidRDefault="00B547A9" w:rsidP="00B547A9">
      <w:pPr>
        <w:pStyle w:val="ListBullet"/>
        <w:rPr>
          <w:lang w:val="en-AU"/>
        </w:rPr>
      </w:pPr>
      <w:r w:rsidRPr="00D30BFF">
        <w:rPr>
          <w:lang w:val="en-AU"/>
        </w:rPr>
        <w:t>have equal opportunity in the workplace</w:t>
      </w:r>
    </w:p>
    <w:p w14:paraId="242E15E6" w14:textId="77777777" w:rsidR="000C3DAF" w:rsidRDefault="00B547A9" w:rsidP="00B547A9">
      <w:pPr>
        <w:pStyle w:val="ListBullet"/>
        <w:rPr>
          <w:lang w:val="en-AU"/>
        </w:rPr>
      </w:pPr>
      <w:r w:rsidRPr="00D30BFF">
        <w:rPr>
          <w:lang w:val="en-AU"/>
        </w:rPr>
        <w:t>feel they belong and know their unique contribution is valued</w:t>
      </w:r>
    </w:p>
    <w:p w14:paraId="179D99EA" w14:textId="77777777" w:rsidR="000C3DAF" w:rsidRDefault="00B547A9" w:rsidP="00B547A9">
      <w:pPr>
        <w:pStyle w:val="LastBulletinList"/>
        <w:rPr>
          <w:lang w:val="en-AU"/>
        </w:rPr>
      </w:pPr>
      <w:r w:rsidRPr="00D30BFF">
        <w:rPr>
          <w:lang w:val="en-AU"/>
        </w:rPr>
        <w:t>leverage the experience and ideas of others.</w:t>
      </w:r>
    </w:p>
    <w:p w14:paraId="1D832463" w14:textId="77777777" w:rsidR="000C3DAF" w:rsidRDefault="00B547A9" w:rsidP="00B547A9">
      <w:pPr>
        <w:pStyle w:val="Heading2"/>
        <w:rPr>
          <w:lang w:val="en-AU"/>
        </w:rPr>
      </w:pPr>
      <w:r w:rsidRPr="00D30BFF">
        <w:rPr>
          <w:lang w:val="en-AU"/>
        </w:rPr>
        <w:t>Our mission</w:t>
      </w:r>
    </w:p>
    <w:p w14:paraId="14383372" w14:textId="14265477" w:rsidR="00B547A9" w:rsidRPr="00D30BFF" w:rsidRDefault="00B547A9" w:rsidP="00B547A9">
      <w:pPr>
        <w:pStyle w:val="BodyText"/>
        <w:rPr>
          <w:lang w:val="en-AU"/>
        </w:rPr>
      </w:pPr>
      <w:r w:rsidRPr="00D30BFF">
        <w:rPr>
          <w:lang w:val="en-AU"/>
        </w:rPr>
        <w:t>We contribute to the Government’s commitment to a stronger, fairer, better Victoria by supporting our natural environment, to ensure economic growth, and sustainable communities and industries that are resilient to the impacts of climate change.</w:t>
      </w:r>
    </w:p>
    <w:p w14:paraId="4B1A5DD3" w14:textId="77777777" w:rsidR="00B547A9" w:rsidRPr="00D30BFF" w:rsidRDefault="00B547A9" w:rsidP="00B547A9">
      <w:pPr>
        <w:pStyle w:val="Normalbeforebullets"/>
      </w:pPr>
      <w:r w:rsidRPr="00D30BFF">
        <w:lastRenderedPageBreak/>
        <w:t>Our mission is to support thriving, productive and sustainable communities, environments and industries across Victoria by:</w:t>
      </w:r>
    </w:p>
    <w:p w14:paraId="4D8E5772" w14:textId="77777777" w:rsidR="00B547A9" w:rsidRPr="00D30BFF" w:rsidRDefault="00B547A9" w:rsidP="00B547A9">
      <w:pPr>
        <w:pStyle w:val="ListBullet"/>
        <w:rPr>
          <w:lang w:val="en-AU"/>
        </w:rPr>
      </w:pPr>
      <w:r w:rsidRPr="00D30BFF">
        <w:rPr>
          <w:lang w:val="en-AU"/>
        </w:rPr>
        <w:t>listening, working alongside and partnering with the community in everything we do</w:t>
      </w:r>
    </w:p>
    <w:p w14:paraId="68BD8A8D" w14:textId="77777777" w:rsidR="00B547A9" w:rsidRPr="00D30BFF" w:rsidRDefault="00B547A9" w:rsidP="00B547A9">
      <w:pPr>
        <w:pStyle w:val="ListBullet"/>
        <w:rPr>
          <w:lang w:val="en-AU"/>
        </w:rPr>
      </w:pPr>
      <w:r w:rsidRPr="00D30BFF">
        <w:rPr>
          <w:lang w:val="en-AU"/>
        </w:rPr>
        <w:t>leveraging the connectivity between our portfolios to respond to the impacts of climate change and protecting our natural environment in a productive, collaborative and coordinated way</w:t>
      </w:r>
    </w:p>
    <w:p w14:paraId="4A7930C4" w14:textId="77777777" w:rsidR="00B547A9" w:rsidRPr="00D30BFF" w:rsidRDefault="00B547A9" w:rsidP="00B547A9">
      <w:pPr>
        <w:pStyle w:val="LastBulletinList"/>
        <w:rPr>
          <w:lang w:val="en-AU"/>
        </w:rPr>
      </w:pPr>
      <w:r w:rsidRPr="00D30BFF">
        <w:rPr>
          <w:lang w:val="en-AU"/>
        </w:rPr>
        <w:t>maximising opportunities for attracting investment, creating and maintaining jobs, and developing regional economies by supporting sustainable industries.</w:t>
      </w:r>
    </w:p>
    <w:p w14:paraId="4815458F" w14:textId="2E43265F" w:rsidR="00DC22D6" w:rsidRPr="00D30BFF" w:rsidRDefault="00DC22D6" w:rsidP="00DC22D6">
      <w:pPr>
        <w:pStyle w:val="BodyText"/>
        <w:spacing w:before="120"/>
        <w:rPr>
          <w:i/>
          <w:iCs/>
          <w:lang w:val="en-AU"/>
        </w:rPr>
      </w:pPr>
      <w:r w:rsidRPr="00D30BFF">
        <w:rPr>
          <w:i/>
          <w:iCs/>
          <w:lang w:val="en-AU"/>
        </w:rPr>
        <w:t>'Thriving, productive and sustainable communities, environments and industries'</w:t>
      </w:r>
    </w:p>
    <w:p w14:paraId="2650BE79" w14:textId="77777777" w:rsidR="00B547A9" w:rsidRPr="00D30BFF" w:rsidRDefault="00B547A9" w:rsidP="00B547A9">
      <w:pPr>
        <w:pStyle w:val="Heading2"/>
        <w:rPr>
          <w:lang w:val="en-AU"/>
        </w:rPr>
      </w:pPr>
      <w:r w:rsidRPr="00D30BFF">
        <w:rPr>
          <w:lang w:val="en-AU"/>
        </w:rPr>
        <w:t>Our people</w:t>
      </w:r>
    </w:p>
    <w:p w14:paraId="6510DD6F" w14:textId="77777777" w:rsidR="000C3DAF" w:rsidRDefault="00B547A9" w:rsidP="00B547A9">
      <w:pPr>
        <w:pStyle w:val="BodyText"/>
        <w:rPr>
          <w:lang w:val="en-AU"/>
        </w:rPr>
      </w:pPr>
      <w:r w:rsidRPr="00D30BFF">
        <w:rPr>
          <w:lang w:val="en-AU"/>
        </w:rPr>
        <w:t>At DEECA, we foster a supportive and dynamic workplace through continuous investment in staff learning and development. Valuing diverse perspectives and teamwork, we nurture an inclusive culture with shared goals. Employee wellbeing and safety are our top priorities, supported by various services ensuring a healthy workplace.</w:t>
      </w:r>
    </w:p>
    <w:p w14:paraId="00D5B23F" w14:textId="4FA874EA" w:rsidR="00B547A9" w:rsidRPr="00D30BFF" w:rsidRDefault="00B547A9" w:rsidP="00B547A9">
      <w:pPr>
        <w:pStyle w:val="BodyText"/>
        <w:rPr>
          <w:lang w:val="en-AU"/>
        </w:rPr>
      </w:pPr>
      <w:hyperlink r:id="rId10" w:tooltip="Hyperlink to the PDF document 'DEECAOrgChart.pdf'" w:history="1">
        <w:r w:rsidRPr="00D30BFF">
          <w:rPr>
            <w:rStyle w:val="Hyperlink"/>
            <w:lang w:val="en-AU"/>
          </w:rPr>
          <w:t>DEECA organisational chart</w:t>
        </w:r>
      </w:hyperlink>
    </w:p>
    <w:p w14:paraId="2123BAD0" w14:textId="77777777" w:rsidR="00B547A9" w:rsidRPr="00D30BFF" w:rsidRDefault="00B547A9" w:rsidP="00B547A9">
      <w:pPr>
        <w:pStyle w:val="Heading2"/>
        <w:rPr>
          <w:lang w:val="en-AU"/>
        </w:rPr>
      </w:pPr>
      <w:r w:rsidRPr="00D30BFF">
        <w:rPr>
          <w:lang w:val="en-AU"/>
        </w:rPr>
        <w:t>Who we work with</w:t>
      </w:r>
    </w:p>
    <w:p w14:paraId="72C27035" w14:textId="77777777" w:rsidR="00B547A9" w:rsidRPr="00D30BFF" w:rsidRDefault="00B547A9" w:rsidP="00B547A9">
      <w:pPr>
        <w:pStyle w:val="Normalbeforebullets"/>
      </w:pPr>
      <w:r w:rsidRPr="00D30BFF">
        <w:t>We prioritise a strong engagement with our stakeholders and partners as they support DEECA in the delivery of our outcomes. Our key stakeholder groups are:</w:t>
      </w:r>
    </w:p>
    <w:p w14:paraId="28578642" w14:textId="77777777" w:rsidR="00B547A9" w:rsidRPr="00D30BFF" w:rsidRDefault="00B547A9" w:rsidP="00B547A9">
      <w:pPr>
        <w:pStyle w:val="ListBullet"/>
        <w:rPr>
          <w:lang w:val="en-AU"/>
        </w:rPr>
      </w:pPr>
      <w:r w:rsidRPr="00D30BFF">
        <w:rPr>
          <w:lang w:val="en-AU"/>
        </w:rPr>
        <w:t>Traditional Owner Groups (Partners)</w:t>
      </w:r>
    </w:p>
    <w:p w14:paraId="40C6661F" w14:textId="77777777" w:rsidR="00B547A9" w:rsidRPr="00D30BFF" w:rsidRDefault="00B547A9" w:rsidP="00B547A9">
      <w:pPr>
        <w:pStyle w:val="ListBullet"/>
        <w:rPr>
          <w:lang w:val="en-AU"/>
        </w:rPr>
      </w:pPr>
      <w:r w:rsidRPr="00D30BFF">
        <w:rPr>
          <w:lang w:val="en-AU"/>
        </w:rPr>
        <w:t>First Peoples</w:t>
      </w:r>
    </w:p>
    <w:p w14:paraId="16488C6E" w14:textId="77777777" w:rsidR="00B547A9" w:rsidRPr="00D30BFF" w:rsidRDefault="00B547A9" w:rsidP="00B547A9">
      <w:pPr>
        <w:pStyle w:val="ListBullet"/>
        <w:rPr>
          <w:lang w:val="en-AU"/>
        </w:rPr>
      </w:pPr>
      <w:r w:rsidRPr="00D30BFF">
        <w:rPr>
          <w:lang w:val="en-AU"/>
        </w:rPr>
        <w:t>Victorian businesses and industries</w:t>
      </w:r>
    </w:p>
    <w:p w14:paraId="78401147" w14:textId="77777777" w:rsidR="00B547A9" w:rsidRPr="00D30BFF" w:rsidRDefault="00B547A9" w:rsidP="00B547A9">
      <w:pPr>
        <w:pStyle w:val="ListBullet"/>
        <w:rPr>
          <w:lang w:val="en-AU"/>
        </w:rPr>
      </w:pPr>
      <w:r w:rsidRPr="00D30BFF">
        <w:rPr>
          <w:lang w:val="en-AU"/>
        </w:rPr>
        <w:t>Community Groups/ Committees of Management</w:t>
      </w:r>
    </w:p>
    <w:p w14:paraId="4CE3CF45" w14:textId="77777777" w:rsidR="00B547A9" w:rsidRPr="00D30BFF" w:rsidRDefault="00B547A9" w:rsidP="00B547A9">
      <w:pPr>
        <w:pStyle w:val="ListBullet"/>
        <w:rPr>
          <w:lang w:val="en-AU"/>
        </w:rPr>
      </w:pPr>
      <w:r w:rsidRPr="00D30BFF">
        <w:rPr>
          <w:lang w:val="en-AU"/>
        </w:rPr>
        <w:lastRenderedPageBreak/>
        <w:t>Victorian Councils</w:t>
      </w:r>
    </w:p>
    <w:p w14:paraId="5A937B48" w14:textId="77777777" w:rsidR="00B547A9" w:rsidRPr="00D30BFF" w:rsidRDefault="00B547A9" w:rsidP="00B547A9">
      <w:pPr>
        <w:pStyle w:val="ListBullet"/>
        <w:rPr>
          <w:lang w:val="en-AU"/>
        </w:rPr>
      </w:pPr>
      <w:r w:rsidRPr="00D30BFF">
        <w:rPr>
          <w:lang w:val="en-AU"/>
        </w:rPr>
        <w:t>Water Corporations</w:t>
      </w:r>
    </w:p>
    <w:p w14:paraId="66ED649A" w14:textId="77777777" w:rsidR="00B547A9" w:rsidRPr="00D30BFF" w:rsidRDefault="00B547A9" w:rsidP="00B547A9">
      <w:pPr>
        <w:pStyle w:val="ListBullet"/>
        <w:rPr>
          <w:lang w:val="en-AU"/>
        </w:rPr>
      </w:pPr>
      <w:r w:rsidRPr="00D30BFF">
        <w:rPr>
          <w:lang w:val="en-AU"/>
        </w:rPr>
        <w:t>Catchment Management Authorities</w:t>
      </w:r>
    </w:p>
    <w:p w14:paraId="3C3953EB" w14:textId="77777777" w:rsidR="00B547A9" w:rsidRPr="00D30BFF" w:rsidRDefault="00B547A9" w:rsidP="00B547A9">
      <w:pPr>
        <w:pStyle w:val="ListBullet"/>
        <w:rPr>
          <w:lang w:val="en-AU"/>
        </w:rPr>
      </w:pPr>
      <w:r w:rsidRPr="00D30BFF">
        <w:rPr>
          <w:lang w:val="en-AU"/>
        </w:rPr>
        <w:t>Victorian Government departments and agencies</w:t>
      </w:r>
    </w:p>
    <w:p w14:paraId="7E552E64" w14:textId="77777777" w:rsidR="00B547A9" w:rsidRPr="00D30BFF" w:rsidRDefault="00B547A9" w:rsidP="00B547A9">
      <w:pPr>
        <w:pStyle w:val="ListBullet"/>
        <w:rPr>
          <w:lang w:val="en-AU"/>
        </w:rPr>
      </w:pPr>
      <w:r w:rsidRPr="00D30BFF">
        <w:rPr>
          <w:lang w:val="en-AU"/>
        </w:rPr>
        <w:t>Commonwealth Government</w:t>
      </w:r>
    </w:p>
    <w:p w14:paraId="24E1B23C" w14:textId="77777777" w:rsidR="00B547A9" w:rsidRPr="00D30BFF" w:rsidRDefault="00B547A9" w:rsidP="00B547A9">
      <w:pPr>
        <w:pStyle w:val="ListBullet"/>
        <w:rPr>
          <w:lang w:val="en-AU"/>
        </w:rPr>
      </w:pPr>
      <w:r w:rsidRPr="00D30BFF">
        <w:rPr>
          <w:lang w:val="en-AU"/>
        </w:rPr>
        <w:t>Statutory and Ministerial advisory bodies</w:t>
      </w:r>
    </w:p>
    <w:p w14:paraId="017F5DAD" w14:textId="77777777" w:rsidR="00B547A9" w:rsidRPr="00D30BFF" w:rsidRDefault="00B547A9" w:rsidP="00B547A9">
      <w:pPr>
        <w:pStyle w:val="ListBullet"/>
        <w:rPr>
          <w:lang w:val="en-AU"/>
        </w:rPr>
      </w:pPr>
      <w:r w:rsidRPr="00D30BFF">
        <w:rPr>
          <w:lang w:val="en-AU"/>
        </w:rPr>
        <w:t>Industry stakeholders, peak bodies, and academia</w:t>
      </w:r>
    </w:p>
    <w:p w14:paraId="0E3959F7" w14:textId="77777777" w:rsidR="00B547A9" w:rsidRPr="00D30BFF" w:rsidRDefault="00B547A9" w:rsidP="00B547A9">
      <w:pPr>
        <w:pStyle w:val="ListBullet"/>
        <w:rPr>
          <w:lang w:val="en-AU"/>
        </w:rPr>
      </w:pPr>
      <w:r w:rsidRPr="00D30BFF">
        <w:rPr>
          <w:lang w:val="en-AU"/>
        </w:rPr>
        <w:t>International Government and Non-Government Organisations and investors</w:t>
      </w:r>
    </w:p>
    <w:p w14:paraId="493D2156" w14:textId="77777777" w:rsidR="00B547A9" w:rsidRPr="00D30BFF" w:rsidRDefault="00B547A9" w:rsidP="00B547A9">
      <w:pPr>
        <w:pStyle w:val="ListBullet"/>
        <w:rPr>
          <w:lang w:val="en-AU"/>
        </w:rPr>
      </w:pPr>
      <w:r w:rsidRPr="00D30BFF">
        <w:rPr>
          <w:lang w:val="en-AU"/>
        </w:rPr>
        <w:t>Emergency services</w:t>
      </w:r>
    </w:p>
    <w:p w14:paraId="0A185A13" w14:textId="77777777" w:rsidR="000C3DAF" w:rsidRDefault="00B547A9" w:rsidP="00B547A9">
      <w:pPr>
        <w:pStyle w:val="LastBulletinList"/>
        <w:rPr>
          <w:lang w:val="en-AU"/>
        </w:rPr>
      </w:pPr>
      <w:r w:rsidRPr="00D30BFF">
        <w:rPr>
          <w:lang w:val="en-AU"/>
        </w:rPr>
        <w:t>Wildlife and conservation organisations.</w:t>
      </w:r>
    </w:p>
    <w:p w14:paraId="4B9886BB" w14:textId="77777777" w:rsidR="000C3DAF" w:rsidRDefault="00B547A9" w:rsidP="00B547A9">
      <w:pPr>
        <w:pStyle w:val="Heading2"/>
        <w:rPr>
          <w:lang w:val="en-AU"/>
        </w:rPr>
      </w:pPr>
      <w:r w:rsidRPr="00D30BFF">
        <w:rPr>
          <w:lang w:val="en-AU"/>
        </w:rPr>
        <w:t>Our resources</w:t>
      </w:r>
    </w:p>
    <w:p w14:paraId="42E127F8" w14:textId="63443B01" w:rsidR="00B547A9" w:rsidRPr="00D30BFF" w:rsidRDefault="00B547A9" w:rsidP="00B547A9">
      <w:pPr>
        <w:pStyle w:val="BodyText"/>
        <w:rPr>
          <w:lang w:val="en-AU"/>
        </w:rPr>
      </w:pPr>
      <w:r w:rsidRPr="00D30BFF">
        <w:rPr>
          <w:lang w:val="en-AU"/>
        </w:rPr>
        <w:t>DEECA employs approximately 6,000 staff in 86 locations across the state.</w:t>
      </w:r>
    </w:p>
    <w:p w14:paraId="52C72318" w14:textId="77777777" w:rsidR="00B547A9" w:rsidRPr="00D30BFF" w:rsidRDefault="00B547A9" w:rsidP="00B547A9">
      <w:pPr>
        <w:pStyle w:val="BodyText"/>
        <w:rPr>
          <w:lang w:val="en-AU"/>
        </w:rPr>
      </w:pPr>
      <w:r w:rsidRPr="00D30BFF">
        <w:rPr>
          <w:lang w:val="en-AU"/>
        </w:rPr>
        <w:t>We are a key manager of Victoria’s public estate and manage total assets worth more than $9.9 billion, with 79 per cent ($7.8 billion) comprising various categories of public land.</w:t>
      </w:r>
    </w:p>
    <w:p w14:paraId="1902C025" w14:textId="3C9A2CEE" w:rsidR="00B547A9" w:rsidRPr="00D30BFF" w:rsidRDefault="00B547A9" w:rsidP="00B547A9">
      <w:pPr>
        <w:pStyle w:val="BodyText"/>
        <w:rPr>
          <w:lang w:val="en-AU"/>
        </w:rPr>
      </w:pPr>
      <w:r w:rsidRPr="00D30BFF">
        <w:rPr>
          <w:lang w:val="en-AU"/>
        </w:rPr>
        <w:t>The department owns and manages a further $2.1 billion of other assets, including more than 40,000 kilometres of roads and tracks, office buildings, depots, public toilets, picnic shelters, recreational facilities, firefighting and road maintenance equipment, crossings, water bores and mobile plant equipment.</w:t>
      </w:r>
    </w:p>
    <w:p w14:paraId="3CBD638E" w14:textId="07431770" w:rsidR="00DC22D6" w:rsidRPr="00D30BFF" w:rsidRDefault="00DC22D6" w:rsidP="00DC22D6">
      <w:pPr>
        <w:pStyle w:val="ListBullet"/>
        <w:rPr>
          <w:lang w:val="en-AU"/>
        </w:rPr>
      </w:pPr>
      <w:r w:rsidRPr="00D30BFF">
        <w:rPr>
          <w:b/>
          <w:bCs/>
          <w:lang w:val="en-AU"/>
        </w:rPr>
        <w:t>6,000</w:t>
      </w:r>
      <w:r w:rsidRPr="00D30BFF">
        <w:rPr>
          <w:lang w:val="en-AU"/>
        </w:rPr>
        <w:t xml:space="preserve"> staff</w:t>
      </w:r>
    </w:p>
    <w:p w14:paraId="6FE0D1AA" w14:textId="41F84DE0" w:rsidR="00DC22D6" w:rsidRPr="00D30BFF" w:rsidRDefault="00DC22D6" w:rsidP="00DC22D6">
      <w:pPr>
        <w:pStyle w:val="ListBullet"/>
        <w:rPr>
          <w:lang w:val="en-AU"/>
        </w:rPr>
      </w:pPr>
      <w:r w:rsidRPr="00D30BFF">
        <w:rPr>
          <w:b/>
          <w:bCs/>
          <w:lang w:val="en-AU"/>
        </w:rPr>
        <w:t>86</w:t>
      </w:r>
      <w:r w:rsidRPr="00D30BFF">
        <w:rPr>
          <w:lang w:val="en-AU"/>
        </w:rPr>
        <w:t xml:space="preserve"> locations</w:t>
      </w:r>
    </w:p>
    <w:p w14:paraId="62297ECF" w14:textId="126CE538" w:rsidR="00DC22D6" w:rsidRPr="00D30BFF" w:rsidRDefault="00DC22D6" w:rsidP="00DC22D6">
      <w:pPr>
        <w:pStyle w:val="ListBullet"/>
        <w:rPr>
          <w:lang w:val="en-AU"/>
        </w:rPr>
      </w:pPr>
      <w:r w:rsidRPr="00D30BFF">
        <w:rPr>
          <w:b/>
          <w:bCs/>
          <w:lang w:val="en-AU"/>
        </w:rPr>
        <w:t>$9.9bn</w:t>
      </w:r>
      <w:r w:rsidRPr="00D30BFF">
        <w:rPr>
          <w:lang w:val="en-AU"/>
        </w:rPr>
        <w:t xml:space="preserve"> assets</w:t>
      </w:r>
    </w:p>
    <w:p w14:paraId="0EA39165" w14:textId="77777777" w:rsidR="00DC22D6" w:rsidRPr="00D30BFF" w:rsidRDefault="00DC22D6" w:rsidP="00DC22D6">
      <w:pPr>
        <w:pStyle w:val="Heading1"/>
        <w:pageBreakBefore/>
        <w:rPr>
          <w:lang w:val="en-AU"/>
        </w:rPr>
      </w:pPr>
      <w:bookmarkStart w:id="3" w:name="_Toc207621354"/>
      <w:r w:rsidRPr="00D30BFF">
        <w:rPr>
          <w:lang w:val="en-AU"/>
        </w:rPr>
        <w:lastRenderedPageBreak/>
        <w:t>Our groups</w:t>
      </w:r>
      <w:bookmarkEnd w:id="3"/>
    </w:p>
    <w:p w14:paraId="366A1959" w14:textId="340D7981" w:rsidR="00DC22D6" w:rsidRPr="00D30BFF" w:rsidRDefault="00DC22D6" w:rsidP="00DC22D6">
      <w:pPr>
        <w:pStyle w:val="BodyText"/>
        <w:rPr>
          <w:lang w:val="en-AU"/>
        </w:rPr>
      </w:pPr>
      <w:r w:rsidRPr="00D30BFF">
        <w:rPr>
          <w:lang w:val="en-AU"/>
        </w:rPr>
        <w:t>We deliver our work through our eight core business groups</w:t>
      </w:r>
    </w:p>
    <w:p w14:paraId="45397BD0" w14:textId="77777777" w:rsidR="00DC22D6" w:rsidRPr="00D30BFF" w:rsidRDefault="00DC22D6" w:rsidP="00DC22D6">
      <w:pPr>
        <w:pStyle w:val="Heading2"/>
        <w:rPr>
          <w:lang w:val="en-AU"/>
        </w:rPr>
      </w:pPr>
      <w:r w:rsidRPr="00D30BFF">
        <w:rPr>
          <w:lang w:val="en-AU"/>
        </w:rPr>
        <w:t>Agriculture Victoria</w:t>
      </w:r>
    </w:p>
    <w:p w14:paraId="105E7563" w14:textId="140F98AA" w:rsidR="00DC22D6" w:rsidRPr="00D30BFF" w:rsidRDefault="00DC22D6" w:rsidP="00DC22D6">
      <w:pPr>
        <w:pStyle w:val="BodyText"/>
        <w:rPr>
          <w:lang w:val="en-AU"/>
        </w:rPr>
      </w:pPr>
      <w:r w:rsidRPr="00D30BFF">
        <w:rPr>
          <w:lang w:val="en-AU"/>
        </w:rPr>
        <w:t>Agriculture Victoria partners with farmers, industries, communities, government and research organisations to grow, modernise, protect and promote Victoria’s agriculture. Agriculture Victoria forms part of an extensive local, national and international system to protect animal welfare and biosecurity, deliver policy, programs and research to understand emerging agricultural challenges like climate change, manage critical industry transitions such as forestry, and enable economic productivity through innovative farming systems, skills and technologies.</w:t>
      </w:r>
    </w:p>
    <w:p w14:paraId="12CA1E86" w14:textId="77777777" w:rsidR="00DC22D6" w:rsidRPr="00D30BFF" w:rsidRDefault="00DC22D6" w:rsidP="00DC22D6">
      <w:pPr>
        <w:pStyle w:val="Heading2"/>
        <w:rPr>
          <w:lang w:val="en-AU"/>
        </w:rPr>
      </w:pPr>
      <w:r w:rsidRPr="00D30BFF">
        <w:rPr>
          <w:lang w:val="en-AU"/>
        </w:rPr>
        <w:t>Bushfire and Forest Services</w:t>
      </w:r>
    </w:p>
    <w:p w14:paraId="6F01C010" w14:textId="77777777" w:rsidR="00DC22D6" w:rsidRPr="00D30BFF" w:rsidRDefault="00DC22D6" w:rsidP="00DC22D6">
      <w:pPr>
        <w:pStyle w:val="BodyText"/>
        <w:rPr>
          <w:lang w:val="en-AU"/>
        </w:rPr>
      </w:pPr>
      <w:r w:rsidRPr="00D30BFF">
        <w:rPr>
          <w:lang w:val="en-AU"/>
        </w:rPr>
        <w:t>Bushfire and Forest Services manages 3.2 million hectares of state forests, including delivery and maintenance of recreation assets, tourism services and forest health activities. The group also leads DEECA’s works across the state in preparing for and responding to bushfire and other emergencies, working alongside emergency services under the Victorian Government’s ‘all communities, all emergencies’ operating framework. Underpinned by DEECA’s commitment to work in partnership with Traditional Owners, the group collaborates across government and DEECA to deliver key policies and outcomes in support of communities and businesses that use state forests. The group also undertakes regulatory functions for wildlife, biodiversity, public land use and fire prevention. It leads development and advice on forest, fire and emergency management policy, science, strategy and legislation, and delivers safe and fit-for-purpose capability solutions including statewide assets, equipment, technology and learning.</w:t>
      </w:r>
    </w:p>
    <w:p w14:paraId="674EAE39" w14:textId="77777777" w:rsidR="00DC22D6" w:rsidRPr="00D30BFF" w:rsidRDefault="00DC22D6" w:rsidP="00DC22D6">
      <w:pPr>
        <w:pStyle w:val="Heading2"/>
        <w:rPr>
          <w:lang w:val="en-AU"/>
        </w:rPr>
      </w:pPr>
      <w:r w:rsidRPr="00D30BFF">
        <w:rPr>
          <w:lang w:val="en-AU"/>
        </w:rPr>
        <w:lastRenderedPageBreak/>
        <w:t>Corporate Services</w:t>
      </w:r>
    </w:p>
    <w:p w14:paraId="507EA2B6" w14:textId="77777777" w:rsidR="00DC22D6" w:rsidRPr="00D30BFF" w:rsidRDefault="00DC22D6" w:rsidP="00DC22D6">
      <w:pPr>
        <w:pStyle w:val="BodyText"/>
        <w:rPr>
          <w:lang w:val="en-AU"/>
        </w:rPr>
      </w:pPr>
      <w:r w:rsidRPr="00D30BFF">
        <w:rPr>
          <w:lang w:val="en-AU"/>
        </w:rPr>
        <w:t>The Corporate Services Group (CSG) enables DEECA to deliver positive outcomes for the community by acting with integrity, fostering trusted partnerships and striving for exemplary business services.</w:t>
      </w:r>
    </w:p>
    <w:p w14:paraId="78C7225E" w14:textId="77777777" w:rsidR="000C3DAF" w:rsidRDefault="00DC22D6" w:rsidP="00DC22D6">
      <w:pPr>
        <w:pStyle w:val="BodyText"/>
        <w:rPr>
          <w:lang w:val="en-AU"/>
        </w:rPr>
      </w:pPr>
      <w:r w:rsidRPr="00D30BFF">
        <w:rPr>
          <w:lang w:val="en-AU"/>
        </w:rPr>
        <w:t>The group aims to be acknowledged as a trusted adviser, facilitator and system steward through collaboration and partnership and by leveraging contemporary technology and best practice.</w:t>
      </w:r>
    </w:p>
    <w:p w14:paraId="2A45C670" w14:textId="357586F5" w:rsidR="00DC22D6" w:rsidRPr="00D30BFF" w:rsidRDefault="00DC22D6" w:rsidP="00DC22D6">
      <w:pPr>
        <w:pStyle w:val="BodyText"/>
        <w:rPr>
          <w:lang w:val="en-AU"/>
        </w:rPr>
      </w:pPr>
      <w:r w:rsidRPr="00D30BFF">
        <w:rPr>
          <w:lang w:val="en-AU"/>
        </w:rPr>
        <w:t>CSG comprises teams delivering services across finance, infrastructure and procurement, information services, legal and legislation, people and culture, strategic communications and strategy and performance.</w:t>
      </w:r>
    </w:p>
    <w:p w14:paraId="51DA824A" w14:textId="77777777" w:rsidR="00DC22D6" w:rsidRPr="00D30BFF" w:rsidRDefault="00DC22D6" w:rsidP="00DC22D6">
      <w:pPr>
        <w:pStyle w:val="Heading2"/>
        <w:rPr>
          <w:lang w:val="en-AU"/>
        </w:rPr>
      </w:pPr>
      <w:r w:rsidRPr="00D30BFF">
        <w:rPr>
          <w:lang w:val="en-AU"/>
        </w:rPr>
        <w:t>Energy</w:t>
      </w:r>
    </w:p>
    <w:p w14:paraId="169A1AA6" w14:textId="4F0FB559" w:rsidR="00DC22D6" w:rsidRPr="00D30BFF" w:rsidRDefault="00DC22D6" w:rsidP="00DC22D6">
      <w:pPr>
        <w:pStyle w:val="BodyText"/>
        <w:rPr>
          <w:lang w:val="en-AU"/>
        </w:rPr>
      </w:pPr>
      <w:r w:rsidRPr="00D30BFF">
        <w:rPr>
          <w:lang w:val="en-AU"/>
        </w:rPr>
        <w:t>DEECA’s Energy group supports current and future energy projects, programs and reforms, as Victoria’s electricity and gas systems undergo a major transition, and the state pursues its targets for renewable energy, energy storage and offshore wind. The group advocates, leads and delivers strategic state-wide policies and programs, stimulates sector and workforce development, facilitates energy projects and technology deployment, and contributes to national initiatives and market reform. The Group delivers this through strong partnerships and maintaining a focus on improving reliability and security of the energy system, reducing emissions, increasing energy affordability, enhancing safety, increasing jobs and economic development and enabling Aboriginal self-determination.</w:t>
      </w:r>
    </w:p>
    <w:p w14:paraId="2E4D2E04" w14:textId="77777777" w:rsidR="000C3DAF" w:rsidRDefault="00DC22D6" w:rsidP="00DC22D6">
      <w:pPr>
        <w:pStyle w:val="Heading2"/>
        <w:ind w:right="-143"/>
        <w:rPr>
          <w:lang w:val="en-AU"/>
        </w:rPr>
      </w:pPr>
      <w:r w:rsidRPr="00D30BFF">
        <w:rPr>
          <w:lang w:val="en-AU"/>
        </w:rPr>
        <w:t>Regions, Environment, Climate Action and First Peoples</w:t>
      </w:r>
    </w:p>
    <w:p w14:paraId="1587D4D3" w14:textId="77777777" w:rsidR="000C3DAF" w:rsidRDefault="00DC22D6" w:rsidP="00DC22D6">
      <w:pPr>
        <w:pStyle w:val="BodyText"/>
        <w:rPr>
          <w:lang w:val="en-AU"/>
        </w:rPr>
      </w:pPr>
      <w:r w:rsidRPr="00D30BFF">
        <w:rPr>
          <w:lang w:val="en-AU"/>
        </w:rPr>
        <w:t xml:space="preserve">The Regions, Environment, Climate Action and First Peoples Group (RECAFP) is the home of DEECA’s expertise on climate action, the circular economy, environment </w:t>
      </w:r>
      <w:r w:rsidRPr="00D30BFF">
        <w:rPr>
          <w:lang w:val="en-AU"/>
        </w:rPr>
        <w:lastRenderedPageBreak/>
        <w:t>protection and the management of natural and built assets on public land across Victoria. The RECAFP Group provides advice to the Victorian government on the policy settings, programs and initiatives which will further the implementation of DEECA’s state-wide objectives in the environment and climate action portfolios.</w:t>
      </w:r>
    </w:p>
    <w:p w14:paraId="6DB33DC2" w14:textId="61EB28C4" w:rsidR="00DC22D6" w:rsidRPr="00D30BFF" w:rsidRDefault="00DC22D6" w:rsidP="00FD089D">
      <w:pPr>
        <w:pStyle w:val="BodyText"/>
        <w:spacing w:after="120"/>
        <w:ind w:right="-427"/>
        <w:rPr>
          <w:lang w:val="en-AU"/>
        </w:rPr>
      </w:pPr>
      <w:r w:rsidRPr="00D30BFF">
        <w:rPr>
          <w:lang w:val="en-AU"/>
        </w:rPr>
        <w:t>Through its network of regional directorates, the RECAFP Group provides integrated, place-based design and delivery of programs, projects, and services across departmental portfolios. It is also responsible for leading DEECA’s self-determination reform agenda with a particular focus on developing cultural capability, creating a culturally safe working environment, and improving employment opportunities for Aboriginal Victorians across the department.</w:t>
      </w:r>
    </w:p>
    <w:p w14:paraId="6DC270A5" w14:textId="77777777" w:rsidR="000C3DAF" w:rsidRDefault="00DC22D6" w:rsidP="00DC22D6">
      <w:pPr>
        <w:pStyle w:val="Heading2"/>
        <w:rPr>
          <w:lang w:val="en-AU"/>
        </w:rPr>
      </w:pPr>
      <w:r w:rsidRPr="00D30BFF">
        <w:rPr>
          <w:lang w:val="en-AU"/>
        </w:rPr>
        <w:t>Resources Victoria</w:t>
      </w:r>
    </w:p>
    <w:p w14:paraId="30555A2B" w14:textId="16FC7287" w:rsidR="00DC22D6" w:rsidRPr="00D30BFF" w:rsidRDefault="00DC22D6" w:rsidP="00DC22D6">
      <w:pPr>
        <w:pStyle w:val="Normalbeforebullets"/>
      </w:pPr>
      <w:r w:rsidRPr="00D30BFF">
        <w:t>Resources Victoria (RV) facilitates informed and responsible earth resources exploration, development, extraction and rehabilitation in Victoria. RV seeks to:</w:t>
      </w:r>
    </w:p>
    <w:p w14:paraId="5570E39C" w14:textId="77777777" w:rsidR="00DC22D6" w:rsidRPr="00D30BFF" w:rsidRDefault="00DC22D6" w:rsidP="00DC22D6">
      <w:pPr>
        <w:pStyle w:val="ListBullet"/>
        <w:rPr>
          <w:lang w:val="en-AU"/>
        </w:rPr>
      </w:pPr>
      <w:r w:rsidRPr="00D30BFF">
        <w:rPr>
          <w:lang w:val="en-AU"/>
        </w:rPr>
        <w:t>increase investment in Victoria’s earth resources, including new critical minerals</w:t>
      </w:r>
    </w:p>
    <w:p w14:paraId="66D8B628" w14:textId="77777777" w:rsidR="00DC22D6" w:rsidRPr="00D30BFF" w:rsidRDefault="00DC22D6" w:rsidP="00DC22D6">
      <w:pPr>
        <w:pStyle w:val="ListBullet"/>
        <w:rPr>
          <w:lang w:val="en-AU"/>
        </w:rPr>
      </w:pPr>
      <w:r w:rsidRPr="00D30BFF">
        <w:rPr>
          <w:lang w:val="en-AU"/>
        </w:rPr>
        <w:t>build confidence in the performance of the earth resources sector in Victoria and its regulation</w:t>
      </w:r>
    </w:p>
    <w:p w14:paraId="57926F18" w14:textId="77777777" w:rsidR="000C3DAF" w:rsidRDefault="00DC22D6" w:rsidP="00DC22D6">
      <w:pPr>
        <w:pStyle w:val="LastBulletinList"/>
        <w:rPr>
          <w:lang w:val="en-AU"/>
        </w:rPr>
      </w:pPr>
      <w:r w:rsidRPr="00D30BFF">
        <w:rPr>
          <w:lang w:val="en-AU"/>
        </w:rPr>
        <w:t>secure the supply of quarry materials essential for new infrastructure and residential development.</w:t>
      </w:r>
    </w:p>
    <w:p w14:paraId="0F0AFB1A" w14:textId="77777777" w:rsidR="000C3DAF" w:rsidRDefault="00DC22D6" w:rsidP="00DC22D6">
      <w:pPr>
        <w:pStyle w:val="BodyText"/>
        <w:rPr>
          <w:lang w:val="en-AU"/>
        </w:rPr>
      </w:pPr>
      <w:r w:rsidRPr="00D30BFF">
        <w:rPr>
          <w:lang w:val="en-AU"/>
        </w:rPr>
        <w:t xml:space="preserve">RV applies specialist scientific and technical expertise to understand Victoria’s </w:t>
      </w:r>
      <w:proofErr w:type="gramStart"/>
      <w:r w:rsidRPr="00D30BFF">
        <w:rPr>
          <w:lang w:val="en-AU"/>
        </w:rPr>
        <w:t>geology, and</w:t>
      </w:r>
      <w:proofErr w:type="gramEnd"/>
      <w:r w:rsidRPr="00D30BFF">
        <w:rPr>
          <w:lang w:val="en-AU"/>
        </w:rPr>
        <w:t xml:space="preserve"> create new opportunities for responsible investment and support the transition to a low-emission economy and renewable energy objectives. Through the delivery resources policy and legislative reform, RV enables responsible earth resources activities, from exploration through to rehabilitation.</w:t>
      </w:r>
    </w:p>
    <w:p w14:paraId="628B77BA" w14:textId="27BCBF7E" w:rsidR="00DC22D6" w:rsidRPr="00D30BFF" w:rsidRDefault="00DC22D6" w:rsidP="000636DD">
      <w:pPr>
        <w:pStyle w:val="BodyText"/>
        <w:spacing w:after="120"/>
        <w:rPr>
          <w:lang w:val="en-AU"/>
        </w:rPr>
      </w:pPr>
      <w:r w:rsidRPr="00D30BFF">
        <w:rPr>
          <w:lang w:val="en-AU"/>
        </w:rPr>
        <w:t xml:space="preserve">RV facilitates earth resources projects in a timely and transparent way that safeguards public safety, human health, infrastructure and the environment. RV works across </w:t>
      </w:r>
      <w:r w:rsidRPr="00D30BFF">
        <w:rPr>
          <w:lang w:val="en-AU"/>
        </w:rPr>
        <w:lastRenderedPageBreak/>
        <w:t>government to enable investment, while supporting industry with expert advice and clear and efficient approvals processes.</w:t>
      </w:r>
    </w:p>
    <w:p w14:paraId="14EC6EF9" w14:textId="77777777" w:rsidR="000C3DAF" w:rsidRDefault="00DC22D6" w:rsidP="00DC22D6">
      <w:pPr>
        <w:pStyle w:val="Heading2"/>
        <w:rPr>
          <w:lang w:val="en-AU"/>
        </w:rPr>
      </w:pPr>
      <w:r w:rsidRPr="00D30BFF">
        <w:rPr>
          <w:lang w:val="en-AU"/>
        </w:rPr>
        <w:t>Solar Victoria</w:t>
      </w:r>
    </w:p>
    <w:p w14:paraId="334C579E" w14:textId="334FBC02" w:rsidR="00DC22D6" w:rsidRPr="00D30BFF" w:rsidRDefault="00DC22D6" w:rsidP="000636DD">
      <w:pPr>
        <w:pStyle w:val="BodyText"/>
        <w:spacing w:after="120"/>
        <w:rPr>
          <w:lang w:val="en-AU"/>
        </w:rPr>
      </w:pPr>
      <w:r w:rsidRPr="00D30BFF">
        <w:rPr>
          <w:lang w:val="en-AU"/>
        </w:rPr>
        <w:t>Solar Victoria’s purpose is to enable Victorians to access clean and affordable energy. It is responsible for delivering the Victorian Government’s 10-year, $1.3 billion Solar Homes Program and the Victorian Energy Upgrades (VEU) program – two of the most ambitious and transformative renewable energy programs in Australia. Solar Homes delivers rebates and loans on solar panels and energy efficient hot water systems. The Victorian Energy Upgrades program allows households to access incentives to move away from gas, supporting the move to efficient electric appliances. Businesses are also supported through VEU incentives through the Large Energy User Electrification Support Program. In 2026, the VEU will introduce a home insulation program accompanied by an insulation safety and quality assurance regime. The Solar Homes and VEU programs assist Victorians reduce their energy bills while boosting our renewable energy supply, supporting jobs and improving our grid security.</w:t>
      </w:r>
    </w:p>
    <w:p w14:paraId="760AB2F7" w14:textId="77777777" w:rsidR="000C3DAF" w:rsidRDefault="00DC22D6" w:rsidP="00DC22D6">
      <w:pPr>
        <w:pStyle w:val="Heading2"/>
        <w:rPr>
          <w:lang w:val="en-AU"/>
        </w:rPr>
      </w:pPr>
      <w:r w:rsidRPr="00D30BFF">
        <w:rPr>
          <w:lang w:val="en-AU"/>
        </w:rPr>
        <w:t>Water and Catchments</w:t>
      </w:r>
    </w:p>
    <w:p w14:paraId="1B180656" w14:textId="4D69FC8E" w:rsidR="00FD089D" w:rsidRPr="00D30BFF" w:rsidRDefault="00DC22D6" w:rsidP="00DC22D6">
      <w:pPr>
        <w:pStyle w:val="BodyText"/>
        <w:rPr>
          <w:lang w:val="en-AU"/>
        </w:rPr>
        <w:sectPr w:rsidR="00FD089D" w:rsidRPr="00D30BFF" w:rsidSect="00EB277B">
          <w:footerReference w:type="default" r:id="rId11"/>
          <w:pgSz w:w="11906" w:h="16838"/>
          <w:pgMar w:top="1134" w:right="1134" w:bottom="1134" w:left="1134" w:header="720" w:footer="454" w:gutter="0"/>
          <w:cols w:space="720"/>
          <w:noEndnote/>
          <w:docGrid w:linePitch="326"/>
        </w:sectPr>
      </w:pPr>
      <w:r w:rsidRPr="00D30BFF">
        <w:rPr>
          <w:lang w:val="en-AU"/>
        </w:rPr>
        <w:t>DEECA’s Water and Catchments group ensures Victoria has safe, sustainable, and productive water resources to meet current and future urban, rural, environmental and cultural needs and is responsible for the implementation of the government’s strategic directions for management of the state’s water and catchment resources. The group works in partnerships with water corporations, catchment management authorities, government agencies, industry, community, and Traditional Owners to balance the economic, environmental, and social values of water. This work helps to deliver secure water supplies, greener and liveable cities and towns, as well as ensuring healthy waterways, catchments and Country.</w:t>
      </w:r>
    </w:p>
    <w:p w14:paraId="693FD94A" w14:textId="64E4D3A9" w:rsidR="00FD089D" w:rsidRPr="00D30BFF" w:rsidRDefault="00FD089D" w:rsidP="00C25D6B">
      <w:pPr>
        <w:pStyle w:val="Heading1"/>
        <w:spacing w:after="720"/>
        <w:rPr>
          <w:lang w:val="en-AU"/>
        </w:rPr>
      </w:pPr>
      <w:bookmarkStart w:id="4" w:name="_Toc207621355"/>
      <w:r w:rsidRPr="00D30BFF">
        <w:rPr>
          <w:lang w:val="en-AU"/>
        </w:rPr>
        <w:lastRenderedPageBreak/>
        <w:t>Organisational Chart</w:t>
      </w:r>
      <w:r w:rsidR="00C15814" w:rsidRPr="00D30BFF">
        <w:rPr>
          <w:lang w:val="en-AU"/>
        </w:rPr>
        <w:t xml:space="preserve"> </w:t>
      </w:r>
      <w:r w:rsidR="00C15814" w:rsidRPr="00D30BFF">
        <w:rPr>
          <w:b w:val="0"/>
          <w:bCs w:val="0"/>
          <w:sz w:val="24"/>
          <w:szCs w:val="24"/>
          <w:lang w:val="en-AU"/>
        </w:rPr>
        <w:t>from 1 July 2025</w:t>
      </w:r>
      <w:bookmarkEnd w:id="4"/>
    </w:p>
    <w:p w14:paraId="1287E699" w14:textId="2FFBE2EC" w:rsidR="00C15814" w:rsidRPr="00D30BFF" w:rsidRDefault="00C15814" w:rsidP="00DC22D6">
      <w:pPr>
        <w:pStyle w:val="BodyText"/>
        <w:rPr>
          <w:lang w:val="en-AU"/>
        </w:rPr>
        <w:sectPr w:rsidR="00C15814" w:rsidRPr="00D30BFF" w:rsidSect="00C25D6B">
          <w:pgSz w:w="23800" w:h="16820" w:orient="landscape"/>
          <w:pgMar w:top="737" w:right="680" w:bottom="851" w:left="822" w:header="720" w:footer="454" w:gutter="0"/>
          <w:cols w:space="720"/>
          <w:noEndnote/>
          <w:docGrid w:linePitch="326"/>
        </w:sectPr>
      </w:pPr>
      <w:r w:rsidRPr="00D30BFF">
        <w:rPr>
          <w:noProof/>
          <w:lang w:val="en-AU"/>
        </w:rPr>
        <w:drawing>
          <wp:inline distT="0" distB="0" distL="0" distR="0" wp14:anchorId="6D3D3506" wp14:editId="0AC4E761">
            <wp:extent cx="14041264" cy="7933267"/>
            <wp:effectExtent l="0" t="0" r="5080" b="4445"/>
            <wp:docPr id="1477728614" name="Picture 1" descr="DEECA Organisational Chart from 1 July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728614" name="Picture 1" descr="DEECA Organisational Chart from 1 July 2025"/>
                    <pic:cNvPicPr/>
                  </pic:nvPicPr>
                  <pic:blipFill>
                    <a:blip r:embed="rId12"/>
                    <a:stretch>
                      <a:fillRect/>
                    </a:stretch>
                  </pic:blipFill>
                  <pic:spPr>
                    <a:xfrm>
                      <a:off x="0" y="0"/>
                      <a:ext cx="14200554" cy="8023265"/>
                    </a:xfrm>
                    <a:prstGeom prst="rect">
                      <a:avLst/>
                    </a:prstGeom>
                  </pic:spPr>
                </pic:pic>
              </a:graphicData>
            </a:graphic>
          </wp:inline>
        </w:drawing>
      </w:r>
    </w:p>
    <w:p w14:paraId="3245C245" w14:textId="77777777" w:rsidR="000C3DAF" w:rsidRDefault="00C13CB9" w:rsidP="00587AC8">
      <w:pPr>
        <w:pStyle w:val="Heading1"/>
        <w:pageBreakBefore/>
        <w:rPr>
          <w:lang w:val="en-AU"/>
        </w:rPr>
      </w:pPr>
      <w:bookmarkStart w:id="5" w:name="_Toc207621356"/>
      <w:r w:rsidRPr="00D30BFF">
        <w:rPr>
          <w:lang w:val="en-AU"/>
        </w:rPr>
        <w:lastRenderedPageBreak/>
        <w:t>Our operating environment</w:t>
      </w:r>
      <w:bookmarkEnd w:id="5"/>
    </w:p>
    <w:p w14:paraId="0665CD72" w14:textId="210AB16F" w:rsidR="00C13CB9" w:rsidRPr="00D30BFF" w:rsidRDefault="00C13CB9" w:rsidP="00C13CB9">
      <w:pPr>
        <w:pStyle w:val="Heading2"/>
        <w:rPr>
          <w:lang w:val="en-AU"/>
        </w:rPr>
      </w:pPr>
      <w:r w:rsidRPr="00D30BFF">
        <w:rPr>
          <w:lang w:val="en-AU"/>
        </w:rPr>
        <w:t>Key challenges</w:t>
      </w:r>
    </w:p>
    <w:p w14:paraId="1B2B72E9" w14:textId="77777777" w:rsidR="000C3DAF" w:rsidRDefault="00C13CB9" w:rsidP="00C13CB9">
      <w:pPr>
        <w:pStyle w:val="Heading3"/>
        <w:rPr>
          <w:lang w:val="en-AU"/>
        </w:rPr>
      </w:pPr>
      <w:r w:rsidRPr="00D30BFF">
        <w:rPr>
          <w:lang w:val="en-AU"/>
        </w:rPr>
        <w:t>Economic uncertainty</w:t>
      </w:r>
    </w:p>
    <w:p w14:paraId="7FD851F0" w14:textId="393AADD4" w:rsidR="00C13CB9" w:rsidRPr="00D30BFF" w:rsidRDefault="00C13CB9" w:rsidP="00C13CB9">
      <w:pPr>
        <w:pStyle w:val="BodyText"/>
        <w:rPr>
          <w:lang w:val="en-AU"/>
        </w:rPr>
      </w:pPr>
      <w:r w:rsidRPr="00D30BFF">
        <w:rPr>
          <w:lang w:val="en-AU"/>
        </w:rPr>
        <w:t>Victoria continues to navigate a complex and evolving economic landscape. Like many states and territories, Victoria is experiencing skilled workforce shortages, supply chain disruptions, and sustained cost of living pressures that are affecting households and businesses. These domestic issues are impacted by a shifting geopolitical environment, which is influencing global trade, investment, and markets. There is an opportunity for Victoria to enhance economic resilience to support long-term growth.</w:t>
      </w:r>
    </w:p>
    <w:p w14:paraId="45E06EBB" w14:textId="77777777" w:rsidR="00C13CB9" w:rsidRPr="00D30BFF" w:rsidRDefault="00C13CB9" w:rsidP="00C13CB9">
      <w:pPr>
        <w:pStyle w:val="Heading3"/>
        <w:rPr>
          <w:lang w:val="en-AU"/>
        </w:rPr>
      </w:pPr>
      <w:r w:rsidRPr="00D30BFF">
        <w:rPr>
          <w:lang w:val="en-AU"/>
        </w:rPr>
        <w:t>A changing climate</w:t>
      </w:r>
    </w:p>
    <w:p w14:paraId="4E04D519" w14:textId="77777777" w:rsidR="00C13CB9" w:rsidRPr="00D30BFF" w:rsidRDefault="00C13CB9" w:rsidP="00C13CB9">
      <w:pPr>
        <w:pStyle w:val="Normalbeforebullets"/>
      </w:pPr>
      <w:r w:rsidRPr="00D30BFF">
        <w:t>Victoria is experiencing impacts from climate change and these impacts are projected to increase in the coming decades, including:</w:t>
      </w:r>
    </w:p>
    <w:p w14:paraId="2A6FFFC4" w14:textId="77777777" w:rsidR="00C13CB9" w:rsidRPr="00D30BFF" w:rsidRDefault="00C13CB9" w:rsidP="00C13CB9">
      <w:pPr>
        <w:pStyle w:val="ListBullet"/>
        <w:spacing w:after="60"/>
        <w:rPr>
          <w:lang w:val="en-AU"/>
        </w:rPr>
      </w:pPr>
      <w:r w:rsidRPr="00D30BFF">
        <w:rPr>
          <w:lang w:val="en-AU"/>
        </w:rPr>
        <w:t>rising average temperatures</w:t>
      </w:r>
    </w:p>
    <w:p w14:paraId="25B3DA52" w14:textId="77777777" w:rsidR="00C13CB9" w:rsidRPr="00D30BFF" w:rsidRDefault="00C13CB9" w:rsidP="00C13CB9">
      <w:pPr>
        <w:pStyle w:val="ListBullet"/>
        <w:spacing w:after="60"/>
        <w:rPr>
          <w:lang w:val="en-AU"/>
        </w:rPr>
      </w:pPr>
      <w:r w:rsidRPr="00D30BFF">
        <w:rPr>
          <w:lang w:val="en-AU"/>
        </w:rPr>
        <w:t>rising sea levels</w:t>
      </w:r>
    </w:p>
    <w:p w14:paraId="7FCB46A4" w14:textId="77777777" w:rsidR="00C13CB9" w:rsidRPr="00D30BFF" w:rsidRDefault="00C13CB9" w:rsidP="00C13CB9">
      <w:pPr>
        <w:pStyle w:val="ListBullet"/>
        <w:spacing w:after="60"/>
        <w:rPr>
          <w:lang w:val="en-AU"/>
        </w:rPr>
      </w:pPr>
      <w:r w:rsidRPr="00D30BFF">
        <w:rPr>
          <w:lang w:val="en-AU"/>
        </w:rPr>
        <w:t>ecosystem disruption</w:t>
      </w:r>
    </w:p>
    <w:p w14:paraId="3461ED07" w14:textId="77777777" w:rsidR="00C13CB9" w:rsidRPr="00D30BFF" w:rsidRDefault="00C13CB9" w:rsidP="00C13CB9">
      <w:pPr>
        <w:pStyle w:val="ListBullet"/>
        <w:spacing w:after="60"/>
        <w:rPr>
          <w:lang w:val="en-AU"/>
        </w:rPr>
      </w:pPr>
      <w:r w:rsidRPr="00D30BFF">
        <w:rPr>
          <w:lang w:val="en-AU"/>
        </w:rPr>
        <w:t>changes in rain patterns</w:t>
      </w:r>
    </w:p>
    <w:p w14:paraId="2BCEEB27" w14:textId="77777777" w:rsidR="00C13CB9" w:rsidRPr="00D30BFF" w:rsidRDefault="00C13CB9" w:rsidP="00C13CB9">
      <w:pPr>
        <w:pStyle w:val="ListBullet"/>
        <w:spacing w:after="60"/>
        <w:rPr>
          <w:lang w:val="en-AU"/>
        </w:rPr>
      </w:pPr>
      <w:r w:rsidRPr="00D30BFF">
        <w:rPr>
          <w:lang w:val="en-AU"/>
        </w:rPr>
        <w:t>reduction in agricultural yields and increased risk of pests and diseases</w:t>
      </w:r>
    </w:p>
    <w:p w14:paraId="3C200731" w14:textId="77777777" w:rsidR="00C13CB9" w:rsidRPr="00D30BFF" w:rsidRDefault="00C13CB9" w:rsidP="00C13CB9">
      <w:pPr>
        <w:pStyle w:val="LastBulletinList"/>
        <w:rPr>
          <w:lang w:val="en-AU"/>
        </w:rPr>
      </w:pPr>
      <w:r w:rsidRPr="00D30BFF">
        <w:rPr>
          <w:lang w:val="en-AU"/>
        </w:rPr>
        <w:t>more frequent and intense extreme weather events.</w:t>
      </w:r>
    </w:p>
    <w:p w14:paraId="33C0BC57" w14:textId="77777777" w:rsidR="00C13CB9" w:rsidRPr="00D30BFF" w:rsidRDefault="00C13CB9" w:rsidP="00C13CB9">
      <w:pPr>
        <w:pStyle w:val="BodyText"/>
        <w:rPr>
          <w:lang w:val="en-AU"/>
        </w:rPr>
      </w:pPr>
      <w:r w:rsidRPr="00D30BFF">
        <w:rPr>
          <w:lang w:val="en-AU"/>
        </w:rPr>
        <w:t>These climate-related pressures are contributing to overlapping and compounding emergencies across the state. The consequences are extensive – affecting public safety, critical infrastructure, access to public land, agriculture, energy and resources sectors and posing risks to biodiversity, water quality, economic stability and Aboriginal cultural heritage values.</w:t>
      </w:r>
    </w:p>
    <w:p w14:paraId="7CB01613" w14:textId="59EAE9BB" w:rsidR="00C13CB9" w:rsidRPr="00D30BFF" w:rsidRDefault="00C13CB9" w:rsidP="00C13CB9">
      <w:pPr>
        <w:pStyle w:val="BodyText"/>
        <w:rPr>
          <w:lang w:val="en-AU"/>
        </w:rPr>
      </w:pPr>
      <w:r w:rsidRPr="00D30BFF">
        <w:rPr>
          <w:lang w:val="en-AU"/>
        </w:rPr>
        <w:lastRenderedPageBreak/>
        <w:t>Addressing these challenges requires both mitigation efforts to reduce greenhouse gas emissions including accelerating the transition to renewable energy and innovating to reduce agricultural emissions, and adaptation measures to prepare for and respond to the impacts already occurring and expected to worsen such as extreme weather, sea level rise and ecosystems shifts.</w:t>
      </w:r>
    </w:p>
    <w:p w14:paraId="0A4BC9FF" w14:textId="77777777" w:rsidR="00C13CB9" w:rsidRPr="00D30BFF" w:rsidRDefault="00C13CB9" w:rsidP="00C13CB9">
      <w:pPr>
        <w:pStyle w:val="Heading3"/>
        <w:rPr>
          <w:lang w:val="en-AU"/>
        </w:rPr>
      </w:pPr>
      <w:r w:rsidRPr="00D30BFF">
        <w:rPr>
          <w:lang w:val="en-AU"/>
        </w:rPr>
        <w:t>Transforming our energy network</w:t>
      </w:r>
    </w:p>
    <w:p w14:paraId="1890EF1D" w14:textId="0ECFE76D" w:rsidR="00C13CB9" w:rsidRPr="00D30BFF" w:rsidRDefault="00C13CB9" w:rsidP="00C13CB9">
      <w:pPr>
        <w:pStyle w:val="BodyText"/>
        <w:rPr>
          <w:lang w:val="en-AU"/>
        </w:rPr>
      </w:pPr>
      <w:r w:rsidRPr="00D30BFF">
        <w:rPr>
          <w:lang w:val="en-AU"/>
        </w:rPr>
        <w:t>Victoria’s energy supply is facing growing challenges to affordability, reliability and security – driven by aging coal-fired power plants, increasingly severe weather events and the rapid transformation of the electricity grid.</w:t>
      </w:r>
    </w:p>
    <w:p w14:paraId="0B31FD36" w14:textId="77777777" w:rsidR="00C13CB9" w:rsidRPr="00D30BFF" w:rsidRDefault="00C13CB9" w:rsidP="00C13CB9">
      <w:pPr>
        <w:pStyle w:val="BodyText"/>
        <w:rPr>
          <w:lang w:val="en-AU"/>
        </w:rPr>
      </w:pPr>
      <w:r w:rsidRPr="00D30BFF">
        <w:rPr>
          <w:lang w:val="en-AU"/>
        </w:rPr>
        <w:t>Efforts to mitigate climate change through reduced greenhouse gas emissions are accelerating a transformation in the energy sector. The shift toward renewable energy generation and storage, along with the electrification of the built environment, industry, and transport, is complex and fast-moving. While this transition is expected to generate thousands of new jobs, it also requires targeted investment in workforce development and training.</w:t>
      </w:r>
    </w:p>
    <w:p w14:paraId="07B00A0B" w14:textId="77777777" w:rsidR="000C3DAF" w:rsidRDefault="00C13CB9" w:rsidP="00C13CB9">
      <w:pPr>
        <w:pStyle w:val="BodyText"/>
        <w:rPr>
          <w:lang w:val="en-AU"/>
        </w:rPr>
      </w:pPr>
      <w:r w:rsidRPr="00D30BFF">
        <w:rPr>
          <w:lang w:val="en-AU"/>
        </w:rPr>
        <w:t>To support this transformation, Victoria must also unlock greater access to essential construction materials and realise its potential in critical minerals. These resources are critical to building new renewable energy supply chains and enabling infrastructure delivery.</w:t>
      </w:r>
    </w:p>
    <w:p w14:paraId="07759F03" w14:textId="77777777" w:rsidR="000C3DAF" w:rsidRDefault="00C13CB9" w:rsidP="00C13CB9">
      <w:pPr>
        <w:pStyle w:val="Heading3"/>
        <w:rPr>
          <w:lang w:val="en-AU"/>
        </w:rPr>
      </w:pPr>
      <w:r w:rsidRPr="00D30BFF">
        <w:rPr>
          <w:lang w:val="en-AU"/>
        </w:rPr>
        <w:t>Competing land use</w:t>
      </w:r>
    </w:p>
    <w:p w14:paraId="352D72A4" w14:textId="77777777" w:rsidR="000C3DAF" w:rsidRDefault="00C13CB9" w:rsidP="00C13CB9">
      <w:pPr>
        <w:pStyle w:val="BodyText"/>
        <w:rPr>
          <w:lang w:val="en-AU"/>
        </w:rPr>
      </w:pPr>
      <w:r w:rsidRPr="00D30BFF">
        <w:rPr>
          <w:lang w:val="en-AU"/>
        </w:rPr>
        <w:t>Victoria is navigating changing land use demands—and seeks to drive economic growth, safeguard environmental sustainability, and ensure the rights of First Nations peoples are met.</w:t>
      </w:r>
    </w:p>
    <w:p w14:paraId="6217F167" w14:textId="77777777" w:rsidR="000C3DAF" w:rsidRDefault="00C13CB9" w:rsidP="00C13CB9">
      <w:pPr>
        <w:pStyle w:val="BodyText"/>
        <w:rPr>
          <w:lang w:val="en-AU"/>
        </w:rPr>
      </w:pPr>
      <w:r w:rsidRPr="00D30BFF">
        <w:rPr>
          <w:lang w:val="en-AU"/>
        </w:rPr>
        <w:lastRenderedPageBreak/>
        <w:t>Our energy transition will reshape landscapes across the state, impacting both natural and built assets, communities and existing land uses. This will be actively and transparently managed in partnership with Traditional Owners and through collaboration and consultation with communities and across all levels of government.</w:t>
      </w:r>
    </w:p>
    <w:p w14:paraId="2B170F2E" w14:textId="77777777" w:rsidR="000C3DAF" w:rsidRDefault="00C13CB9" w:rsidP="00C13CB9">
      <w:pPr>
        <w:pStyle w:val="BodyText"/>
        <w:rPr>
          <w:lang w:val="en-AU"/>
        </w:rPr>
      </w:pPr>
      <w:r w:rsidRPr="00D30BFF">
        <w:rPr>
          <w:lang w:val="en-AU"/>
        </w:rPr>
        <w:t>The availability of extractive resources located near growth corridors and major construction projects is a key enabler of housing and major infrastructure development. Demand for critical and rare earth minerals is also rising to support the energy transition.</w:t>
      </w:r>
    </w:p>
    <w:p w14:paraId="69EF5411" w14:textId="77777777" w:rsidR="000C3DAF" w:rsidRDefault="00C13CB9" w:rsidP="00C13CB9">
      <w:pPr>
        <w:pStyle w:val="BodyText"/>
        <w:rPr>
          <w:lang w:val="en-AU"/>
        </w:rPr>
      </w:pPr>
      <w:r w:rsidRPr="00D30BFF">
        <w:rPr>
          <w:lang w:val="en-AU"/>
        </w:rPr>
        <w:t>Optimising land resources in ways that support both environmental sustainability and economic objectives is central to our commitment to support thriving, productive and sustainable communities, environments and industries. It requires integrated planning, forward thinking and inclusive engagement to ensure land use decisions deliver long-term value for Victoria.</w:t>
      </w:r>
    </w:p>
    <w:p w14:paraId="47007BB9" w14:textId="77777777" w:rsidR="000C3DAF" w:rsidRDefault="00C13CB9" w:rsidP="00C13CB9">
      <w:pPr>
        <w:pStyle w:val="Heading3"/>
        <w:rPr>
          <w:lang w:val="en-AU"/>
        </w:rPr>
      </w:pPr>
      <w:r w:rsidRPr="00D30BFF">
        <w:rPr>
          <w:lang w:val="en-AU"/>
        </w:rPr>
        <w:t>Addressing environmental decline</w:t>
      </w:r>
    </w:p>
    <w:p w14:paraId="0A7979B3" w14:textId="1D7906A4" w:rsidR="00C13CB9" w:rsidRPr="00D30BFF" w:rsidRDefault="00C13CB9" w:rsidP="00C13CB9">
      <w:pPr>
        <w:pStyle w:val="BodyText"/>
        <w:rPr>
          <w:lang w:val="en-AU"/>
        </w:rPr>
      </w:pPr>
      <w:r w:rsidRPr="00D30BFF">
        <w:rPr>
          <w:lang w:val="en-AU"/>
        </w:rPr>
        <w:t>The State of the Environment 2023 Report, confirms that 32 out of 42 biodiversity indicators are either deteriorating or unable to be assessed, highlighting the urgency of addressing environmental decline. The drivers of this decline are complex and interconnected, shaped by a range of pressures including climate change, habitat loss and fragmentation, altered fire and water regimes, invasive species; the impact and spread of new and existing pest plants and animals, and the legacy of historic clearing that has left much of the landscape environmentally fragmented and vulnerable.</w:t>
      </w:r>
    </w:p>
    <w:p w14:paraId="06E68097" w14:textId="2078BACA" w:rsidR="00C13CB9" w:rsidRPr="00D30BFF" w:rsidRDefault="00C13CB9" w:rsidP="00C13CB9">
      <w:pPr>
        <w:pStyle w:val="BodyText"/>
        <w:rPr>
          <w:lang w:val="en-AU"/>
        </w:rPr>
      </w:pPr>
      <w:r w:rsidRPr="00D30BFF">
        <w:rPr>
          <w:lang w:val="en-AU"/>
        </w:rPr>
        <w:t xml:space="preserve">Victoria’s transition to a circular economy represents an opportunity to reduce total waste generation, divert waste from landfill, lower emissions and help reverse biodiversity loss, must be a shared responsibility. Coordinated effort is required to support environmental </w:t>
      </w:r>
      <w:r w:rsidRPr="00D30BFF">
        <w:rPr>
          <w:lang w:val="en-AU"/>
        </w:rPr>
        <w:lastRenderedPageBreak/>
        <w:t>recovery and long-term sustainability across government, industry, philanthropy, financial institutions and the broader community.</w:t>
      </w:r>
    </w:p>
    <w:p w14:paraId="53DFC472" w14:textId="77777777" w:rsidR="00C13CB9" w:rsidRPr="00D30BFF" w:rsidRDefault="00C13CB9" w:rsidP="00C13CB9">
      <w:pPr>
        <w:pStyle w:val="Heading3"/>
        <w:rPr>
          <w:lang w:val="en-AU"/>
        </w:rPr>
      </w:pPr>
      <w:r w:rsidRPr="00D30BFF">
        <w:rPr>
          <w:lang w:val="en-AU"/>
        </w:rPr>
        <w:t>Transformative Technologies and Public Expectations</w:t>
      </w:r>
    </w:p>
    <w:p w14:paraId="5D889B22" w14:textId="77777777" w:rsidR="000C3DAF" w:rsidRDefault="00C13CB9" w:rsidP="00C13CB9">
      <w:pPr>
        <w:pStyle w:val="BodyText"/>
        <w:rPr>
          <w:lang w:val="en-AU"/>
        </w:rPr>
      </w:pPr>
      <w:r w:rsidRPr="00D30BFF">
        <w:rPr>
          <w:lang w:val="en-AU"/>
        </w:rPr>
        <w:t>The rapid emergence and adoption of disruptive technologies—including artificial intelligence, automation, digital twins and advanced data analytics—are reshaping how government, industry and communities operate. Greater access to information and digital systems, also means communities are seeking more transparency, accountability and inclusive decision-making.</w:t>
      </w:r>
    </w:p>
    <w:p w14:paraId="327053CB" w14:textId="7897403F" w:rsidR="00C13CB9" w:rsidRPr="00D30BFF" w:rsidRDefault="00C13CB9" w:rsidP="00C13CB9">
      <w:pPr>
        <w:pStyle w:val="BodyText"/>
        <w:rPr>
          <w:lang w:val="en-AU"/>
        </w:rPr>
      </w:pPr>
      <w:r w:rsidRPr="00D30BFF">
        <w:rPr>
          <w:lang w:val="en-AU"/>
        </w:rPr>
        <w:t>While technological innovations offer significant opportunities to improve service delivery, decision-making, and economic productivity, they also present challenges around data governance, ethics and regulatory alignment, and workforce capability. Navigating this technological transformation requires sector collaboration to ensure that innovation supports growth, responsiveness and participation, and retains public trust.</w:t>
      </w:r>
    </w:p>
    <w:p w14:paraId="55988B88" w14:textId="77777777" w:rsidR="00C13CB9" w:rsidRPr="00D30BFF" w:rsidRDefault="00C13CB9" w:rsidP="00C13CB9">
      <w:pPr>
        <w:pStyle w:val="Heading2"/>
        <w:rPr>
          <w:lang w:val="en-AU"/>
        </w:rPr>
      </w:pPr>
      <w:r w:rsidRPr="00D30BFF">
        <w:rPr>
          <w:lang w:val="en-AU"/>
        </w:rPr>
        <w:t>Risk management</w:t>
      </w:r>
    </w:p>
    <w:p w14:paraId="582DB3CD" w14:textId="77777777" w:rsidR="00C13CB9" w:rsidRPr="00D30BFF" w:rsidRDefault="00C13CB9" w:rsidP="00C13CB9">
      <w:pPr>
        <w:pStyle w:val="BodyText"/>
        <w:rPr>
          <w:lang w:val="en-AU"/>
        </w:rPr>
      </w:pPr>
      <w:r w:rsidRPr="00D30BFF">
        <w:rPr>
          <w:lang w:val="en-AU"/>
        </w:rPr>
        <w:t>Risk management plays an important role at DEECA and is an integral part of our organisational activities, including our strategic and business planning and project management. Guided by our Risk Management Framework and Risk Management Policy, we are committed to strong and effective risk management practices and continuing the ongoing strengthening of our risk management capability and maturity.</w:t>
      </w:r>
    </w:p>
    <w:p w14:paraId="6C579FAE" w14:textId="77777777" w:rsidR="00C13CB9" w:rsidRPr="00D30BFF" w:rsidRDefault="00C13CB9" w:rsidP="00C13CB9">
      <w:pPr>
        <w:pStyle w:val="BodyText"/>
        <w:rPr>
          <w:lang w:val="en-AU"/>
        </w:rPr>
      </w:pPr>
      <w:r w:rsidRPr="00D30BFF">
        <w:rPr>
          <w:lang w:val="en-AU"/>
        </w:rPr>
        <w:t>We embed a positive risk culture, ensuring accountability across all levels of the department and through proactive identification, assessment, mitigation, and monitoring of risks and mitigations, we can navigate challenges with foresight to enable continuity of our operations and achieve our strategic outcomes.</w:t>
      </w:r>
    </w:p>
    <w:p w14:paraId="7895B8BD" w14:textId="77777777" w:rsidR="00C13CB9" w:rsidRPr="00D30BFF" w:rsidRDefault="00C13CB9" w:rsidP="00C13CB9">
      <w:pPr>
        <w:pStyle w:val="BodyText"/>
        <w:rPr>
          <w:lang w:val="en-AU"/>
        </w:rPr>
      </w:pPr>
      <w:r w:rsidRPr="00D30BFF">
        <w:rPr>
          <w:lang w:val="en-AU"/>
        </w:rPr>
        <w:lastRenderedPageBreak/>
        <w:t>Some of the risks our department faces include climate change, emergency management, sustainable growth, the Victorian economic landscape, security and supply of critical services, service delivery adaptability, and technology security and resilience.</w:t>
      </w:r>
    </w:p>
    <w:p w14:paraId="22DD2578" w14:textId="77777777" w:rsidR="00C13CB9" w:rsidRPr="00D30BFF" w:rsidRDefault="00C13CB9" w:rsidP="00C13CB9">
      <w:pPr>
        <w:pStyle w:val="BodyText"/>
        <w:rPr>
          <w:lang w:val="en-AU"/>
        </w:rPr>
      </w:pPr>
      <w:r w:rsidRPr="00D30BFF">
        <w:rPr>
          <w:lang w:val="en-AU"/>
        </w:rPr>
        <w:t>DEECA’s corporate plan details the initiatives and services we are delivering that contribute to the realisation of department’s outcomes and the management of these risks.</w:t>
      </w:r>
    </w:p>
    <w:p w14:paraId="0D7760F9" w14:textId="77777777" w:rsidR="000C3DAF" w:rsidRDefault="00C13CB9" w:rsidP="00C13CB9">
      <w:pPr>
        <w:pStyle w:val="Heading3"/>
        <w:rPr>
          <w:lang w:val="en-AU"/>
        </w:rPr>
      </w:pPr>
      <w:r w:rsidRPr="00D30BFF">
        <w:rPr>
          <w:lang w:val="en-AU"/>
        </w:rPr>
        <w:t>Climate risk</w:t>
      </w:r>
    </w:p>
    <w:p w14:paraId="7EF29534" w14:textId="5CB456EB" w:rsidR="00C13CB9" w:rsidRPr="00D30BFF" w:rsidRDefault="00C13CB9" w:rsidP="00C13CB9">
      <w:pPr>
        <w:pStyle w:val="BodyText"/>
        <w:rPr>
          <w:lang w:val="en-AU"/>
        </w:rPr>
      </w:pPr>
      <w:r w:rsidRPr="00D30BFF">
        <w:rPr>
          <w:lang w:val="en-AU"/>
        </w:rPr>
        <w:t>DEECA is focused on implementing adaptation strategies to manage the physical climate risks to its assets and services. The department understands the major threats posed by climate change, including higher temperatures, more frequent heatwaves, intense storms, flooding, drought, bushfires, reduced water availability, and rising sea levels. These changes can harm biodiversity, threaten productivity and sustainability of the agricultural sector, cause coastal erosion, damage public infrastructure, and put extra strain on energy systems and emergency services.</w:t>
      </w:r>
    </w:p>
    <w:p w14:paraId="3B52F5C2" w14:textId="77777777" w:rsidR="00C13CB9" w:rsidRPr="00D30BFF" w:rsidRDefault="00C13CB9" w:rsidP="00C13CB9">
      <w:pPr>
        <w:pStyle w:val="BodyText"/>
        <w:rPr>
          <w:lang w:val="en-AU"/>
        </w:rPr>
      </w:pPr>
      <w:r w:rsidRPr="00D30BFF">
        <w:rPr>
          <w:lang w:val="en-AU"/>
        </w:rPr>
        <w:t>To address these challenges, DEECA is integrating climate risk management into its operations. This includes assessing and implementing opportunities to mature climate risk management, by better understanding our climate risks, and the priorities to manage these risks.</w:t>
      </w:r>
    </w:p>
    <w:p w14:paraId="78AAF5B4" w14:textId="77777777" w:rsidR="00C13CB9" w:rsidRPr="00D30BFF" w:rsidRDefault="00C13CB9" w:rsidP="00C13CB9">
      <w:pPr>
        <w:pStyle w:val="Normalbeforebullets"/>
      </w:pPr>
      <w:r w:rsidRPr="00D30BFF">
        <w:t>Our climate risk management approach is:</w:t>
      </w:r>
    </w:p>
    <w:p w14:paraId="51A0FF9D" w14:textId="77777777" w:rsidR="00C13CB9" w:rsidRPr="00D30BFF" w:rsidRDefault="00C13CB9" w:rsidP="00C13CB9">
      <w:pPr>
        <w:pStyle w:val="ListBullet"/>
        <w:rPr>
          <w:lang w:val="en-AU"/>
        </w:rPr>
      </w:pPr>
      <w:r w:rsidRPr="00D30BFF">
        <w:rPr>
          <w:lang w:val="en-AU"/>
        </w:rPr>
        <w:t>Assess, evaluate and manage climate risks to assets and services.</w:t>
      </w:r>
    </w:p>
    <w:p w14:paraId="287B023A" w14:textId="77777777" w:rsidR="00C13CB9" w:rsidRPr="00D30BFF" w:rsidRDefault="00C13CB9" w:rsidP="00C13CB9">
      <w:pPr>
        <w:pStyle w:val="ListBullet"/>
        <w:rPr>
          <w:lang w:val="en-AU"/>
        </w:rPr>
      </w:pPr>
      <w:r w:rsidRPr="00D30BFF">
        <w:rPr>
          <w:lang w:val="en-AU"/>
        </w:rPr>
        <w:t>Incorporate climate risk management and adaptation strategies into planning and reporting.</w:t>
      </w:r>
    </w:p>
    <w:p w14:paraId="12113CE5" w14:textId="77777777" w:rsidR="00C13CB9" w:rsidRPr="00D30BFF" w:rsidRDefault="00C13CB9" w:rsidP="00C13CB9">
      <w:pPr>
        <w:pStyle w:val="ListBullet"/>
        <w:rPr>
          <w:lang w:val="en-AU"/>
        </w:rPr>
      </w:pPr>
      <w:r w:rsidRPr="00D30BFF">
        <w:rPr>
          <w:lang w:val="en-AU"/>
        </w:rPr>
        <w:t>Embed climate change considerations into policy development and implementation.</w:t>
      </w:r>
    </w:p>
    <w:p w14:paraId="3A59DE28" w14:textId="77777777" w:rsidR="00C13CB9" w:rsidRPr="00D30BFF" w:rsidRDefault="00C13CB9" w:rsidP="00C13CB9">
      <w:pPr>
        <w:pStyle w:val="ListBullet"/>
        <w:rPr>
          <w:lang w:val="en-AU"/>
        </w:rPr>
      </w:pPr>
      <w:r w:rsidRPr="00D30BFF">
        <w:rPr>
          <w:lang w:val="en-AU"/>
        </w:rPr>
        <w:t>Coordinate efforts to protect state assets and services from climate risks.</w:t>
      </w:r>
    </w:p>
    <w:p w14:paraId="24AC6A84" w14:textId="054AE9D8" w:rsidR="00C13CB9" w:rsidRPr="00D30BFF" w:rsidRDefault="00C13CB9" w:rsidP="00C13CB9">
      <w:pPr>
        <w:pStyle w:val="Heading1"/>
        <w:pageBreakBefore/>
        <w:rPr>
          <w:lang w:val="en-AU"/>
        </w:rPr>
      </w:pPr>
      <w:bookmarkStart w:id="6" w:name="_Toc207621357"/>
      <w:r w:rsidRPr="00D30BFF">
        <w:rPr>
          <w:lang w:val="en-AU"/>
        </w:rPr>
        <w:lastRenderedPageBreak/>
        <w:t>DEECA’s role in supporting economic growth</w:t>
      </w:r>
      <w:bookmarkEnd w:id="6"/>
    </w:p>
    <w:p w14:paraId="057F1675" w14:textId="77777777" w:rsidR="00C13CB9" w:rsidRPr="00D30BFF" w:rsidRDefault="00C13CB9" w:rsidP="00C13CB9">
      <w:pPr>
        <w:pStyle w:val="BodyText"/>
        <w:rPr>
          <w:b/>
          <w:bCs/>
          <w:lang w:val="en-AU"/>
        </w:rPr>
      </w:pPr>
      <w:r w:rsidRPr="00D30BFF">
        <w:rPr>
          <w:b/>
          <w:bCs/>
          <w:lang w:val="en-AU"/>
        </w:rPr>
        <w:t>DEECA enables and drives a strong, sustainable and resilient economy in the face of complex challenges</w:t>
      </w:r>
    </w:p>
    <w:p w14:paraId="3C76A45C" w14:textId="77777777" w:rsidR="000C3DAF" w:rsidRDefault="00C13CB9" w:rsidP="00C13CB9">
      <w:pPr>
        <w:pStyle w:val="BodyText"/>
        <w:rPr>
          <w:lang w:val="en-AU"/>
        </w:rPr>
      </w:pPr>
      <w:r w:rsidRPr="00D30BFF">
        <w:rPr>
          <w:lang w:val="en-AU"/>
        </w:rPr>
        <w:t>DEECA portfolios continue to play a vital role in safeguarding and strengthening Victoria’s economy. Through our emergency management, bushfire resilience, and biosecurity initiatives, we protect communities and critical industries.</w:t>
      </w:r>
    </w:p>
    <w:p w14:paraId="5442163C" w14:textId="77777777" w:rsidR="000C3DAF" w:rsidRDefault="00C13CB9" w:rsidP="00C13CB9">
      <w:pPr>
        <w:pStyle w:val="BodyText"/>
        <w:rPr>
          <w:lang w:val="en-AU"/>
        </w:rPr>
      </w:pPr>
      <w:r w:rsidRPr="00D30BFF">
        <w:rPr>
          <w:lang w:val="en-AU"/>
        </w:rPr>
        <w:t>We support workers and sectors through economic transitions in energy and forestry, and we foster growth in emerging and strategic industries including in the agriculture, critical minerals, and circular economy sectors.</w:t>
      </w:r>
    </w:p>
    <w:p w14:paraId="0E198921" w14:textId="77777777" w:rsidR="000C3DAF" w:rsidRDefault="00C13CB9" w:rsidP="0041109B">
      <w:pPr>
        <w:pStyle w:val="Normalbeforebullets"/>
      </w:pPr>
      <w:r w:rsidRPr="00D30BFF">
        <w:t>The 2025-29 Corporate Plan is an important strategic document that demonstrates how our work is crucial to the state’s economic success through, for example:</w:t>
      </w:r>
    </w:p>
    <w:p w14:paraId="32AFE379" w14:textId="77777777" w:rsidR="000C3DAF" w:rsidRDefault="00C13CB9" w:rsidP="0041109B">
      <w:pPr>
        <w:pStyle w:val="ListBullet"/>
        <w:rPr>
          <w:lang w:val="en-AU"/>
        </w:rPr>
      </w:pPr>
      <w:r w:rsidRPr="00D30BFF">
        <w:rPr>
          <w:lang w:val="en-AU"/>
        </w:rPr>
        <w:t>Supporting Victoria’s agriculture, food and fibre sectors, that underpin almost 400,000 jobs directly or indirectly, and have made Victoria the nation’s leading food and fibre exporter with 27% of Australia’s total - valued at $20.1 billion - in 2023-24</w:t>
      </w:r>
    </w:p>
    <w:p w14:paraId="0F5C7072" w14:textId="77777777" w:rsidR="000C3DAF" w:rsidRDefault="00C13CB9" w:rsidP="0041109B">
      <w:pPr>
        <w:pStyle w:val="ListBullet"/>
        <w:rPr>
          <w:lang w:val="en-AU"/>
        </w:rPr>
      </w:pPr>
      <w:r w:rsidRPr="00D30BFF">
        <w:rPr>
          <w:lang w:val="en-AU"/>
        </w:rPr>
        <w:t>enabling $35 billion in investment by 2035 in renewable energy and addressing cost of living through the lowest wholesale prices in the National Electricity Market</w:t>
      </w:r>
    </w:p>
    <w:p w14:paraId="3DACE33E" w14:textId="77777777" w:rsidR="000C3DAF" w:rsidRDefault="00C13CB9" w:rsidP="0041109B">
      <w:pPr>
        <w:pStyle w:val="ListBullet"/>
        <w:rPr>
          <w:lang w:val="en-AU"/>
        </w:rPr>
      </w:pPr>
      <w:r w:rsidRPr="00D30BFF">
        <w:rPr>
          <w:lang w:val="en-AU"/>
        </w:rPr>
        <w:t>a water sector investing $825 million in infrastructure-related activities, supporting $5.24 billion in irrigated agriculture and 25,000 water trades each year that supports a rapid increase in residential water housing connections with $905 million invested in 2024</w:t>
      </w:r>
    </w:p>
    <w:p w14:paraId="2A2C00F1" w14:textId="77777777" w:rsidR="000C3DAF" w:rsidRDefault="00C13CB9" w:rsidP="0041109B">
      <w:pPr>
        <w:pStyle w:val="ListBullet"/>
        <w:rPr>
          <w:lang w:val="en-AU"/>
        </w:rPr>
      </w:pPr>
      <w:r w:rsidRPr="00D30BFF">
        <w:rPr>
          <w:lang w:val="en-AU"/>
        </w:rPr>
        <w:t>a well-managed resources sector worth $4.6 billion to the Victorian economy in 2024</w:t>
      </w:r>
    </w:p>
    <w:p w14:paraId="78CCE807" w14:textId="2C96A45B" w:rsidR="00C13CB9" w:rsidRPr="00D30BFF" w:rsidRDefault="00C13CB9" w:rsidP="0041109B">
      <w:pPr>
        <w:pStyle w:val="ListBullet"/>
        <w:rPr>
          <w:lang w:val="en-AU"/>
        </w:rPr>
      </w:pPr>
      <w:r w:rsidRPr="00D30BFF">
        <w:rPr>
          <w:lang w:val="en-AU"/>
        </w:rPr>
        <w:lastRenderedPageBreak/>
        <w:t>supporting an economic contribution of $2.6 billion in 16 million visits to state forests every year</w:t>
      </w:r>
    </w:p>
    <w:p w14:paraId="5B66D1B5" w14:textId="368B7552" w:rsidR="00FD089D" w:rsidRPr="00D30BFF" w:rsidRDefault="00C13CB9" w:rsidP="0041109B">
      <w:pPr>
        <w:pStyle w:val="ListBullet"/>
        <w:spacing w:after="480"/>
        <w:rPr>
          <w:lang w:val="en-AU"/>
        </w:rPr>
      </w:pPr>
      <w:r w:rsidRPr="00D30BFF">
        <w:rPr>
          <w:lang w:val="en-AU"/>
        </w:rPr>
        <w:t>unlocking a $6.4 billion increase to Gross State Product, by improving economy-wide material efficiency by just 5%, through the transition to a circular economy by improving economy-wide material efficiency by just 5%</w:t>
      </w:r>
    </w:p>
    <w:p w14:paraId="43529AE9" w14:textId="001D8F65" w:rsidR="0041109B" w:rsidRPr="00C25D6B" w:rsidRDefault="0041109B" w:rsidP="0041109B">
      <w:pPr>
        <w:pStyle w:val="BodyText"/>
        <w:rPr>
          <w:bCs/>
          <w:i/>
          <w:iCs/>
          <w:lang w:val="en-AU"/>
        </w:rPr>
      </w:pPr>
      <w:r w:rsidRPr="00C25D6B">
        <w:rPr>
          <w:bCs/>
          <w:i/>
          <w:iCs/>
          <w:lang w:val="en-AU"/>
        </w:rPr>
        <w:t>‘We foster growth in emerging and strategic industries including agriculture, critical minerals, and circular economy enterprises.’</w:t>
      </w:r>
    </w:p>
    <w:p w14:paraId="3FAE0A0A" w14:textId="79ECDAA4" w:rsidR="0041109B" w:rsidRPr="00D30BFF" w:rsidRDefault="0041109B" w:rsidP="0041109B">
      <w:pPr>
        <w:pStyle w:val="Heading1"/>
        <w:pageBreakBefore/>
        <w:rPr>
          <w:lang w:val="en-AU"/>
        </w:rPr>
      </w:pPr>
      <w:bookmarkStart w:id="7" w:name="_Toc207621358"/>
      <w:r w:rsidRPr="00D30BFF">
        <w:rPr>
          <w:lang w:val="en-AU"/>
        </w:rPr>
        <w:lastRenderedPageBreak/>
        <w:t>Aboriginal Self</w:t>
      </w:r>
      <w:r w:rsidRPr="00D30BFF">
        <w:rPr>
          <w:rFonts w:ascii="Cambria Math" w:hAnsi="Cambria Math" w:cs="Cambria Math"/>
          <w:lang w:val="en-AU"/>
        </w:rPr>
        <w:t>‑</w:t>
      </w:r>
      <w:r w:rsidRPr="00D30BFF">
        <w:rPr>
          <w:lang w:val="en-AU"/>
        </w:rPr>
        <w:t>Determination</w:t>
      </w:r>
      <w:bookmarkEnd w:id="7"/>
    </w:p>
    <w:p w14:paraId="53EB84BF" w14:textId="77777777" w:rsidR="000C3DAF" w:rsidRDefault="0041109B" w:rsidP="0041681E">
      <w:pPr>
        <w:pStyle w:val="BodyText"/>
        <w:spacing w:after="0"/>
        <w:rPr>
          <w:b/>
          <w:lang w:val="en-AU"/>
        </w:rPr>
      </w:pPr>
      <w:r w:rsidRPr="00D30BFF">
        <w:rPr>
          <w:b/>
          <w:lang w:val="en-AU"/>
        </w:rPr>
        <w:t>DEECA partners with Victoria’s Traditional Owners and Aboriginal Communities to support Aboriginal self-determination and self-governance in protecting Country, maintaining spiritual and cultural practices, and achieving their goals and expectations for the future. DEECA works closely with First Peoples to identify opportunities for removing barriers to self-determination and transferring decision-making power from government to First Peoples on the matters that affect them.</w:t>
      </w:r>
    </w:p>
    <w:p w14:paraId="7CCF8B0D" w14:textId="752CD4C5" w:rsidR="0041109B" w:rsidRPr="00D30BFF" w:rsidRDefault="0041109B" w:rsidP="0041681E">
      <w:pPr>
        <w:pStyle w:val="Heading2"/>
        <w:rPr>
          <w:lang w:val="en-AU"/>
        </w:rPr>
      </w:pPr>
      <w:r w:rsidRPr="00D30BFF">
        <w:rPr>
          <w:lang w:val="en-AU"/>
        </w:rPr>
        <w:t>DEECA's commitment to self</w:t>
      </w:r>
      <w:r w:rsidRPr="00D30BFF">
        <w:rPr>
          <w:rFonts w:ascii="Cambria Math" w:hAnsi="Cambria Math" w:cs="Cambria Math"/>
          <w:lang w:val="en-AU"/>
        </w:rPr>
        <w:t>‑</w:t>
      </w:r>
      <w:r w:rsidRPr="00D30BFF">
        <w:rPr>
          <w:lang w:val="en-AU"/>
        </w:rPr>
        <w:t>determination – Pupangarli Marnmarnepu</w:t>
      </w:r>
    </w:p>
    <w:p w14:paraId="650772E0" w14:textId="77777777" w:rsidR="000C3DAF" w:rsidRDefault="0041109B" w:rsidP="0041109B">
      <w:pPr>
        <w:pStyle w:val="BodyText"/>
        <w:rPr>
          <w:bCs/>
          <w:lang w:val="en-AU"/>
        </w:rPr>
      </w:pPr>
      <w:r w:rsidRPr="00D30BFF">
        <w:rPr>
          <w:bCs/>
          <w:lang w:val="en-AU"/>
        </w:rPr>
        <w:t>DEECA has formalised its commitment to support self-determination and embed self-determination in its work through Pupangarli Marnmarnepu (‘Owning our Future’), our Aboriginal Self-Determination Reform Strategy 2020–2025 (extended to June 2026).</w:t>
      </w:r>
    </w:p>
    <w:p w14:paraId="3F15ADCF" w14:textId="77777777" w:rsidR="000C3DAF" w:rsidRDefault="0041109B" w:rsidP="0041681E">
      <w:pPr>
        <w:pStyle w:val="Normalbeforebullets"/>
      </w:pPr>
      <w:r w:rsidRPr="00D30BFF">
        <w:t>Now in its sixth year of implementation, the delivery of projects aligned to Pupangarli Marnmarnepu has laid the foundations for DEECA to uphold its commitments to:</w:t>
      </w:r>
    </w:p>
    <w:p w14:paraId="16AE4223" w14:textId="77777777" w:rsidR="000C3DAF" w:rsidRDefault="0041109B" w:rsidP="0041681E">
      <w:pPr>
        <w:pStyle w:val="ListBullet"/>
        <w:rPr>
          <w:lang w:val="en-AU"/>
        </w:rPr>
      </w:pPr>
      <w:r w:rsidRPr="00D30BFF">
        <w:rPr>
          <w:lang w:val="en-AU"/>
        </w:rPr>
        <w:t>make improvements to systems and processes to enable self-determination, including the transfer of power and resources to Traditional Owners</w:t>
      </w:r>
    </w:p>
    <w:p w14:paraId="51977CDD" w14:textId="77777777" w:rsidR="000C3DAF" w:rsidRDefault="0041109B" w:rsidP="0041681E">
      <w:pPr>
        <w:pStyle w:val="ListBullet"/>
        <w:rPr>
          <w:lang w:val="en-AU"/>
        </w:rPr>
      </w:pPr>
      <w:r w:rsidRPr="00D30BFF">
        <w:rPr>
          <w:lang w:val="en-AU"/>
        </w:rPr>
        <w:t>facilitate the work of DEECA in the advancement of the Treaty and responding to the work of the Yoorrook Justice Commission</w:t>
      </w:r>
    </w:p>
    <w:p w14:paraId="398C803A" w14:textId="77777777" w:rsidR="000C3DAF" w:rsidRDefault="0041109B" w:rsidP="0041681E">
      <w:pPr>
        <w:pStyle w:val="ListBullet"/>
        <w:rPr>
          <w:lang w:val="en-AU"/>
        </w:rPr>
      </w:pPr>
      <w:r w:rsidRPr="00D30BFF">
        <w:rPr>
          <w:lang w:val="en-AU"/>
        </w:rPr>
        <w:t>recruit, support, develop and retain Aboriginal staff through the development and implementation of a First Peoples employment strategy</w:t>
      </w:r>
    </w:p>
    <w:p w14:paraId="0D35AAFE" w14:textId="77777777" w:rsidR="000C3DAF" w:rsidRDefault="0041109B" w:rsidP="0041681E">
      <w:pPr>
        <w:pStyle w:val="ListBullet"/>
        <w:rPr>
          <w:lang w:val="en-AU"/>
        </w:rPr>
      </w:pPr>
      <w:r w:rsidRPr="00D30BFF">
        <w:rPr>
          <w:lang w:val="en-AU"/>
        </w:rPr>
        <w:t>enhance Aboriginal cultural capability with the department through the implementation of the Aboriginal Cultural Capability Framework</w:t>
      </w:r>
    </w:p>
    <w:p w14:paraId="5C27C647" w14:textId="77777777" w:rsidR="000C3DAF" w:rsidRDefault="0041109B" w:rsidP="0041681E">
      <w:pPr>
        <w:pStyle w:val="ListBullet"/>
        <w:rPr>
          <w:lang w:val="en-AU"/>
        </w:rPr>
      </w:pPr>
      <w:r w:rsidRPr="00D30BFF">
        <w:rPr>
          <w:lang w:val="en-AU"/>
        </w:rPr>
        <w:t>enable Traditional Owner economic independence and prosperity through procurement initiatives.</w:t>
      </w:r>
    </w:p>
    <w:p w14:paraId="480E0C87" w14:textId="5EED9987" w:rsidR="0041109B" w:rsidRPr="00D30BFF" w:rsidRDefault="0041681E" w:rsidP="0041681E">
      <w:pPr>
        <w:pStyle w:val="Heading1"/>
        <w:rPr>
          <w:lang w:val="en-AU"/>
        </w:rPr>
      </w:pPr>
      <w:bookmarkStart w:id="8" w:name="_Toc207621359"/>
      <w:r w:rsidRPr="00D30BFF">
        <w:rPr>
          <w:lang w:val="en-AU"/>
        </w:rPr>
        <w:lastRenderedPageBreak/>
        <w:t>DEECA Community Charter</w:t>
      </w:r>
      <w:bookmarkEnd w:id="8"/>
    </w:p>
    <w:p w14:paraId="47B3EAD3" w14:textId="77777777" w:rsidR="000C3DAF" w:rsidRDefault="0041681E" w:rsidP="0041681E">
      <w:pPr>
        <w:pStyle w:val="BodyText"/>
        <w:rPr>
          <w:bCs/>
          <w:lang w:val="en-AU"/>
        </w:rPr>
      </w:pPr>
      <w:r w:rsidRPr="00D30BFF">
        <w:rPr>
          <w:bCs/>
          <w:lang w:val="en-AU"/>
        </w:rPr>
        <w:t>Our community charter describes what you can expect from us. We recognise that communities are made up of diverse sectors, organisations, rights holders, interest groups, influencers, families and individuals.</w:t>
      </w:r>
    </w:p>
    <w:p w14:paraId="59A0A613" w14:textId="69D5BCAB" w:rsidR="0041681E" w:rsidRPr="00D30BFF" w:rsidRDefault="0041681E" w:rsidP="0041681E">
      <w:pPr>
        <w:pStyle w:val="BodyText"/>
        <w:rPr>
          <w:bCs/>
          <w:lang w:val="en-AU"/>
        </w:rPr>
      </w:pPr>
      <w:r w:rsidRPr="00D30BFF">
        <w:rPr>
          <w:bCs/>
          <w:lang w:val="en-AU"/>
        </w:rPr>
        <w:t>We will work collaboratively with you to deliver services and create opportunities that support thriving, productive, and sustainable communities, environments and industries.</w:t>
      </w:r>
    </w:p>
    <w:p w14:paraId="015AD585" w14:textId="76E938DA" w:rsidR="0041681E" w:rsidRPr="00D30BFF" w:rsidRDefault="0041681E" w:rsidP="00E40FB7">
      <w:pPr>
        <w:pStyle w:val="Heading2"/>
        <w:rPr>
          <w:lang w:val="en-AU"/>
        </w:rPr>
      </w:pPr>
      <w:r w:rsidRPr="00D30BFF">
        <w:rPr>
          <w:lang w:val="en-AU"/>
        </w:rPr>
        <w:t xml:space="preserve">In all aspects of our </w:t>
      </w:r>
      <w:r w:rsidR="00E40FB7" w:rsidRPr="00D30BFF">
        <w:rPr>
          <w:lang w:val="en-AU"/>
        </w:rPr>
        <w:t>work,</w:t>
      </w:r>
      <w:r w:rsidRPr="00D30BFF">
        <w:rPr>
          <w:lang w:val="en-AU"/>
        </w:rPr>
        <w:t xml:space="preserve"> we will:</w:t>
      </w:r>
    </w:p>
    <w:p w14:paraId="51032D6A" w14:textId="33E88AAE" w:rsidR="0041681E" w:rsidRPr="00D30BFF" w:rsidRDefault="0041681E" w:rsidP="00E40FB7">
      <w:pPr>
        <w:pStyle w:val="Heading3"/>
        <w:rPr>
          <w:lang w:val="en-AU"/>
        </w:rPr>
      </w:pPr>
      <w:r w:rsidRPr="00D30BFF">
        <w:rPr>
          <w:lang w:val="en-AU"/>
        </w:rPr>
        <w:t>Be Available</w:t>
      </w:r>
    </w:p>
    <w:p w14:paraId="331CBBA0" w14:textId="77777777" w:rsidR="0041681E" w:rsidRPr="00D30BFF" w:rsidRDefault="0041681E" w:rsidP="00E40FB7">
      <w:pPr>
        <w:pStyle w:val="ListBullet"/>
        <w:spacing w:after="0" w:line="360" w:lineRule="auto"/>
        <w:rPr>
          <w:b/>
          <w:bCs/>
          <w:lang w:val="en-AU"/>
        </w:rPr>
      </w:pPr>
      <w:r w:rsidRPr="00D30BFF">
        <w:rPr>
          <w:b/>
          <w:bCs/>
          <w:lang w:val="en-AU"/>
        </w:rPr>
        <w:t>Issues and place</w:t>
      </w:r>
      <w:r w:rsidRPr="00D30BFF">
        <w:rPr>
          <w:rFonts w:ascii="Cambria Math" w:hAnsi="Cambria Math" w:cs="Cambria Math"/>
          <w:b/>
          <w:bCs/>
          <w:lang w:val="en-AU"/>
        </w:rPr>
        <w:t>‑</w:t>
      </w:r>
      <w:r w:rsidRPr="00D30BFF">
        <w:rPr>
          <w:b/>
          <w:bCs/>
          <w:lang w:val="en-AU"/>
        </w:rPr>
        <w:t>based focus</w:t>
      </w:r>
    </w:p>
    <w:p w14:paraId="7056C6A2" w14:textId="77777777" w:rsidR="0041681E" w:rsidRPr="00D30BFF" w:rsidRDefault="0041681E" w:rsidP="00E40FB7">
      <w:pPr>
        <w:pStyle w:val="ListBullet"/>
        <w:numPr>
          <w:ilvl w:val="0"/>
          <w:numId w:val="0"/>
        </w:numPr>
        <w:ind w:left="360" w:right="-427"/>
        <w:rPr>
          <w:bCs/>
          <w:lang w:val="en-AU"/>
        </w:rPr>
      </w:pPr>
      <w:r w:rsidRPr="00D30BFF">
        <w:rPr>
          <w:bCs/>
          <w:lang w:val="en-AU"/>
        </w:rPr>
        <w:t>Connect with you where you live, work and play on issues that matter to your communities</w:t>
      </w:r>
    </w:p>
    <w:p w14:paraId="4C0F2911" w14:textId="77777777" w:rsidR="0041681E" w:rsidRPr="00D30BFF" w:rsidRDefault="0041681E" w:rsidP="00E40FB7">
      <w:pPr>
        <w:pStyle w:val="ListBullet"/>
        <w:spacing w:after="0" w:line="360" w:lineRule="auto"/>
        <w:rPr>
          <w:b/>
          <w:bCs/>
          <w:lang w:val="en-AU"/>
        </w:rPr>
      </w:pPr>
      <w:r w:rsidRPr="00D30BFF">
        <w:rPr>
          <w:b/>
          <w:bCs/>
          <w:lang w:val="en-AU"/>
        </w:rPr>
        <w:t>Accessibility</w:t>
      </w:r>
    </w:p>
    <w:p w14:paraId="7CA74085" w14:textId="77777777" w:rsidR="0041681E" w:rsidRPr="00D30BFF" w:rsidRDefault="0041681E" w:rsidP="00E40FB7">
      <w:pPr>
        <w:pStyle w:val="ListBullet"/>
        <w:numPr>
          <w:ilvl w:val="0"/>
          <w:numId w:val="0"/>
        </w:numPr>
        <w:ind w:left="360"/>
        <w:rPr>
          <w:bCs/>
          <w:lang w:val="en-AU"/>
        </w:rPr>
      </w:pPr>
      <w:r w:rsidRPr="00D30BFF">
        <w:rPr>
          <w:bCs/>
          <w:lang w:val="en-AU"/>
        </w:rPr>
        <w:t xml:space="preserve">Make sure we are easy to </w:t>
      </w:r>
      <w:proofErr w:type="gramStart"/>
      <w:r w:rsidRPr="00D30BFF">
        <w:rPr>
          <w:bCs/>
          <w:lang w:val="en-AU"/>
        </w:rPr>
        <w:t>contact</w:t>
      </w:r>
      <w:proofErr w:type="gramEnd"/>
      <w:r w:rsidRPr="00D30BFF">
        <w:rPr>
          <w:bCs/>
          <w:lang w:val="en-AU"/>
        </w:rPr>
        <w:t xml:space="preserve"> and our information is straightforward and available in a variety of ways</w:t>
      </w:r>
    </w:p>
    <w:p w14:paraId="37633C3B" w14:textId="77777777" w:rsidR="0041681E" w:rsidRPr="00D30BFF" w:rsidRDefault="0041681E" w:rsidP="00E40FB7">
      <w:pPr>
        <w:pStyle w:val="ListBullet"/>
        <w:spacing w:after="0" w:line="360" w:lineRule="auto"/>
        <w:rPr>
          <w:b/>
          <w:bCs/>
          <w:lang w:val="en-AU"/>
        </w:rPr>
      </w:pPr>
      <w:r w:rsidRPr="00D30BFF">
        <w:rPr>
          <w:b/>
          <w:bCs/>
          <w:lang w:val="en-AU"/>
        </w:rPr>
        <w:t>Flexibility</w:t>
      </w:r>
    </w:p>
    <w:p w14:paraId="2FB2905C" w14:textId="750A7E52" w:rsidR="0041681E" w:rsidRPr="00D30BFF" w:rsidRDefault="0041681E" w:rsidP="00E40FB7">
      <w:pPr>
        <w:pStyle w:val="ListBullet"/>
        <w:numPr>
          <w:ilvl w:val="0"/>
          <w:numId w:val="0"/>
        </w:numPr>
        <w:spacing w:after="360"/>
        <w:ind w:left="360"/>
        <w:rPr>
          <w:bCs/>
          <w:lang w:val="en-AU"/>
        </w:rPr>
      </w:pPr>
      <w:r w:rsidRPr="00D30BFF">
        <w:rPr>
          <w:bCs/>
          <w:lang w:val="en-AU"/>
        </w:rPr>
        <w:t>Recognise and respect the way you want to work with us and adapt our approach according to needs of individuals, organisations and industries</w:t>
      </w:r>
    </w:p>
    <w:p w14:paraId="326A6709" w14:textId="3645438B" w:rsidR="0041681E" w:rsidRPr="00D30BFF" w:rsidRDefault="0041681E" w:rsidP="00E40FB7">
      <w:pPr>
        <w:pStyle w:val="Heading3"/>
        <w:rPr>
          <w:lang w:val="en-AU"/>
        </w:rPr>
      </w:pPr>
      <w:r w:rsidRPr="00D30BFF">
        <w:rPr>
          <w:lang w:val="en-AU"/>
        </w:rPr>
        <w:t>Involve and listen</w:t>
      </w:r>
    </w:p>
    <w:p w14:paraId="68B831DB" w14:textId="77777777" w:rsidR="0041681E" w:rsidRPr="00D30BFF" w:rsidRDefault="0041681E" w:rsidP="00E40FB7">
      <w:pPr>
        <w:pStyle w:val="ListBullet"/>
        <w:spacing w:after="0" w:line="360" w:lineRule="auto"/>
        <w:rPr>
          <w:b/>
          <w:bCs/>
          <w:lang w:val="en-AU"/>
        </w:rPr>
      </w:pPr>
      <w:r w:rsidRPr="00D30BFF">
        <w:rPr>
          <w:b/>
          <w:bCs/>
          <w:lang w:val="en-AU"/>
        </w:rPr>
        <w:t>Active listening and understanding</w:t>
      </w:r>
    </w:p>
    <w:p w14:paraId="7D5D905F" w14:textId="77777777" w:rsidR="0041681E" w:rsidRPr="00D30BFF" w:rsidRDefault="0041681E" w:rsidP="00E40FB7">
      <w:pPr>
        <w:pStyle w:val="ListBullet"/>
        <w:numPr>
          <w:ilvl w:val="0"/>
          <w:numId w:val="0"/>
        </w:numPr>
        <w:ind w:left="360"/>
        <w:rPr>
          <w:bCs/>
          <w:lang w:val="en-AU"/>
        </w:rPr>
      </w:pPr>
      <w:r w:rsidRPr="00D30BFF">
        <w:rPr>
          <w:bCs/>
          <w:lang w:val="en-AU"/>
        </w:rPr>
        <w:t>Listen to and understand your views and needs, actively seek and respect different opinions</w:t>
      </w:r>
    </w:p>
    <w:p w14:paraId="09788959" w14:textId="77777777" w:rsidR="0041681E" w:rsidRPr="00D30BFF" w:rsidRDefault="0041681E" w:rsidP="00E40FB7">
      <w:pPr>
        <w:pStyle w:val="ListBullet"/>
        <w:spacing w:after="0" w:line="360" w:lineRule="auto"/>
        <w:rPr>
          <w:b/>
          <w:bCs/>
          <w:lang w:val="en-AU"/>
        </w:rPr>
      </w:pPr>
      <w:r w:rsidRPr="00D30BFF">
        <w:rPr>
          <w:b/>
          <w:bCs/>
          <w:lang w:val="en-AU"/>
        </w:rPr>
        <w:t>Honesty and transparency</w:t>
      </w:r>
    </w:p>
    <w:p w14:paraId="7039BFF8" w14:textId="77777777" w:rsidR="0041681E" w:rsidRPr="00D30BFF" w:rsidRDefault="0041681E" w:rsidP="00E40FB7">
      <w:pPr>
        <w:pStyle w:val="ListBullet"/>
        <w:numPr>
          <w:ilvl w:val="0"/>
          <w:numId w:val="0"/>
        </w:numPr>
        <w:ind w:left="360"/>
        <w:rPr>
          <w:bCs/>
          <w:lang w:val="en-AU"/>
        </w:rPr>
      </w:pPr>
      <w:r w:rsidRPr="00D30BFF">
        <w:rPr>
          <w:bCs/>
          <w:lang w:val="en-AU"/>
        </w:rPr>
        <w:t>Be honest about what’s driving our priorities, what we can and can’t promise to do, our timelines and why decisions have been made</w:t>
      </w:r>
    </w:p>
    <w:p w14:paraId="7286867A" w14:textId="77777777" w:rsidR="0041681E" w:rsidRPr="00D30BFF" w:rsidRDefault="0041681E" w:rsidP="00E40FB7">
      <w:pPr>
        <w:pStyle w:val="ListBullet"/>
        <w:spacing w:after="0" w:line="360" w:lineRule="auto"/>
        <w:rPr>
          <w:b/>
          <w:bCs/>
          <w:lang w:val="en-AU"/>
        </w:rPr>
      </w:pPr>
      <w:r w:rsidRPr="00D30BFF">
        <w:rPr>
          <w:b/>
          <w:bCs/>
          <w:lang w:val="en-AU"/>
        </w:rPr>
        <w:lastRenderedPageBreak/>
        <w:t>Clarity and purposefulness</w:t>
      </w:r>
    </w:p>
    <w:p w14:paraId="2FC67FA7" w14:textId="2DE1DA0D" w:rsidR="0041681E" w:rsidRPr="00D30BFF" w:rsidRDefault="0041681E" w:rsidP="00E40FB7">
      <w:pPr>
        <w:pStyle w:val="ListBullet"/>
        <w:numPr>
          <w:ilvl w:val="0"/>
          <w:numId w:val="0"/>
        </w:numPr>
        <w:spacing w:after="240"/>
        <w:ind w:left="360"/>
        <w:rPr>
          <w:bCs/>
          <w:lang w:val="en-AU"/>
        </w:rPr>
      </w:pPr>
      <w:r w:rsidRPr="00D30BFF">
        <w:rPr>
          <w:bCs/>
          <w:lang w:val="en-AU"/>
        </w:rPr>
        <w:t>Be clear about why and how we are engaging, making sure we give you real opportunities to participate, shape decisions and make a difference</w:t>
      </w:r>
    </w:p>
    <w:p w14:paraId="0AB7BB82" w14:textId="7CD2AD2D" w:rsidR="0041681E" w:rsidRPr="00D30BFF" w:rsidRDefault="0041681E" w:rsidP="00E40FB7">
      <w:pPr>
        <w:pStyle w:val="Heading3"/>
        <w:rPr>
          <w:lang w:val="en-AU"/>
        </w:rPr>
      </w:pPr>
      <w:proofErr w:type="gramStart"/>
      <w:r w:rsidRPr="00D30BFF">
        <w:rPr>
          <w:lang w:val="en-AU"/>
        </w:rPr>
        <w:t>Take action</w:t>
      </w:r>
      <w:proofErr w:type="gramEnd"/>
    </w:p>
    <w:p w14:paraId="45E31BBD" w14:textId="77777777" w:rsidR="0041681E" w:rsidRPr="00D30BFF" w:rsidRDefault="0041681E" w:rsidP="00E40FB7">
      <w:pPr>
        <w:pStyle w:val="ListBullet"/>
        <w:spacing w:after="0" w:line="360" w:lineRule="auto"/>
        <w:rPr>
          <w:b/>
          <w:bCs/>
          <w:lang w:val="en-AU"/>
        </w:rPr>
      </w:pPr>
      <w:r w:rsidRPr="00D30BFF">
        <w:rPr>
          <w:b/>
          <w:bCs/>
          <w:lang w:val="en-AU"/>
        </w:rPr>
        <w:t>Timely and proactive</w:t>
      </w:r>
    </w:p>
    <w:p w14:paraId="34ABF68E" w14:textId="77777777" w:rsidR="0041681E" w:rsidRPr="00D30BFF" w:rsidRDefault="0041681E" w:rsidP="00E40FB7">
      <w:pPr>
        <w:pStyle w:val="ListBullet"/>
        <w:numPr>
          <w:ilvl w:val="0"/>
          <w:numId w:val="0"/>
        </w:numPr>
        <w:ind w:left="360"/>
        <w:rPr>
          <w:bCs/>
          <w:lang w:val="en-AU"/>
        </w:rPr>
      </w:pPr>
      <w:r w:rsidRPr="00D30BFF">
        <w:rPr>
          <w:bCs/>
          <w:lang w:val="en-AU"/>
        </w:rPr>
        <w:t>Engage with communities as early as we can. Identify opportunities and be responsive to issues and feedback</w:t>
      </w:r>
    </w:p>
    <w:p w14:paraId="441E77B5" w14:textId="77777777" w:rsidR="0041681E" w:rsidRPr="00D30BFF" w:rsidRDefault="0041681E" w:rsidP="00E40FB7">
      <w:pPr>
        <w:pStyle w:val="ListBullet"/>
        <w:spacing w:after="0" w:line="360" w:lineRule="auto"/>
        <w:rPr>
          <w:b/>
          <w:bCs/>
          <w:lang w:val="en-AU"/>
        </w:rPr>
      </w:pPr>
      <w:r w:rsidRPr="00D30BFF">
        <w:rPr>
          <w:b/>
          <w:bCs/>
          <w:lang w:val="en-AU"/>
        </w:rPr>
        <w:t>Consistency</w:t>
      </w:r>
    </w:p>
    <w:p w14:paraId="5FE33797" w14:textId="77777777" w:rsidR="0041681E" w:rsidRPr="00D30BFF" w:rsidRDefault="0041681E" w:rsidP="00E40FB7">
      <w:pPr>
        <w:pStyle w:val="ListBullet"/>
        <w:numPr>
          <w:ilvl w:val="0"/>
          <w:numId w:val="0"/>
        </w:numPr>
        <w:ind w:left="360"/>
        <w:rPr>
          <w:bCs/>
          <w:lang w:val="en-AU"/>
        </w:rPr>
      </w:pPr>
      <w:r w:rsidRPr="00D30BFF">
        <w:rPr>
          <w:bCs/>
          <w:lang w:val="en-AU"/>
        </w:rPr>
        <w:t>Ensure we are consistent in the way we approach decisions</w:t>
      </w:r>
    </w:p>
    <w:p w14:paraId="2AD877B8" w14:textId="77777777" w:rsidR="0041681E" w:rsidRPr="00D30BFF" w:rsidRDefault="0041681E" w:rsidP="00E40FB7">
      <w:pPr>
        <w:pStyle w:val="ListBullet"/>
        <w:spacing w:after="0" w:line="360" w:lineRule="auto"/>
        <w:rPr>
          <w:b/>
          <w:bCs/>
          <w:lang w:val="en-AU"/>
        </w:rPr>
      </w:pPr>
      <w:r w:rsidRPr="00D30BFF">
        <w:rPr>
          <w:b/>
          <w:bCs/>
          <w:lang w:val="en-AU"/>
        </w:rPr>
        <w:t>Closing the loop</w:t>
      </w:r>
    </w:p>
    <w:p w14:paraId="7F8D77FB" w14:textId="4D759BD8" w:rsidR="0041681E" w:rsidRPr="00D30BFF" w:rsidRDefault="0041681E" w:rsidP="00E40FB7">
      <w:pPr>
        <w:pStyle w:val="ListBullet"/>
        <w:numPr>
          <w:ilvl w:val="0"/>
          <w:numId w:val="0"/>
        </w:numPr>
        <w:ind w:left="360"/>
        <w:rPr>
          <w:bCs/>
          <w:lang w:val="en-AU"/>
        </w:rPr>
      </w:pPr>
      <w:r w:rsidRPr="00D30BFF">
        <w:rPr>
          <w:bCs/>
          <w:lang w:val="en-AU"/>
        </w:rPr>
        <w:t>Share outcomes with communities and report back on what we heard, and how we adapted</w:t>
      </w:r>
    </w:p>
    <w:p w14:paraId="2495AF08" w14:textId="6B50D192" w:rsidR="00E40FB7" w:rsidRPr="00D30BFF" w:rsidRDefault="00E95F51" w:rsidP="00E95F51">
      <w:pPr>
        <w:pStyle w:val="Heading1"/>
        <w:pageBreakBefore/>
        <w:rPr>
          <w:lang w:val="en-AU"/>
        </w:rPr>
      </w:pPr>
      <w:bookmarkStart w:id="9" w:name="_Toc207621360"/>
      <w:r w:rsidRPr="00D30BFF">
        <w:rPr>
          <w:lang w:val="en-AU"/>
        </w:rPr>
        <w:lastRenderedPageBreak/>
        <w:t>Cross-cutting themes</w:t>
      </w:r>
      <w:bookmarkEnd w:id="9"/>
    </w:p>
    <w:p w14:paraId="1B2ADA23" w14:textId="77777777" w:rsidR="00E95F51" w:rsidRPr="00D30BFF" w:rsidRDefault="00E95F51" w:rsidP="00E95F51">
      <w:pPr>
        <w:pStyle w:val="Normalbeforebullets"/>
      </w:pPr>
      <w:r w:rsidRPr="00D30BFF">
        <w:t>Together, our projects and services provide a One-DEECA contribution to key government priorities:</w:t>
      </w:r>
    </w:p>
    <w:p w14:paraId="55FF3B31" w14:textId="77777777" w:rsidR="00E95F51" w:rsidRPr="00D30BFF" w:rsidRDefault="00E95F51" w:rsidP="00E95F51">
      <w:pPr>
        <w:pStyle w:val="ListBullet"/>
        <w:rPr>
          <w:lang w:val="en-AU"/>
        </w:rPr>
      </w:pPr>
      <w:r w:rsidRPr="00D30BFF">
        <w:rPr>
          <w:lang w:val="en-AU"/>
        </w:rPr>
        <w:t>Aboriginal Self-Determination and First Peoples</w:t>
      </w:r>
    </w:p>
    <w:p w14:paraId="3B8EB5C5" w14:textId="77777777" w:rsidR="00E95F51" w:rsidRPr="00D30BFF" w:rsidRDefault="00E95F51" w:rsidP="00E95F51">
      <w:pPr>
        <w:pStyle w:val="ListBullet"/>
        <w:rPr>
          <w:lang w:val="en-AU"/>
        </w:rPr>
      </w:pPr>
      <w:r w:rsidRPr="00D30BFF">
        <w:rPr>
          <w:lang w:val="en-AU"/>
        </w:rPr>
        <w:t>Economic transition and growth</w:t>
      </w:r>
    </w:p>
    <w:p w14:paraId="6CE020C7" w14:textId="77777777" w:rsidR="00E95F51" w:rsidRPr="00D30BFF" w:rsidRDefault="00E95F51" w:rsidP="00E95F51">
      <w:pPr>
        <w:pStyle w:val="ListBullet"/>
        <w:rPr>
          <w:lang w:val="en-AU"/>
        </w:rPr>
      </w:pPr>
      <w:r w:rsidRPr="00D30BFF">
        <w:rPr>
          <w:lang w:val="en-AU"/>
        </w:rPr>
        <w:t>Emergency management</w:t>
      </w:r>
    </w:p>
    <w:p w14:paraId="6D5666CE" w14:textId="77777777" w:rsidR="00E95F51" w:rsidRPr="00D30BFF" w:rsidRDefault="00E95F51" w:rsidP="00E95F51">
      <w:pPr>
        <w:pStyle w:val="LastBulletinList"/>
        <w:rPr>
          <w:lang w:val="en-AU"/>
        </w:rPr>
      </w:pPr>
      <w:r w:rsidRPr="00D30BFF">
        <w:rPr>
          <w:lang w:val="en-AU"/>
        </w:rPr>
        <w:t>Environmental sustainability and climate action.</w:t>
      </w:r>
    </w:p>
    <w:p w14:paraId="7F50990C" w14:textId="26B2D80F" w:rsidR="00E95F51" w:rsidRPr="00D30BFF" w:rsidRDefault="00E95F51" w:rsidP="00E95F51">
      <w:pPr>
        <w:pStyle w:val="BodyText"/>
        <w:rPr>
          <w:lang w:val="en-AU"/>
        </w:rPr>
      </w:pPr>
      <w:r w:rsidRPr="00D30BFF">
        <w:rPr>
          <w:lang w:val="en-AU"/>
        </w:rPr>
        <w:t>These cross-cutting themes support the realisation of DEECA’s 8 Outcomes, responses in each of the quadrants demonstrate the intersection between the cross-cutting theme and the DEECA Outcome.</w:t>
      </w:r>
    </w:p>
    <w:p w14:paraId="4AFF1B3A" w14:textId="77777777" w:rsidR="000C3DAF" w:rsidRDefault="00BA0245" w:rsidP="00BA0245">
      <w:pPr>
        <w:pStyle w:val="Heading2"/>
        <w:rPr>
          <w:lang w:val="en-AU"/>
        </w:rPr>
      </w:pPr>
      <w:r w:rsidRPr="00D30BFF">
        <w:rPr>
          <w:lang w:val="en-AU"/>
        </w:rPr>
        <w:t>Aboriginal Self-Determination and First Peoples</w:t>
      </w:r>
    </w:p>
    <w:p w14:paraId="4BEDCC5D" w14:textId="77777777" w:rsidR="000C3DAF" w:rsidRDefault="00BA0245" w:rsidP="00970792">
      <w:pPr>
        <w:pStyle w:val="Heading3"/>
        <w:rPr>
          <w:lang w:val="en-AU"/>
        </w:rPr>
      </w:pPr>
      <w:r w:rsidRPr="00D30BFF">
        <w:rPr>
          <w:lang w:val="en-AU"/>
        </w:rPr>
        <w:t>Agriculture and Forestry</w:t>
      </w:r>
    </w:p>
    <w:p w14:paraId="7D0DB5D3" w14:textId="1380B6B4" w:rsidR="00BA0245" w:rsidRPr="00D30BFF" w:rsidRDefault="00BA0245" w:rsidP="00970792">
      <w:pPr>
        <w:pStyle w:val="ListBullet"/>
        <w:rPr>
          <w:lang w:val="en-AU"/>
        </w:rPr>
      </w:pPr>
      <w:r w:rsidRPr="00D30BFF">
        <w:rPr>
          <w:lang w:val="en-AU"/>
        </w:rPr>
        <w:t xml:space="preserve">Implement the communications and engagement plan for </w:t>
      </w:r>
      <w:proofErr w:type="spellStart"/>
      <w:r w:rsidRPr="00D30BFF">
        <w:rPr>
          <w:lang w:val="en-AU"/>
        </w:rPr>
        <w:t>barpangu</w:t>
      </w:r>
      <w:proofErr w:type="spellEnd"/>
      <w:r w:rsidRPr="00D30BFF">
        <w:rPr>
          <w:lang w:val="en-AU"/>
        </w:rPr>
        <w:t xml:space="preserve"> </w:t>
      </w:r>
      <w:proofErr w:type="spellStart"/>
      <w:r w:rsidRPr="00D30BFF">
        <w:rPr>
          <w:lang w:val="en-AU"/>
        </w:rPr>
        <w:t>yurpangu</w:t>
      </w:r>
      <w:proofErr w:type="spellEnd"/>
      <w:r w:rsidRPr="00D30BFF">
        <w:rPr>
          <w:lang w:val="en-AU"/>
        </w:rPr>
        <w:t xml:space="preserve"> to establish Agriculture Victoria as a culturally safe and inclusive workplace within DEECA</w:t>
      </w:r>
    </w:p>
    <w:p w14:paraId="12055B96" w14:textId="1FD8623A" w:rsidR="00BA0245" w:rsidRPr="00D30BFF" w:rsidRDefault="00BA0245" w:rsidP="00970792">
      <w:pPr>
        <w:pStyle w:val="ListBullet"/>
        <w:rPr>
          <w:lang w:val="en-AU"/>
        </w:rPr>
      </w:pPr>
      <w:r w:rsidRPr="00D30BFF">
        <w:rPr>
          <w:lang w:val="en-AU"/>
        </w:rPr>
        <w:t>Deliver on First Peoples’ self-determined objectives for participation in agriculture, by including funding in budget bids and leveraging/scoping broader initiatives to include First Peoples priorities</w:t>
      </w:r>
    </w:p>
    <w:p w14:paraId="72974D99" w14:textId="77777777" w:rsidR="00BA0245" w:rsidRPr="00D30BFF" w:rsidRDefault="00BA0245" w:rsidP="00970792">
      <w:pPr>
        <w:pStyle w:val="Heading3"/>
        <w:rPr>
          <w:lang w:val="en-AU"/>
        </w:rPr>
      </w:pPr>
      <w:r w:rsidRPr="00D30BFF">
        <w:rPr>
          <w:lang w:val="en-AU"/>
        </w:rPr>
        <w:t>Climate action</w:t>
      </w:r>
    </w:p>
    <w:p w14:paraId="3188EB0E" w14:textId="4B3D0298" w:rsidR="00BA0245" w:rsidRPr="00D30BFF" w:rsidRDefault="00BA0245" w:rsidP="00970792">
      <w:pPr>
        <w:pStyle w:val="ListBullet"/>
        <w:rPr>
          <w:lang w:val="en-AU"/>
        </w:rPr>
      </w:pPr>
      <w:r w:rsidRPr="00D30BFF">
        <w:rPr>
          <w:lang w:val="en-AU"/>
        </w:rPr>
        <w:t>Implement and monitor the Traditional Owner Climate Action Grant Program over 24 months</w:t>
      </w:r>
    </w:p>
    <w:p w14:paraId="6CAE5751" w14:textId="7E994B8B" w:rsidR="00BA0245" w:rsidRPr="00D30BFF" w:rsidRDefault="00BA0245" w:rsidP="00970792">
      <w:pPr>
        <w:pStyle w:val="ListBullet"/>
        <w:rPr>
          <w:lang w:val="en-AU"/>
        </w:rPr>
      </w:pPr>
      <w:r w:rsidRPr="00D30BFF">
        <w:rPr>
          <w:lang w:val="en-AU"/>
        </w:rPr>
        <w:t xml:space="preserve">To support transfer of power and resources and the securing of future economic prosperity of First Peoples, develop topics and issues for focus for Traditional Owner </w:t>
      </w:r>
      <w:r w:rsidRPr="00D30BFF">
        <w:rPr>
          <w:lang w:val="en-AU"/>
        </w:rPr>
        <w:lastRenderedPageBreak/>
        <w:t>position papers and strategies on the opportunities and challenges from climate action and the clean energy transition</w:t>
      </w:r>
    </w:p>
    <w:p w14:paraId="7758B974" w14:textId="59F41AE4" w:rsidR="00BA0245" w:rsidRPr="00D30BFF" w:rsidRDefault="00BA0245" w:rsidP="00970792">
      <w:pPr>
        <w:pStyle w:val="ListBullet"/>
        <w:rPr>
          <w:lang w:val="en-AU"/>
        </w:rPr>
      </w:pPr>
      <w:r w:rsidRPr="00D30BFF">
        <w:rPr>
          <w:lang w:val="en-AU"/>
        </w:rPr>
        <w:t>Better recognise two ways of knowing in science and policy outputs across the Climate Action portfolio</w:t>
      </w:r>
    </w:p>
    <w:p w14:paraId="21CFA116" w14:textId="77777777" w:rsidR="00BA0245" w:rsidRPr="00D30BFF" w:rsidRDefault="00BA0245" w:rsidP="00970792">
      <w:pPr>
        <w:pStyle w:val="Heading3"/>
        <w:rPr>
          <w:lang w:val="en-AU"/>
        </w:rPr>
      </w:pPr>
      <w:r w:rsidRPr="00D30BFF">
        <w:rPr>
          <w:lang w:val="en-AU"/>
        </w:rPr>
        <w:t>Earth Resources</w:t>
      </w:r>
    </w:p>
    <w:p w14:paraId="35638BE7" w14:textId="04B87F5D" w:rsidR="00BA0245" w:rsidRPr="00D30BFF" w:rsidRDefault="00BA0245" w:rsidP="00970792">
      <w:pPr>
        <w:pStyle w:val="ListBullet"/>
        <w:rPr>
          <w:lang w:val="en-AU"/>
        </w:rPr>
      </w:pPr>
      <w:r w:rsidRPr="00D30BFF">
        <w:rPr>
          <w:lang w:val="en-AU"/>
        </w:rPr>
        <w:t>In partnership with Traditional Owners, co-design a critical minerals benefits sharing model</w:t>
      </w:r>
    </w:p>
    <w:p w14:paraId="46FAFEA0" w14:textId="34FAC0CB" w:rsidR="00BA0245" w:rsidRPr="00D30BFF" w:rsidRDefault="00BA0245" w:rsidP="00970792">
      <w:pPr>
        <w:pStyle w:val="ListBullet"/>
        <w:rPr>
          <w:lang w:val="en-AU"/>
        </w:rPr>
      </w:pPr>
      <w:r w:rsidRPr="00D30BFF">
        <w:rPr>
          <w:lang w:val="en-AU"/>
        </w:rPr>
        <w:t>Include the need for quarries and mines to consult with Traditional Owners on rehabilitation plans</w:t>
      </w:r>
    </w:p>
    <w:p w14:paraId="26071492" w14:textId="12C2F375" w:rsidR="00BA0245" w:rsidRPr="00D30BFF" w:rsidRDefault="00BA0245" w:rsidP="00970792">
      <w:pPr>
        <w:pStyle w:val="ListBullet"/>
        <w:rPr>
          <w:lang w:val="en-AU"/>
        </w:rPr>
      </w:pPr>
      <w:r w:rsidRPr="00D30BFF">
        <w:rPr>
          <w:lang w:val="en-AU"/>
        </w:rPr>
        <w:t>Encourage quarry and mine operators to directly involve and engage Traditional Owners in rehabilitation</w:t>
      </w:r>
    </w:p>
    <w:p w14:paraId="29E88943" w14:textId="77777777" w:rsidR="000C3DAF" w:rsidRDefault="00BA0245" w:rsidP="00970792">
      <w:pPr>
        <w:pStyle w:val="Heading3"/>
        <w:rPr>
          <w:lang w:val="en-AU"/>
        </w:rPr>
      </w:pPr>
      <w:r w:rsidRPr="00D30BFF">
        <w:rPr>
          <w:lang w:val="en-AU"/>
        </w:rPr>
        <w:t>Emergency Management</w:t>
      </w:r>
    </w:p>
    <w:p w14:paraId="1E0E82AF" w14:textId="6BE777B7" w:rsidR="00BA0245" w:rsidRPr="00D30BFF" w:rsidRDefault="00BA0245" w:rsidP="00970792">
      <w:pPr>
        <w:pStyle w:val="ListBullet"/>
        <w:rPr>
          <w:lang w:val="en-AU"/>
        </w:rPr>
      </w:pPr>
      <w:r w:rsidRPr="00D30BFF">
        <w:rPr>
          <w:lang w:val="en-AU"/>
        </w:rPr>
        <w:t>Develop agreements with Traditional Owner Groups to formalise participation in planned burning and emergency response activities</w:t>
      </w:r>
    </w:p>
    <w:p w14:paraId="2DB826E7" w14:textId="666D941B" w:rsidR="00BA0245" w:rsidRPr="00D30BFF" w:rsidRDefault="00BA0245" w:rsidP="00970792">
      <w:pPr>
        <w:pStyle w:val="ListBullet"/>
        <w:rPr>
          <w:lang w:val="en-AU"/>
        </w:rPr>
      </w:pPr>
      <w:r w:rsidRPr="00D30BFF">
        <w:rPr>
          <w:lang w:val="en-AU"/>
        </w:rPr>
        <w:t>Working with Emergency Management Victoria and other sector partners to further embed Traditional Owners into emergency management frameworks</w:t>
      </w:r>
    </w:p>
    <w:p w14:paraId="0CB92FA8" w14:textId="14D7B677" w:rsidR="00BA0245" w:rsidRPr="00D30BFF" w:rsidRDefault="00BA0245" w:rsidP="00970792">
      <w:pPr>
        <w:pStyle w:val="ListBullet"/>
        <w:ind w:right="-143"/>
        <w:rPr>
          <w:lang w:val="en-AU"/>
        </w:rPr>
      </w:pPr>
      <w:r w:rsidRPr="00D30BFF">
        <w:rPr>
          <w:lang w:val="en-AU"/>
        </w:rPr>
        <w:t>Review Wildlife Emergency management plans and processes with a view to increasing the role of Traditional Owners in decision making and response to emergencies</w:t>
      </w:r>
    </w:p>
    <w:p w14:paraId="3765FB4D" w14:textId="77777777" w:rsidR="00BA0245" w:rsidRPr="00D30BFF" w:rsidRDefault="00BA0245" w:rsidP="00970792">
      <w:pPr>
        <w:pStyle w:val="Heading3"/>
        <w:rPr>
          <w:lang w:val="en-AU"/>
        </w:rPr>
      </w:pPr>
      <w:r w:rsidRPr="00D30BFF">
        <w:rPr>
          <w:lang w:val="en-AU"/>
        </w:rPr>
        <w:t>Energy</w:t>
      </w:r>
    </w:p>
    <w:p w14:paraId="5E668672" w14:textId="327FA0DD" w:rsidR="00BA0245" w:rsidRPr="00D30BFF" w:rsidRDefault="00BA0245" w:rsidP="00970792">
      <w:pPr>
        <w:pStyle w:val="ListBullet"/>
        <w:rPr>
          <w:lang w:val="en-AU"/>
        </w:rPr>
      </w:pPr>
      <w:r w:rsidRPr="00D30BFF">
        <w:rPr>
          <w:lang w:val="en-AU"/>
        </w:rPr>
        <w:t>Finalise the co-development and release of First Peoples Renewable Energy Strategic Plan including training and capability building, funding requirements, and budget request for funding required to implement priority activities</w:t>
      </w:r>
    </w:p>
    <w:p w14:paraId="1E40BC93" w14:textId="654B0983" w:rsidR="00BA0245" w:rsidRPr="00D30BFF" w:rsidRDefault="00BA0245" w:rsidP="00970792">
      <w:pPr>
        <w:pStyle w:val="ListBullet"/>
        <w:rPr>
          <w:lang w:val="en-AU"/>
        </w:rPr>
      </w:pPr>
      <w:r w:rsidRPr="00D30BFF">
        <w:rPr>
          <w:lang w:val="en-AU"/>
        </w:rPr>
        <w:t>Work with First Peoples to design tailored and Traditional Owner-appropriate training opportunities</w:t>
      </w:r>
    </w:p>
    <w:p w14:paraId="348F223A" w14:textId="77777777" w:rsidR="00BA0245" w:rsidRPr="00D30BFF" w:rsidRDefault="00BA0245" w:rsidP="00970792">
      <w:pPr>
        <w:pStyle w:val="Heading3"/>
        <w:rPr>
          <w:lang w:val="en-AU"/>
        </w:rPr>
      </w:pPr>
      <w:r w:rsidRPr="00D30BFF">
        <w:rPr>
          <w:lang w:val="en-AU"/>
        </w:rPr>
        <w:lastRenderedPageBreak/>
        <w:t>Environment and Circular Economy</w:t>
      </w:r>
    </w:p>
    <w:p w14:paraId="7220E834" w14:textId="0AB8CE85" w:rsidR="00BA0245" w:rsidRPr="00D30BFF" w:rsidRDefault="00BA0245" w:rsidP="00970792">
      <w:pPr>
        <w:pStyle w:val="ListBullet"/>
        <w:rPr>
          <w:lang w:val="en-AU"/>
        </w:rPr>
      </w:pPr>
      <w:r w:rsidRPr="00D30BFF">
        <w:rPr>
          <w:lang w:val="en-AU"/>
        </w:rPr>
        <w:t>Healing Country across Cultural Landscapes through identifying pathways for partnerships with landholders and organisations through biodiversity programs and recommend priority solutions</w:t>
      </w:r>
    </w:p>
    <w:p w14:paraId="73790AA0" w14:textId="6ED77551" w:rsidR="00BA0245" w:rsidRPr="00D30BFF" w:rsidRDefault="00BA0245" w:rsidP="00970792">
      <w:pPr>
        <w:pStyle w:val="ListBullet"/>
        <w:spacing w:after="240"/>
        <w:rPr>
          <w:lang w:val="en-AU"/>
        </w:rPr>
      </w:pPr>
      <w:r w:rsidRPr="00D30BFF">
        <w:rPr>
          <w:lang w:val="en-AU"/>
        </w:rPr>
        <w:t>Engage Traditional Owners to develop relationships to deliver Circular Economy opportunities to meet Traditional Owners’ objectives</w:t>
      </w:r>
    </w:p>
    <w:p w14:paraId="517100FE" w14:textId="77777777" w:rsidR="000C3DAF" w:rsidRDefault="00BA0245" w:rsidP="00970792">
      <w:pPr>
        <w:pStyle w:val="Heading3"/>
        <w:rPr>
          <w:lang w:val="en-AU"/>
        </w:rPr>
      </w:pPr>
      <w:r w:rsidRPr="00D30BFF">
        <w:rPr>
          <w:lang w:val="en-AU"/>
        </w:rPr>
        <w:t>Land Management</w:t>
      </w:r>
    </w:p>
    <w:p w14:paraId="6CD08525" w14:textId="7CC5F5BB" w:rsidR="00BA0245" w:rsidRPr="00D30BFF" w:rsidRDefault="00BA0245" w:rsidP="00970792">
      <w:pPr>
        <w:pStyle w:val="ListBullet"/>
        <w:rPr>
          <w:lang w:val="en-AU"/>
        </w:rPr>
      </w:pPr>
      <w:r w:rsidRPr="00D30BFF">
        <w:rPr>
          <w:lang w:val="en-AU"/>
        </w:rPr>
        <w:t>Work in partnership with Traditional Owners to identify and address operational and policy barriers to Traditional Owner-led cultural burning on Country</w:t>
      </w:r>
    </w:p>
    <w:p w14:paraId="6969F330" w14:textId="77777777" w:rsidR="000C3DAF" w:rsidRDefault="00BA0245" w:rsidP="00970792">
      <w:pPr>
        <w:pStyle w:val="ListBullet"/>
        <w:rPr>
          <w:lang w:val="en-AU"/>
        </w:rPr>
      </w:pPr>
      <w:r w:rsidRPr="00D30BFF">
        <w:rPr>
          <w:lang w:val="en-AU"/>
        </w:rPr>
        <w:t>Implementation of the Victorian Traditional Owner Cultural Fire Strategy</w:t>
      </w:r>
    </w:p>
    <w:p w14:paraId="39218B38" w14:textId="77777777" w:rsidR="000C3DAF" w:rsidRDefault="00BA0245" w:rsidP="00970792">
      <w:pPr>
        <w:pStyle w:val="ListBullet"/>
        <w:spacing w:after="240"/>
        <w:rPr>
          <w:lang w:val="en-AU"/>
        </w:rPr>
      </w:pPr>
      <w:r w:rsidRPr="00D30BFF">
        <w:rPr>
          <w:lang w:val="en-AU"/>
        </w:rPr>
        <w:t xml:space="preserve">In partnership with Traditional Owners, review the co-governance arrangements to support implementation of the cultural </w:t>
      </w:r>
      <w:proofErr w:type="gramStart"/>
      <w:r w:rsidRPr="00D30BFF">
        <w:rPr>
          <w:lang w:val="en-AU"/>
        </w:rPr>
        <w:t>landscapes</w:t>
      </w:r>
      <w:proofErr w:type="gramEnd"/>
      <w:r w:rsidRPr="00D30BFF">
        <w:rPr>
          <w:lang w:val="en-AU"/>
        </w:rPr>
        <w:t xml:space="preserve"> strategy and work with Traditional Owner Groups to implement agreed outcomes</w:t>
      </w:r>
    </w:p>
    <w:p w14:paraId="4EF109FF" w14:textId="20A3708D" w:rsidR="00BA0245" w:rsidRPr="00D30BFF" w:rsidRDefault="00BA0245" w:rsidP="00970792">
      <w:pPr>
        <w:pStyle w:val="Heading3"/>
        <w:rPr>
          <w:lang w:val="en-AU"/>
        </w:rPr>
      </w:pPr>
      <w:r w:rsidRPr="00D30BFF">
        <w:rPr>
          <w:lang w:val="en-AU"/>
        </w:rPr>
        <w:t>Water</w:t>
      </w:r>
    </w:p>
    <w:p w14:paraId="10196B82" w14:textId="49DA6F24" w:rsidR="00BA0245" w:rsidRPr="00D30BFF" w:rsidRDefault="00BA0245" w:rsidP="00970792">
      <w:pPr>
        <w:pStyle w:val="ListBullet"/>
        <w:rPr>
          <w:lang w:val="en-AU"/>
        </w:rPr>
      </w:pPr>
      <w:r w:rsidRPr="00D30BFF">
        <w:rPr>
          <w:lang w:val="en-AU"/>
        </w:rPr>
        <w:t>Explore the establishment of a First Peoples voice/authority (or equivalent) to the Minister for Water</w:t>
      </w:r>
    </w:p>
    <w:p w14:paraId="6A98E0E7" w14:textId="77777777" w:rsidR="000C3DAF" w:rsidRDefault="00BA0245" w:rsidP="00970792">
      <w:pPr>
        <w:pStyle w:val="ListBullet"/>
        <w:rPr>
          <w:lang w:val="en-AU"/>
        </w:rPr>
      </w:pPr>
      <w:r w:rsidRPr="00D30BFF">
        <w:rPr>
          <w:lang w:val="en-AU"/>
        </w:rPr>
        <w:t>Return water to Traditional Owner groups across Victoria through the issue of water entitlements for their self-determined use</w:t>
      </w:r>
    </w:p>
    <w:p w14:paraId="7AB75784" w14:textId="56E6AD72" w:rsidR="00BA0245" w:rsidRPr="00D30BFF" w:rsidRDefault="00BA0245" w:rsidP="00970792">
      <w:pPr>
        <w:pStyle w:val="ListBullet"/>
        <w:rPr>
          <w:lang w:val="en-AU"/>
        </w:rPr>
      </w:pPr>
      <w:r w:rsidRPr="00D30BFF">
        <w:rPr>
          <w:lang w:val="en-AU"/>
        </w:rPr>
        <w:t>Amend Statement of Obligations for water corporations for consideration by the Minister (Oct 2025) and develop appropriate guidelines to support formal partnership agreements with Traditional Owners</w:t>
      </w:r>
    </w:p>
    <w:p w14:paraId="17F28572" w14:textId="77777777" w:rsidR="00BA0245" w:rsidRPr="00D30BFF" w:rsidRDefault="00BA0245" w:rsidP="00970792">
      <w:pPr>
        <w:pStyle w:val="Heading2"/>
        <w:rPr>
          <w:lang w:val="en-AU"/>
        </w:rPr>
      </w:pPr>
      <w:r w:rsidRPr="00D30BFF">
        <w:rPr>
          <w:lang w:val="en-AU"/>
        </w:rPr>
        <w:lastRenderedPageBreak/>
        <w:t>Economic transition and growth</w:t>
      </w:r>
    </w:p>
    <w:p w14:paraId="399EDAF0" w14:textId="77777777" w:rsidR="000C3DAF" w:rsidRDefault="00BA0245" w:rsidP="00970792">
      <w:pPr>
        <w:pStyle w:val="Heading3"/>
        <w:rPr>
          <w:lang w:val="en-AU"/>
        </w:rPr>
      </w:pPr>
      <w:r w:rsidRPr="00D30BFF">
        <w:rPr>
          <w:lang w:val="en-AU"/>
        </w:rPr>
        <w:t>Agriculture and Forestry</w:t>
      </w:r>
    </w:p>
    <w:p w14:paraId="78656DCE" w14:textId="05F8ECBE" w:rsidR="00BA0245" w:rsidRPr="00D30BFF" w:rsidRDefault="00BA0245" w:rsidP="00970792">
      <w:pPr>
        <w:pStyle w:val="ListBullet"/>
        <w:rPr>
          <w:lang w:val="en-AU"/>
        </w:rPr>
      </w:pPr>
      <w:r w:rsidRPr="00D30BFF">
        <w:rPr>
          <w:lang w:val="en-AU"/>
        </w:rPr>
        <w:t>Deliver against the objectives of the Agribusiness priority in the Economic Growth Statement and grow the economic potential of the sector, including delivery of a consolidated food safety regulator</w:t>
      </w:r>
    </w:p>
    <w:p w14:paraId="66325EB6" w14:textId="024E83EC" w:rsidR="00BA0245" w:rsidRPr="00D30BFF" w:rsidRDefault="00BA0245" w:rsidP="00970792">
      <w:pPr>
        <w:pStyle w:val="ListBullet"/>
        <w:rPr>
          <w:lang w:val="en-AU"/>
        </w:rPr>
      </w:pPr>
      <w:r w:rsidRPr="00D30BFF">
        <w:rPr>
          <w:lang w:val="en-AU"/>
        </w:rPr>
        <w:t>Grow the food and fibre export potential of Victoria's agriculture producers</w:t>
      </w:r>
    </w:p>
    <w:p w14:paraId="35685518" w14:textId="1927AC1C" w:rsidR="00BA0245" w:rsidRPr="00D30BFF" w:rsidRDefault="00BA0245" w:rsidP="00970792">
      <w:pPr>
        <w:pStyle w:val="ListBullet"/>
        <w:spacing w:after="240"/>
        <w:rPr>
          <w:lang w:val="en-AU"/>
        </w:rPr>
      </w:pPr>
      <w:r w:rsidRPr="00D30BFF">
        <w:rPr>
          <w:lang w:val="en-AU"/>
        </w:rPr>
        <w:t>Deliver the Timber Innovation Grants Program and the Forestry Transition Fund to support the creation and retention of jobs</w:t>
      </w:r>
    </w:p>
    <w:p w14:paraId="7E953F8C" w14:textId="77777777" w:rsidR="00BA0245" w:rsidRPr="00D30BFF" w:rsidRDefault="00BA0245" w:rsidP="00970792">
      <w:pPr>
        <w:pStyle w:val="Heading3"/>
        <w:rPr>
          <w:lang w:val="en-AU"/>
        </w:rPr>
      </w:pPr>
      <w:r w:rsidRPr="00D30BFF">
        <w:rPr>
          <w:lang w:val="en-AU"/>
        </w:rPr>
        <w:t>Climate action</w:t>
      </w:r>
    </w:p>
    <w:p w14:paraId="0477054C" w14:textId="77777777" w:rsidR="000C3DAF" w:rsidRDefault="00BA0245" w:rsidP="00970792">
      <w:pPr>
        <w:pStyle w:val="ListBullet"/>
        <w:rPr>
          <w:lang w:val="en-AU"/>
        </w:rPr>
      </w:pPr>
      <w:r w:rsidRPr="00D30BFF">
        <w:rPr>
          <w:lang w:val="en-AU"/>
        </w:rPr>
        <w:t>Victorian government leadership in the transition to a net zero climate resilient and circular economy</w:t>
      </w:r>
    </w:p>
    <w:p w14:paraId="17044A6C" w14:textId="7CDB4F1D" w:rsidR="00BA0245" w:rsidRPr="00D30BFF" w:rsidRDefault="00BA0245" w:rsidP="00970792">
      <w:pPr>
        <w:pStyle w:val="ListBullet"/>
        <w:rPr>
          <w:lang w:val="en-AU"/>
        </w:rPr>
      </w:pPr>
      <w:r w:rsidRPr="00D30BFF">
        <w:rPr>
          <w:lang w:val="en-AU"/>
        </w:rPr>
        <w:t>Deliver Victoria’s Climate Change Strategy – create jobs, attract investment, cut energy costs, stimulate innovation and build resilience</w:t>
      </w:r>
    </w:p>
    <w:p w14:paraId="1AA7CF21" w14:textId="2AD2777F" w:rsidR="00BA0245" w:rsidRPr="00D30BFF" w:rsidRDefault="00BA0245" w:rsidP="00970792">
      <w:pPr>
        <w:pStyle w:val="ListBullet"/>
        <w:spacing w:after="240"/>
        <w:rPr>
          <w:lang w:val="en-AU"/>
        </w:rPr>
      </w:pPr>
      <w:r w:rsidRPr="00D30BFF">
        <w:rPr>
          <w:lang w:val="en-AU"/>
        </w:rPr>
        <w:t>Waste to Energy Cap Licensing and Oversight</w:t>
      </w:r>
    </w:p>
    <w:p w14:paraId="32C1D9D0" w14:textId="77777777" w:rsidR="00BA0245" w:rsidRPr="00D30BFF" w:rsidRDefault="00BA0245" w:rsidP="00970792">
      <w:pPr>
        <w:pStyle w:val="Heading3"/>
        <w:rPr>
          <w:lang w:val="en-AU"/>
        </w:rPr>
      </w:pPr>
      <w:r w:rsidRPr="00D30BFF">
        <w:rPr>
          <w:lang w:val="en-AU"/>
        </w:rPr>
        <w:t>Earth Resources</w:t>
      </w:r>
    </w:p>
    <w:p w14:paraId="51CDDC93" w14:textId="673F1867" w:rsidR="00BA0245" w:rsidRPr="00D30BFF" w:rsidRDefault="00BA0245" w:rsidP="00970792">
      <w:pPr>
        <w:pStyle w:val="ListBullet"/>
        <w:rPr>
          <w:lang w:val="en-AU"/>
        </w:rPr>
      </w:pPr>
      <w:r w:rsidRPr="00D30BFF">
        <w:rPr>
          <w:lang w:val="en-AU"/>
        </w:rPr>
        <w:t>Secure the supply of quarry materials essential for building roads, rail networks, tunnels, hospitals and homes</w:t>
      </w:r>
    </w:p>
    <w:p w14:paraId="6193CF56" w14:textId="7A981C61" w:rsidR="00BA0245" w:rsidRPr="00D30BFF" w:rsidRDefault="00BA0245" w:rsidP="00970792">
      <w:pPr>
        <w:pStyle w:val="ListBullet"/>
        <w:spacing w:after="240"/>
        <w:rPr>
          <w:lang w:val="en-AU"/>
        </w:rPr>
      </w:pPr>
      <w:r w:rsidRPr="00D30BFF">
        <w:rPr>
          <w:lang w:val="en-AU"/>
        </w:rPr>
        <w:t>Increase royalties and generate economic activity by implementing the Critical Minerals Roadmap and attracting further investment in the mining of gold and antimony</w:t>
      </w:r>
    </w:p>
    <w:p w14:paraId="22559A8B" w14:textId="77777777" w:rsidR="000C3DAF" w:rsidRDefault="00BA0245" w:rsidP="00970792">
      <w:pPr>
        <w:pStyle w:val="Heading3"/>
        <w:rPr>
          <w:lang w:val="en-AU"/>
        </w:rPr>
      </w:pPr>
      <w:r w:rsidRPr="00D30BFF">
        <w:rPr>
          <w:lang w:val="en-AU"/>
        </w:rPr>
        <w:t>Emergency Management</w:t>
      </w:r>
    </w:p>
    <w:p w14:paraId="785D0D7D" w14:textId="6512EE87" w:rsidR="00BA0245" w:rsidRPr="00D30BFF" w:rsidRDefault="00BA0245" w:rsidP="00970792">
      <w:pPr>
        <w:pStyle w:val="ListBullet"/>
        <w:rPr>
          <w:lang w:val="en-AU"/>
        </w:rPr>
      </w:pPr>
      <w:r w:rsidRPr="00D30BFF">
        <w:rPr>
          <w:lang w:val="en-AU"/>
        </w:rPr>
        <w:t>Deliver the fuel management program, supporting year-round delivery of bushfire risk reduction</w:t>
      </w:r>
    </w:p>
    <w:p w14:paraId="24DB7391" w14:textId="79EB001C" w:rsidR="00BA0245" w:rsidRPr="00D30BFF" w:rsidRDefault="00BA0245" w:rsidP="00970792">
      <w:pPr>
        <w:pStyle w:val="ListBullet"/>
        <w:rPr>
          <w:lang w:val="en-AU"/>
        </w:rPr>
      </w:pPr>
      <w:r w:rsidRPr="00D30BFF">
        <w:rPr>
          <w:lang w:val="en-AU"/>
        </w:rPr>
        <w:t>Deliver DEECA’s strategic state-wide roading program</w:t>
      </w:r>
    </w:p>
    <w:p w14:paraId="11ED3E98" w14:textId="77777777" w:rsidR="00BA0245" w:rsidRPr="00D30BFF" w:rsidRDefault="00BA0245" w:rsidP="00970792">
      <w:pPr>
        <w:pStyle w:val="Heading3"/>
        <w:rPr>
          <w:lang w:val="en-AU"/>
        </w:rPr>
      </w:pPr>
      <w:r w:rsidRPr="00D30BFF">
        <w:rPr>
          <w:lang w:val="en-AU"/>
        </w:rPr>
        <w:lastRenderedPageBreak/>
        <w:t>Energy</w:t>
      </w:r>
    </w:p>
    <w:p w14:paraId="55871A8B" w14:textId="47703B4A" w:rsidR="00BA0245" w:rsidRPr="00D30BFF" w:rsidRDefault="00BA0245" w:rsidP="00970792">
      <w:pPr>
        <w:pStyle w:val="ListBullet"/>
        <w:rPr>
          <w:lang w:val="en-AU"/>
        </w:rPr>
      </w:pPr>
      <w:r w:rsidRPr="00D30BFF">
        <w:rPr>
          <w:lang w:val="en-AU"/>
        </w:rPr>
        <w:t>Strengthening local supply chains, renewable industrial precincts, and workforce</w:t>
      </w:r>
    </w:p>
    <w:p w14:paraId="3B1231B8" w14:textId="379F6F28" w:rsidR="00BA0245" w:rsidRPr="00D30BFF" w:rsidRDefault="00BA0245" w:rsidP="00970792">
      <w:pPr>
        <w:pStyle w:val="ListBullet"/>
        <w:rPr>
          <w:lang w:val="en-AU"/>
        </w:rPr>
      </w:pPr>
      <w:r w:rsidRPr="00D30BFF">
        <w:rPr>
          <w:lang w:val="en-AU"/>
        </w:rPr>
        <w:t>Invest in distributed energy resources through rebates with more than 74,000 solar PV and hot water rebates</w:t>
      </w:r>
    </w:p>
    <w:p w14:paraId="440A36E9" w14:textId="7A78333C" w:rsidR="00BA0245" w:rsidRPr="00D30BFF" w:rsidRDefault="00BA0245" w:rsidP="00970792">
      <w:pPr>
        <w:pStyle w:val="ListBullet"/>
        <w:spacing w:after="240"/>
        <w:rPr>
          <w:lang w:val="en-AU"/>
        </w:rPr>
      </w:pPr>
      <w:r w:rsidRPr="00D30BFF">
        <w:rPr>
          <w:lang w:val="en-AU"/>
        </w:rPr>
        <w:t>Enable business investment in innovation, energy efficiency and electricity through energy efficiency upgrades up the Victorian Energy Upgrades (VEU) program</w:t>
      </w:r>
    </w:p>
    <w:p w14:paraId="56E96508" w14:textId="77777777" w:rsidR="00BA0245" w:rsidRPr="00D30BFF" w:rsidRDefault="00BA0245" w:rsidP="00970792">
      <w:pPr>
        <w:pStyle w:val="Heading3"/>
        <w:rPr>
          <w:lang w:val="en-AU"/>
        </w:rPr>
      </w:pPr>
      <w:r w:rsidRPr="00D30BFF">
        <w:rPr>
          <w:lang w:val="en-AU"/>
        </w:rPr>
        <w:t>Environment and Circular Economy</w:t>
      </w:r>
    </w:p>
    <w:p w14:paraId="52D5BC52" w14:textId="70527F9A" w:rsidR="00BA0245" w:rsidRPr="00D30BFF" w:rsidRDefault="00BA0245" w:rsidP="00970792">
      <w:pPr>
        <w:pStyle w:val="ListBullet"/>
        <w:rPr>
          <w:lang w:val="en-AU"/>
        </w:rPr>
      </w:pPr>
      <w:r w:rsidRPr="00D30BFF">
        <w:rPr>
          <w:lang w:val="en-AU"/>
        </w:rPr>
        <w:t>Attract more investment into the environment portfolio through a Nature Positive framework and associated initiatives</w:t>
      </w:r>
    </w:p>
    <w:p w14:paraId="6CA67C83" w14:textId="27F62C0F" w:rsidR="00BA0245" w:rsidRPr="00D30BFF" w:rsidRDefault="00BA0245" w:rsidP="00970792">
      <w:pPr>
        <w:pStyle w:val="ListBullet"/>
        <w:spacing w:after="240"/>
        <w:rPr>
          <w:lang w:val="en-AU"/>
        </w:rPr>
      </w:pPr>
      <w:r w:rsidRPr="00D30BFF">
        <w:rPr>
          <w:lang w:val="en-AU"/>
        </w:rPr>
        <w:t>Deliver technical planning and environmental assessment advice to support the Economic Growth Statement and delivery of infrastructure priorities including energy, Big Build, Housing Statement, Plan for Victoria and resources developments</w:t>
      </w:r>
    </w:p>
    <w:p w14:paraId="64F6BB29" w14:textId="77777777" w:rsidR="000C3DAF" w:rsidRDefault="00BA0245" w:rsidP="00970792">
      <w:pPr>
        <w:pStyle w:val="Heading3"/>
        <w:rPr>
          <w:lang w:val="en-AU"/>
        </w:rPr>
      </w:pPr>
      <w:r w:rsidRPr="00D30BFF">
        <w:rPr>
          <w:lang w:val="en-AU"/>
        </w:rPr>
        <w:t>Land Management</w:t>
      </w:r>
    </w:p>
    <w:p w14:paraId="0A5A347B" w14:textId="1E41FF95" w:rsidR="00BA0245" w:rsidRPr="00D30BFF" w:rsidRDefault="00BA0245" w:rsidP="00970792">
      <w:pPr>
        <w:pStyle w:val="ListBullet"/>
        <w:rPr>
          <w:lang w:val="en-AU"/>
        </w:rPr>
      </w:pPr>
      <w:r w:rsidRPr="00D30BFF">
        <w:rPr>
          <w:lang w:val="en-AU"/>
        </w:rPr>
        <w:t>Implement the Suburban Parks Program</w:t>
      </w:r>
    </w:p>
    <w:p w14:paraId="419C149F" w14:textId="1F848FC4" w:rsidR="00BA0245" w:rsidRPr="00D30BFF" w:rsidRDefault="00BA0245" w:rsidP="00970792">
      <w:pPr>
        <w:pStyle w:val="ListBullet"/>
        <w:rPr>
          <w:lang w:val="en-AU"/>
        </w:rPr>
      </w:pPr>
      <w:r w:rsidRPr="00D30BFF">
        <w:rPr>
          <w:lang w:val="en-AU"/>
        </w:rPr>
        <w:t>Deliver the Future Forests Program</w:t>
      </w:r>
    </w:p>
    <w:p w14:paraId="1BCFEB9C" w14:textId="3B8C0B39" w:rsidR="00BA0245" w:rsidRPr="00D30BFF" w:rsidRDefault="00BA0245" w:rsidP="00970792">
      <w:pPr>
        <w:pStyle w:val="ListBullet"/>
        <w:spacing w:after="240"/>
        <w:rPr>
          <w:lang w:val="en-AU"/>
        </w:rPr>
      </w:pPr>
      <w:r w:rsidRPr="00D30BFF">
        <w:rPr>
          <w:lang w:val="en-AU"/>
        </w:rPr>
        <w:t>Deliver the Great Ocean Road Coastal Trail (Fairhaven to Grey River) Project</w:t>
      </w:r>
    </w:p>
    <w:p w14:paraId="128E7CF7" w14:textId="77777777" w:rsidR="00BA0245" w:rsidRPr="00D30BFF" w:rsidRDefault="00BA0245" w:rsidP="00970792">
      <w:pPr>
        <w:pStyle w:val="Heading3"/>
        <w:rPr>
          <w:lang w:val="en-AU"/>
        </w:rPr>
      </w:pPr>
      <w:r w:rsidRPr="00D30BFF">
        <w:rPr>
          <w:lang w:val="en-AU"/>
        </w:rPr>
        <w:t>Water</w:t>
      </w:r>
    </w:p>
    <w:p w14:paraId="7F5CD988" w14:textId="06976C51" w:rsidR="00BA0245" w:rsidRPr="00D30BFF" w:rsidRDefault="00BA0245" w:rsidP="00970792">
      <w:pPr>
        <w:pStyle w:val="ListBullet"/>
        <w:rPr>
          <w:lang w:val="en-AU"/>
        </w:rPr>
      </w:pPr>
      <w:r w:rsidRPr="00D30BFF">
        <w:rPr>
          <w:lang w:val="en-AU"/>
        </w:rPr>
        <w:t>Invest to ensure a sustainable, resilient and productive water resources</w:t>
      </w:r>
    </w:p>
    <w:p w14:paraId="28123363" w14:textId="7A231466" w:rsidR="00BA0245" w:rsidRPr="00D30BFF" w:rsidRDefault="00BA0245" w:rsidP="00970792">
      <w:pPr>
        <w:pStyle w:val="ListBullet"/>
        <w:rPr>
          <w:lang w:val="en-AU"/>
        </w:rPr>
      </w:pPr>
      <w:r w:rsidRPr="00D30BFF">
        <w:rPr>
          <w:lang w:val="en-AU"/>
        </w:rPr>
        <w:t>Invest in water infrastructure projects</w:t>
      </w:r>
    </w:p>
    <w:p w14:paraId="5D4A35E7" w14:textId="2ED27701" w:rsidR="00BA0245" w:rsidRPr="00D30BFF" w:rsidRDefault="00BA0245" w:rsidP="00970792">
      <w:pPr>
        <w:pStyle w:val="ListBullet"/>
        <w:spacing w:after="240"/>
        <w:rPr>
          <w:lang w:val="en-AU"/>
        </w:rPr>
      </w:pPr>
      <w:r w:rsidRPr="00D30BFF">
        <w:rPr>
          <w:lang w:val="en-AU"/>
        </w:rPr>
        <w:t>Oversee the functioning of the water market</w:t>
      </w:r>
    </w:p>
    <w:p w14:paraId="1DF4B3EE" w14:textId="77777777" w:rsidR="00BA0245" w:rsidRPr="00D30BFF" w:rsidRDefault="00BA0245" w:rsidP="00970792">
      <w:pPr>
        <w:pStyle w:val="Heading2"/>
        <w:rPr>
          <w:lang w:val="en-AU"/>
        </w:rPr>
      </w:pPr>
      <w:r w:rsidRPr="00D30BFF">
        <w:rPr>
          <w:lang w:val="en-AU"/>
        </w:rPr>
        <w:lastRenderedPageBreak/>
        <w:t>Emergency management</w:t>
      </w:r>
    </w:p>
    <w:p w14:paraId="3AE35969" w14:textId="77777777" w:rsidR="000C3DAF" w:rsidRDefault="00BA0245" w:rsidP="00970792">
      <w:pPr>
        <w:pStyle w:val="Heading3"/>
        <w:rPr>
          <w:lang w:val="en-AU"/>
        </w:rPr>
      </w:pPr>
      <w:r w:rsidRPr="00D30BFF">
        <w:rPr>
          <w:lang w:val="en-AU"/>
        </w:rPr>
        <w:t>Agriculture and Forestry</w:t>
      </w:r>
    </w:p>
    <w:p w14:paraId="672DED73" w14:textId="68771166" w:rsidR="00BA0245" w:rsidRPr="00D30BFF" w:rsidRDefault="00BA0245" w:rsidP="00970792">
      <w:pPr>
        <w:pStyle w:val="ListBullet"/>
        <w:rPr>
          <w:lang w:val="en-AU"/>
        </w:rPr>
      </w:pPr>
      <w:r w:rsidRPr="00D30BFF">
        <w:rPr>
          <w:lang w:val="en-AU"/>
        </w:rPr>
        <w:t>Deliver a dedicated preparedness program to optimise response, relief, and recovery arrangements for an Emergency Animal Disease outbreak and continue to boost Victoria's preparedness to plant pests and diseases</w:t>
      </w:r>
    </w:p>
    <w:p w14:paraId="67FB4F22" w14:textId="49FC562B" w:rsidR="00BA0245" w:rsidRPr="00D30BFF" w:rsidRDefault="00BA0245" w:rsidP="00AC0E09">
      <w:pPr>
        <w:pStyle w:val="ListBullet"/>
        <w:spacing w:after="180"/>
        <w:rPr>
          <w:lang w:val="en-AU"/>
        </w:rPr>
      </w:pPr>
      <w:r w:rsidRPr="00D30BFF">
        <w:rPr>
          <w:lang w:val="en-AU"/>
        </w:rPr>
        <w:t>Deliver a program to strengthen the workforce capability and capacity of Agriculture Victoria to respond to emergencies impacting agriculture and animal welfare</w:t>
      </w:r>
    </w:p>
    <w:p w14:paraId="2F17BCF2" w14:textId="77777777" w:rsidR="00BA0245" w:rsidRPr="00D30BFF" w:rsidRDefault="00BA0245" w:rsidP="00970792">
      <w:pPr>
        <w:pStyle w:val="Heading3"/>
        <w:rPr>
          <w:lang w:val="en-AU"/>
        </w:rPr>
      </w:pPr>
      <w:r w:rsidRPr="00D30BFF">
        <w:rPr>
          <w:lang w:val="en-AU"/>
        </w:rPr>
        <w:t>Climate action</w:t>
      </w:r>
    </w:p>
    <w:p w14:paraId="45D290E5" w14:textId="77777777" w:rsidR="000C3DAF" w:rsidRDefault="00BA0245" w:rsidP="00970792">
      <w:pPr>
        <w:pStyle w:val="ListBullet"/>
        <w:rPr>
          <w:lang w:val="en-AU"/>
        </w:rPr>
      </w:pPr>
      <w:r w:rsidRPr="00D30BFF">
        <w:rPr>
          <w:lang w:val="en-AU"/>
        </w:rPr>
        <w:t>Deliver Victoria’s Climate Change Strategy to support Victorians to address the impacts of climate change</w:t>
      </w:r>
    </w:p>
    <w:p w14:paraId="061A8CB1" w14:textId="5BA436AE" w:rsidR="00BA0245" w:rsidRPr="00D30BFF" w:rsidRDefault="00BA0245" w:rsidP="00AC0E09">
      <w:pPr>
        <w:pStyle w:val="ListBullet"/>
        <w:spacing w:after="180"/>
        <w:rPr>
          <w:lang w:val="en-AU"/>
        </w:rPr>
      </w:pPr>
      <w:r w:rsidRPr="00D30BFF">
        <w:rPr>
          <w:lang w:val="en-AU"/>
        </w:rPr>
        <w:t>Monitor the impacts of sea-level rise on coastal assets</w:t>
      </w:r>
    </w:p>
    <w:p w14:paraId="43940DD6" w14:textId="77777777" w:rsidR="00BA0245" w:rsidRPr="00D30BFF" w:rsidRDefault="00BA0245" w:rsidP="00970792">
      <w:pPr>
        <w:pStyle w:val="Heading3"/>
        <w:rPr>
          <w:lang w:val="en-AU"/>
        </w:rPr>
      </w:pPr>
      <w:r w:rsidRPr="00D30BFF">
        <w:rPr>
          <w:lang w:val="en-AU"/>
        </w:rPr>
        <w:t>Earth Resources</w:t>
      </w:r>
    </w:p>
    <w:p w14:paraId="21E392AD" w14:textId="1C3D93E5" w:rsidR="00BA0245" w:rsidRPr="00D30BFF" w:rsidRDefault="00BA0245" w:rsidP="00970792">
      <w:pPr>
        <w:pStyle w:val="ListBullet"/>
        <w:rPr>
          <w:lang w:val="en-AU"/>
        </w:rPr>
      </w:pPr>
      <w:r w:rsidRPr="00D30BFF">
        <w:rPr>
          <w:lang w:val="en-AU"/>
        </w:rPr>
        <w:t>Maintain a strong preventative risk based regulatory regime to identify and manage risks before they are realised</w:t>
      </w:r>
    </w:p>
    <w:p w14:paraId="327EB8B6" w14:textId="015F85D2" w:rsidR="00BA0245" w:rsidRPr="00D30BFF" w:rsidRDefault="00BA0245" w:rsidP="00AC0E09">
      <w:pPr>
        <w:pStyle w:val="ListBullet"/>
        <w:spacing w:after="180"/>
        <w:rPr>
          <w:lang w:val="en-AU"/>
        </w:rPr>
      </w:pPr>
      <w:r w:rsidRPr="00D30BFF">
        <w:rPr>
          <w:lang w:val="en-AU"/>
        </w:rPr>
        <w:t>Maintain a 24-hour capability to respond to emergencies, especially natural disasters, pollution events or failure of critical infrastructure</w:t>
      </w:r>
    </w:p>
    <w:p w14:paraId="31F3968E" w14:textId="77777777" w:rsidR="000C3DAF" w:rsidRDefault="00BA0245" w:rsidP="00970792">
      <w:pPr>
        <w:pStyle w:val="Heading3"/>
        <w:rPr>
          <w:lang w:val="en-AU"/>
        </w:rPr>
      </w:pPr>
      <w:r w:rsidRPr="00D30BFF">
        <w:rPr>
          <w:lang w:val="en-AU"/>
        </w:rPr>
        <w:t>Emergency Management</w:t>
      </w:r>
    </w:p>
    <w:p w14:paraId="66C3FA0C" w14:textId="3A0D794F" w:rsidR="00BA0245" w:rsidRPr="00D30BFF" w:rsidRDefault="00BA0245" w:rsidP="00970792">
      <w:pPr>
        <w:pStyle w:val="ListBullet"/>
        <w:rPr>
          <w:lang w:val="en-AU"/>
        </w:rPr>
      </w:pPr>
      <w:r w:rsidRPr="00D30BFF">
        <w:rPr>
          <w:lang w:val="en-AU"/>
        </w:rPr>
        <w:t>Maintain a 24-hour capability to respond to emergencies, especially natural disasters, pollution events or failure of critical infrastructure</w:t>
      </w:r>
    </w:p>
    <w:p w14:paraId="075C8E28" w14:textId="5DD0B0FA" w:rsidR="00BA0245" w:rsidRPr="00D30BFF" w:rsidRDefault="00BA0245" w:rsidP="00AC0E09">
      <w:pPr>
        <w:pStyle w:val="ListBullet"/>
        <w:spacing w:after="180"/>
        <w:rPr>
          <w:lang w:val="en-AU"/>
        </w:rPr>
      </w:pPr>
      <w:r w:rsidRPr="00D30BFF">
        <w:rPr>
          <w:lang w:val="en-AU"/>
        </w:rPr>
        <w:t>Maintain and renew critical bushfire and emergency response assets</w:t>
      </w:r>
    </w:p>
    <w:p w14:paraId="04C64850" w14:textId="77777777" w:rsidR="00BA0245" w:rsidRPr="00D30BFF" w:rsidRDefault="00BA0245" w:rsidP="00970792">
      <w:pPr>
        <w:pStyle w:val="Heading3"/>
        <w:rPr>
          <w:lang w:val="en-AU"/>
        </w:rPr>
      </w:pPr>
      <w:r w:rsidRPr="00D30BFF">
        <w:rPr>
          <w:lang w:val="en-AU"/>
        </w:rPr>
        <w:t>Energy</w:t>
      </w:r>
    </w:p>
    <w:p w14:paraId="45D0C5E2" w14:textId="2A22502C" w:rsidR="00BA0245" w:rsidRPr="00D30BFF" w:rsidRDefault="00BA0245" w:rsidP="00AC0E09">
      <w:pPr>
        <w:pStyle w:val="ListBullet"/>
        <w:spacing w:after="60"/>
        <w:rPr>
          <w:lang w:val="en-AU"/>
        </w:rPr>
      </w:pPr>
      <w:r w:rsidRPr="00D30BFF">
        <w:rPr>
          <w:lang w:val="en-AU"/>
        </w:rPr>
        <w:t>Maintaining gas supply security</w:t>
      </w:r>
    </w:p>
    <w:p w14:paraId="75443801" w14:textId="016A6A4D" w:rsidR="00BA0245" w:rsidRPr="00D30BFF" w:rsidRDefault="00BA0245" w:rsidP="00970792">
      <w:pPr>
        <w:pStyle w:val="ListBullet"/>
        <w:rPr>
          <w:lang w:val="en-AU"/>
        </w:rPr>
      </w:pPr>
      <w:r w:rsidRPr="00D30BFF">
        <w:rPr>
          <w:lang w:val="en-AU"/>
        </w:rPr>
        <w:t>Reducing prolonged power outage impacts on Victorian communities</w:t>
      </w:r>
    </w:p>
    <w:p w14:paraId="55257473" w14:textId="77777777" w:rsidR="00BA0245" w:rsidRPr="00D30BFF" w:rsidRDefault="00BA0245" w:rsidP="00970792">
      <w:pPr>
        <w:pStyle w:val="Heading3"/>
        <w:rPr>
          <w:lang w:val="en-AU"/>
        </w:rPr>
      </w:pPr>
      <w:r w:rsidRPr="00D30BFF">
        <w:rPr>
          <w:lang w:val="en-AU"/>
        </w:rPr>
        <w:lastRenderedPageBreak/>
        <w:t>Environment and Circular Economy</w:t>
      </w:r>
    </w:p>
    <w:p w14:paraId="18F143CF" w14:textId="6A7CB5EE" w:rsidR="00BA0245" w:rsidRPr="00D30BFF" w:rsidRDefault="00BA0245" w:rsidP="00970792">
      <w:pPr>
        <w:pStyle w:val="ListBullet"/>
        <w:rPr>
          <w:lang w:val="en-AU"/>
        </w:rPr>
      </w:pPr>
      <w:r w:rsidRPr="00D30BFF">
        <w:rPr>
          <w:lang w:val="en-AU"/>
        </w:rPr>
        <w:t>Support the coordination of wildlife emergencies by delivering preparedness, response, relief and recovery obligations</w:t>
      </w:r>
    </w:p>
    <w:p w14:paraId="7AC3227B" w14:textId="4D5C60E0" w:rsidR="00BA0245" w:rsidRPr="00D30BFF" w:rsidRDefault="00BA0245" w:rsidP="00970792">
      <w:pPr>
        <w:pStyle w:val="ListBullet"/>
        <w:spacing w:after="240"/>
        <w:rPr>
          <w:lang w:val="en-AU"/>
        </w:rPr>
      </w:pPr>
      <w:r w:rsidRPr="00D30BFF">
        <w:rPr>
          <w:lang w:val="en-AU"/>
        </w:rPr>
        <w:t>Coordinate delivery of waste emergency activities</w:t>
      </w:r>
    </w:p>
    <w:p w14:paraId="2E13E0CA" w14:textId="77777777" w:rsidR="000C3DAF" w:rsidRDefault="00BA0245" w:rsidP="00970792">
      <w:pPr>
        <w:pStyle w:val="Heading3"/>
        <w:rPr>
          <w:lang w:val="en-AU"/>
        </w:rPr>
      </w:pPr>
      <w:r w:rsidRPr="00D30BFF">
        <w:rPr>
          <w:lang w:val="en-AU"/>
        </w:rPr>
        <w:t>Land Management</w:t>
      </w:r>
    </w:p>
    <w:p w14:paraId="2870B891" w14:textId="3EE9E570" w:rsidR="000C3DAF" w:rsidRDefault="00BA0245" w:rsidP="00970792">
      <w:pPr>
        <w:pStyle w:val="ListBullet"/>
        <w:rPr>
          <w:lang w:val="en-AU"/>
        </w:rPr>
      </w:pPr>
      <w:r w:rsidRPr="00D30BFF">
        <w:rPr>
          <w:lang w:val="en-AU"/>
        </w:rPr>
        <w:t>Coordinate delivery of recovery services following emergencies</w:t>
      </w:r>
    </w:p>
    <w:p w14:paraId="63A834BE" w14:textId="7E629EBD" w:rsidR="00BA0245" w:rsidRPr="00D30BFF" w:rsidRDefault="00BA0245" w:rsidP="00970792">
      <w:pPr>
        <w:pStyle w:val="ListBullet"/>
        <w:spacing w:after="240"/>
        <w:rPr>
          <w:lang w:val="en-AU"/>
        </w:rPr>
      </w:pPr>
      <w:r w:rsidRPr="00D30BFF">
        <w:rPr>
          <w:lang w:val="en-AU"/>
        </w:rPr>
        <w:t>Support delivery of forest and fire land management works through forest contractors</w:t>
      </w:r>
    </w:p>
    <w:p w14:paraId="46FC4972" w14:textId="77777777" w:rsidR="00BA0245" w:rsidRPr="00D30BFF" w:rsidRDefault="00BA0245" w:rsidP="00970792">
      <w:pPr>
        <w:pStyle w:val="Heading3"/>
        <w:rPr>
          <w:lang w:val="en-AU"/>
        </w:rPr>
      </w:pPr>
      <w:r w:rsidRPr="00D30BFF">
        <w:rPr>
          <w:lang w:val="en-AU"/>
        </w:rPr>
        <w:t>Water</w:t>
      </w:r>
    </w:p>
    <w:p w14:paraId="579A6DE2" w14:textId="4F5E51FE" w:rsidR="00BA0245" w:rsidRPr="00D30BFF" w:rsidRDefault="00BA0245" w:rsidP="00970792">
      <w:pPr>
        <w:pStyle w:val="ListBullet"/>
        <w:rPr>
          <w:lang w:val="en-AU"/>
        </w:rPr>
      </w:pPr>
      <w:r w:rsidRPr="00D30BFF">
        <w:rPr>
          <w:lang w:val="en-AU"/>
        </w:rPr>
        <w:t>Deliver DEECA’s water-related emergency management obligations</w:t>
      </w:r>
    </w:p>
    <w:p w14:paraId="5A765E47" w14:textId="707C6472" w:rsidR="00BA0245" w:rsidRPr="00D30BFF" w:rsidRDefault="00BA0245" w:rsidP="00970792">
      <w:pPr>
        <w:pStyle w:val="ListBullet"/>
        <w:rPr>
          <w:lang w:val="en-AU"/>
        </w:rPr>
      </w:pPr>
      <w:r w:rsidRPr="00D30BFF">
        <w:rPr>
          <w:lang w:val="en-AU"/>
        </w:rPr>
        <w:t>Fund new flood studies for regional locations</w:t>
      </w:r>
    </w:p>
    <w:p w14:paraId="576BDC66" w14:textId="771A5818" w:rsidR="00BA0245" w:rsidRPr="00D30BFF" w:rsidRDefault="00BA0245" w:rsidP="00970792">
      <w:pPr>
        <w:pStyle w:val="ListBullet"/>
        <w:spacing w:after="240"/>
        <w:rPr>
          <w:lang w:val="en-AU"/>
        </w:rPr>
      </w:pPr>
      <w:r w:rsidRPr="00D30BFF">
        <w:rPr>
          <w:lang w:val="en-AU"/>
        </w:rPr>
        <w:t xml:space="preserve">Maintain </w:t>
      </w:r>
      <w:proofErr w:type="spellStart"/>
      <w:r w:rsidRPr="00D30BFF">
        <w:rPr>
          <w:lang w:val="en-AU"/>
        </w:rPr>
        <w:t>Floodzoom</w:t>
      </w:r>
      <w:proofErr w:type="spellEnd"/>
      <w:r w:rsidRPr="00D30BFF">
        <w:rPr>
          <w:lang w:val="en-AU"/>
        </w:rPr>
        <w:t xml:space="preserve"> flood intelligence platform</w:t>
      </w:r>
    </w:p>
    <w:p w14:paraId="5FF31A22" w14:textId="77777777" w:rsidR="00BA0245" w:rsidRPr="00D30BFF" w:rsidRDefault="00BA0245" w:rsidP="00AC0E09">
      <w:pPr>
        <w:pStyle w:val="Heading2"/>
        <w:spacing w:before="240" w:after="360"/>
        <w:rPr>
          <w:lang w:val="en-AU"/>
        </w:rPr>
      </w:pPr>
      <w:r w:rsidRPr="00D30BFF">
        <w:rPr>
          <w:lang w:val="en-AU"/>
        </w:rPr>
        <w:t>Environmental sustainability and climate action</w:t>
      </w:r>
    </w:p>
    <w:p w14:paraId="59F88384" w14:textId="77777777" w:rsidR="000C3DAF" w:rsidRDefault="00BA0245" w:rsidP="00970792">
      <w:pPr>
        <w:pStyle w:val="Heading3"/>
        <w:rPr>
          <w:lang w:val="en-AU"/>
        </w:rPr>
      </w:pPr>
      <w:r w:rsidRPr="00D30BFF">
        <w:rPr>
          <w:lang w:val="en-AU"/>
        </w:rPr>
        <w:t>Agriculture and Forestry</w:t>
      </w:r>
    </w:p>
    <w:p w14:paraId="29A518DA" w14:textId="4BA37CD3" w:rsidR="000C3DAF" w:rsidRDefault="00BA0245" w:rsidP="00970792">
      <w:pPr>
        <w:pStyle w:val="ListBullet"/>
        <w:rPr>
          <w:lang w:val="en-AU"/>
        </w:rPr>
      </w:pPr>
      <w:r w:rsidRPr="00D30BFF">
        <w:rPr>
          <w:lang w:val="en-AU"/>
        </w:rPr>
        <w:t>Deliver priority projects that reduce emissions and build climate resilience on farms</w:t>
      </w:r>
    </w:p>
    <w:p w14:paraId="0B056C7E" w14:textId="4C09A8FF" w:rsidR="00BA0245" w:rsidRPr="00D30BFF" w:rsidRDefault="00BA0245" w:rsidP="00970792">
      <w:pPr>
        <w:pStyle w:val="ListBullet"/>
        <w:spacing w:after="240"/>
        <w:rPr>
          <w:lang w:val="en-AU"/>
        </w:rPr>
      </w:pPr>
      <w:r w:rsidRPr="00D30BFF">
        <w:rPr>
          <w:lang w:val="en-AU"/>
        </w:rPr>
        <w:t>Support research, innovation and adoption of climate resilient, low-emissions technologies</w:t>
      </w:r>
    </w:p>
    <w:p w14:paraId="6A1FCC01" w14:textId="77777777" w:rsidR="00BA0245" w:rsidRPr="00D30BFF" w:rsidRDefault="00BA0245" w:rsidP="00970792">
      <w:pPr>
        <w:pStyle w:val="Heading3"/>
        <w:rPr>
          <w:lang w:val="en-AU"/>
        </w:rPr>
      </w:pPr>
      <w:r w:rsidRPr="00D30BFF">
        <w:rPr>
          <w:lang w:val="en-AU"/>
        </w:rPr>
        <w:t>Climate action</w:t>
      </w:r>
    </w:p>
    <w:p w14:paraId="60E21EF9" w14:textId="42DCB7ED" w:rsidR="00BA0245" w:rsidRPr="00D30BFF" w:rsidRDefault="00BA0245" w:rsidP="00970792">
      <w:pPr>
        <w:pStyle w:val="ListBullet"/>
        <w:rPr>
          <w:lang w:val="en-AU"/>
        </w:rPr>
      </w:pPr>
      <w:r w:rsidRPr="00D30BFF">
        <w:rPr>
          <w:lang w:val="en-AU"/>
        </w:rPr>
        <w:t xml:space="preserve">Restore nature for carbon storage through the </w:t>
      </w:r>
      <w:proofErr w:type="spellStart"/>
      <w:r w:rsidRPr="00D30BFF">
        <w:rPr>
          <w:lang w:val="en-AU"/>
        </w:rPr>
        <w:t>BushBank</w:t>
      </w:r>
      <w:proofErr w:type="spellEnd"/>
      <w:r w:rsidRPr="00D30BFF">
        <w:rPr>
          <w:lang w:val="en-AU"/>
        </w:rPr>
        <w:t xml:space="preserve"> Program</w:t>
      </w:r>
    </w:p>
    <w:p w14:paraId="5DCB23C7" w14:textId="2888D617" w:rsidR="00BA0245" w:rsidRPr="00D30BFF" w:rsidRDefault="00BA0245" w:rsidP="00970792">
      <w:pPr>
        <w:pStyle w:val="ListBullet"/>
        <w:rPr>
          <w:lang w:val="en-AU"/>
        </w:rPr>
      </w:pPr>
      <w:r w:rsidRPr="00D30BFF">
        <w:rPr>
          <w:lang w:val="en-AU"/>
        </w:rPr>
        <w:t>Implement the Marine and Coastal Policy and Strategy</w:t>
      </w:r>
    </w:p>
    <w:p w14:paraId="552863A8" w14:textId="77777777" w:rsidR="00BA0245" w:rsidRPr="00D30BFF" w:rsidRDefault="00BA0245" w:rsidP="00970792">
      <w:pPr>
        <w:pStyle w:val="Heading3"/>
        <w:rPr>
          <w:lang w:val="en-AU"/>
        </w:rPr>
      </w:pPr>
      <w:r w:rsidRPr="00D30BFF">
        <w:rPr>
          <w:lang w:val="en-AU"/>
        </w:rPr>
        <w:lastRenderedPageBreak/>
        <w:t>Earth Resources</w:t>
      </w:r>
    </w:p>
    <w:p w14:paraId="0984001F" w14:textId="248A05C7" w:rsidR="00BA0245" w:rsidRPr="00D30BFF" w:rsidRDefault="00BA0245" w:rsidP="00970792">
      <w:pPr>
        <w:pStyle w:val="ListBullet"/>
        <w:rPr>
          <w:lang w:val="en-AU"/>
        </w:rPr>
      </w:pPr>
      <w:r w:rsidRPr="00D30BFF">
        <w:rPr>
          <w:lang w:val="en-AU"/>
        </w:rPr>
        <w:t>Support Victoria’s transition away from reliance on fossil fuels by implementing the Latrobe Valley Regional Rehabilitation Strategy</w:t>
      </w:r>
    </w:p>
    <w:p w14:paraId="280561CE" w14:textId="5E0C5977" w:rsidR="00BA0245" w:rsidRPr="00D30BFF" w:rsidRDefault="00BA0245" w:rsidP="00970792">
      <w:pPr>
        <w:pStyle w:val="ListBullet"/>
        <w:spacing w:after="240"/>
        <w:rPr>
          <w:lang w:val="en-AU"/>
        </w:rPr>
      </w:pPr>
      <w:r w:rsidRPr="00D30BFF">
        <w:rPr>
          <w:lang w:val="en-AU"/>
        </w:rPr>
        <w:t>Support the transition to net zero by 2045 through the supply of ethically sourced critical minerals that are vital to making solar panels, wind turbines and batteries</w:t>
      </w:r>
    </w:p>
    <w:p w14:paraId="37ECE81E" w14:textId="77777777" w:rsidR="000C3DAF" w:rsidRDefault="00BA0245" w:rsidP="00970792">
      <w:pPr>
        <w:pStyle w:val="Heading3"/>
        <w:rPr>
          <w:lang w:val="en-AU"/>
        </w:rPr>
      </w:pPr>
      <w:r w:rsidRPr="00D30BFF">
        <w:rPr>
          <w:lang w:val="en-AU"/>
        </w:rPr>
        <w:t>Emergency Management</w:t>
      </w:r>
    </w:p>
    <w:p w14:paraId="39D5CF0A" w14:textId="3DB73159" w:rsidR="00BA0245" w:rsidRPr="00D30BFF" w:rsidRDefault="00BA0245" w:rsidP="00970792">
      <w:pPr>
        <w:pStyle w:val="ListBullet"/>
        <w:rPr>
          <w:lang w:val="en-AU"/>
        </w:rPr>
      </w:pPr>
      <w:r w:rsidRPr="00D30BFF">
        <w:rPr>
          <w:lang w:val="en-AU"/>
        </w:rPr>
        <w:t>Deliver the Safer Together Program</w:t>
      </w:r>
    </w:p>
    <w:p w14:paraId="5A7487D3" w14:textId="77777777" w:rsidR="00BA0245" w:rsidRPr="00D30BFF" w:rsidRDefault="00BA0245" w:rsidP="00970792">
      <w:pPr>
        <w:pStyle w:val="Heading3"/>
        <w:rPr>
          <w:lang w:val="en-AU"/>
        </w:rPr>
      </w:pPr>
      <w:r w:rsidRPr="00D30BFF">
        <w:rPr>
          <w:lang w:val="en-AU"/>
        </w:rPr>
        <w:t>Energy</w:t>
      </w:r>
    </w:p>
    <w:p w14:paraId="438B97A6" w14:textId="6176029D" w:rsidR="00BA0245" w:rsidRPr="00D30BFF" w:rsidRDefault="00BA0245" w:rsidP="00970792">
      <w:pPr>
        <w:pStyle w:val="ListBullet"/>
        <w:rPr>
          <w:lang w:val="en-AU"/>
        </w:rPr>
      </w:pPr>
      <w:r w:rsidRPr="00D30BFF">
        <w:rPr>
          <w:lang w:val="en-AU"/>
        </w:rPr>
        <w:t>Decarbonising homes and businesses through electrification and efficiency</w:t>
      </w:r>
    </w:p>
    <w:p w14:paraId="5D4587A8" w14:textId="074F1CC0" w:rsidR="00BA0245" w:rsidRPr="00D30BFF" w:rsidRDefault="00BA0245" w:rsidP="00970792">
      <w:pPr>
        <w:pStyle w:val="ListBullet"/>
        <w:rPr>
          <w:lang w:val="en-AU"/>
        </w:rPr>
      </w:pPr>
      <w:r w:rsidRPr="00D30BFF">
        <w:rPr>
          <w:lang w:val="en-AU"/>
        </w:rPr>
        <w:t>Managing reliability, resilience, and safety through an orderly transition from fossil fuel-based electricity</w:t>
      </w:r>
    </w:p>
    <w:p w14:paraId="4F721564" w14:textId="010EB1D1" w:rsidR="00BA0245" w:rsidRPr="00D30BFF" w:rsidRDefault="00BA0245" w:rsidP="00970792">
      <w:pPr>
        <w:pStyle w:val="ListBullet"/>
        <w:spacing w:after="240"/>
        <w:rPr>
          <w:lang w:val="en-AU"/>
        </w:rPr>
      </w:pPr>
      <w:r w:rsidRPr="00D30BFF">
        <w:rPr>
          <w:lang w:val="en-AU"/>
        </w:rPr>
        <w:t>Reducing emissions through the surrender of 7.3 million Victorian Energy Efficiency Certificates under the Victorian Energy Upgrades program</w:t>
      </w:r>
    </w:p>
    <w:p w14:paraId="66AB839A" w14:textId="77777777" w:rsidR="00BA0245" w:rsidRPr="00D30BFF" w:rsidRDefault="00BA0245" w:rsidP="00970792">
      <w:pPr>
        <w:pStyle w:val="Heading3"/>
        <w:rPr>
          <w:lang w:val="en-AU"/>
        </w:rPr>
      </w:pPr>
      <w:r w:rsidRPr="00D30BFF">
        <w:rPr>
          <w:lang w:val="en-AU"/>
        </w:rPr>
        <w:t>Environment and Circular Economy</w:t>
      </w:r>
    </w:p>
    <w:p w14:paraId="6A5A9524" w14:textId="77777777" w:rsidR="000C3DAF" w:rsidRDefault="00BA0245" w:rsidP="00970792">
      <w:pPr>
        <w:pStyle w:val="ListBullet"/>
        <w:rPr>
          <w:lang w:val="en-AU"/>
        </w:rPr>
      </w:pPr>
      <w:r w:rsidRPr="00D30BFF">
        <w:rPr>
          <w:lang w:val="en-AU"/>
        </w:rPr>
        <w:t>Enable strategic, place-based action to improve Victoria’s biodiversity</w:t>
      </w:r>
    </w:p>
    <w:p w14:paraId="379F4CEF" w14:textId="77777777" w:rsidR="000C3DAF" w:rsidRDefault="00BA0245" w:rsidP="00970792">
      <w:pPr>
        <w:pStyle w:val="ListBullet"/>
        <w:rPr>
          <w:lang w:val="en-AU"/>
        </w:rPr>
      </w:pPr>
      <w:r w:rsidRPr="00D30BFF">
        <w:rPr>
          <w:lang w:val="en-AU"/>
        </w:rPr>
        <w:t>Deliver the 2026-2029 Strategic Plan for the Waste, Recycling and Resource Recovery Sector</w:t>
      </w:r>
    </w:p>
    <w:p w14:paraId="2C8D291A" w14:textId="3018847C" w:rsidR="00BA0245" w:rsidRPr="00D30BFF" w:rsidRDefault="00BA0245" w:rsidP="00970792">
      <w:pPr>
        <w:pStyle w:val="ListBullet"/>
        <w:spacing w:after="240"/>
        <w:rPr>
          <w:lang w:val="en-AU"/>
        </w:rPr>
      </w:pPr>
      <w:r w:rsidRPr="00D30BFF">
        <w:rPr>
          <w:lang w:val="en-AU"/>
        </w:rPr>
        <w:t>Wildlife Act Bill introduced to Parliament</w:t>
      </w:r>
    </w:p>
    <w:p w14:paraId="2A34393A" w14:textId="77777777" w:rsidR="000C3DAF" w:rsidRDefault="00BA0245" w:rsidP="00970792">
      <w:pPr>
        <w:pStyle w:val="Heading3"/>
        <w:rPr>
          <w:lang w:val="en-AU"/>
        </w:rPr>
      </w:pPr>
      <w:r w:rsidRPr="00D30BFF">
        <w:rPr>
          <w:lang w:val="en-AU"/>
        </w:rPr>
        <w:t>Land Management</w:t>
      </w:r>
    </w:p>
    <w:p w14:paraId="2A06DFE8" w14:textId="2DDA4921" w:rsidR="000C3DAF" w:rsidRDefault="00BA0245" w:rsidP="00970792">
      <w:pPr>
        <w:pStyle w:val="ListBullet"/>
        <w:rPr>
          <w:lang w:val="en-AU"/>
        </w:rPr>
      </w:pPr>
      <w:r w:rsidRPr="00D30BFF">
        <w:rPr>
          <w:lang w:val="en-AU"/>
        </w:rPr>
        <w:t>Support delivery of an Outdoor Recreation and Nature Statement</w:t>
      </w:r>
    </w:p>
    <w:p w14:paraId="00303517" w14:textId="504CB69F" w:rsidR="00BA0245" w:rsidRPr="00D30BFF" w:rsidRDefault="00BA0245" w:rsidP="00970792">
      <w:pPr>
        <w:pStyle w:val="ListBullet"/>
        <w:rPr>
          <w:lang w:val="en-AU"/>
        </w:rPr>
      </w:pPr>
      <w:r w:rsidRPr="00D30BFF">
        <w:rPr>
          <w:lang w:val="en-AU"/>
        </w:rPr>
        <w:t>Support cessation of native timber harvesting industry through delivery of forest and fire land management works through forest contractors</w:t>
      </w:r>
    </w:p>
    <w:p w14:paraId="54715A2B" w14:textId="77777777" w:rsidR="00BA0245" w:rsidRPr="00D30BFF" w:rsidRDefault="00BA0245" w:rsidP="00970792">
      <w:pPr>
        <w:pStyle w:val="Heading3"/>
        <w:rPr>
          <w:lang w:val="en-AU"/>
        </w:rPr>
      </w:pPr>
      <w:r w:rsidRPr="00D30BFF">
        <w:rPr>
          <w:lang w:val="en-AU"/>
        </w:rPr>
        <w:lastRenderedPageBreak/>
        <w:t>Water</w:t>
      </w:r>
    </w:p>
    <w:p w14:paraId="1B9D00E9" w14:textId="72A5B0ED" w:rsidR="00BA0245" w:rsidRPr="00D30BFF" w:rsidRDefault="00BA0245" w:rsidP="00970792">
      <w:pPr>
        <w:pStyle w:val="ListBullet"/>
        <w:rPr>
          <w:lang w:val="en-AU"/>
        </w:rPr>
      </w:pPr>
      <w:r w:rsidRPr="00D30BFF">
        <w:rPr>
          <w:lang w:val="en-AU"/>
        </w:rPr>
        <w:t>Maintain and improve waterway health for environmental outcomes</w:t>
      </w:r>
    </w:p>
    <w:p w14:paraId="7FEB3327" w14:textId="77777777" w:rsidR="000C3DAF" w:rsidRDefault="00BA0245" w:rsidP="00970792">
      <w:pPr>
        <w:pStyle w:val="ListBullet"/>
        <w:rPr>
          <w:lang w:val="en-AU"/>
        </w:rPr>
      </w:pPr>
      <w:r w:rsidRPr="00D30BFF">
        <w:rPr>
          <w:lang w:val="en-AU"/>
        </w:rPr>
        <w:t>Reduce the risks of floods in a changing climate</w:t>
      </w:r>
    </w:p>
    <w:p w14:paraId="5C322496" w14:textId="64C8A191" w:rsidR="00DC22D6" w:rsidRPr="00D30BFF" w:rsidRDefault="00BA0245" w:rsidP="00DC22D6">
      <w:pPr>
        <w:pStyle w:val="ListBullet"/>
        <w:rPr>
          <w:lang w:val="en-AU"/>
        </w:rPr>
      </w:pPr>
      <w:r w:rsidRPr="00D30BFF">
        <w:rPr>
          <w:lang w:val="en-AU"/>
        </w:rPr>
        <w:t>Implement Water Cycle Climate Change Adaptation Action Plans</w:t>
      </w:r>
    </w:p>
    <w:p w14:paraId="13DFE635" w14:textId="77777777" w:rsidR="004E1EBD" w:rsidRPr="00D30BFF" w:rsidRDefault="004E1EBD" w:rsidP="00031E8A">
      <w:pPr>
        <w:pStyle w:val="Heading1"/>
        <w:pageBreakBefore/>
        <w:rPr>
          <w:lang w:val="en-AU"/>
        </w:rPr>
        <w:sectPr w:rsidR="004E1EBD" w:rsidRPr="00D30BFF" w:rsidSect="00EB277B">
          <w:pgSz w:w="11906" w:h="16838"/>
          <w:pgMar w:top="1134" w:right="1134" w:bottom="1134" w:left="1134" w:header="720" w:footer="454" w:gutter="0"/>
          <w:cols w:space="720"/>
          <w:noEndnote/>
          <w:docGrid w:linePitch="326"/>
        </w:sectPr>
      </w:pPr>
    </w:p>
    <w:p w14:paraId="2560A055" w14:textId="1B8A1DD4" w:rsidR="00970792" w:rsidRPr="00D30BFF" w:rsidRDefault="00031E8A" w:rsidP="00031E8A">
      <w:pPr>
        <w:pStyle w:val="Heading1"/>
        <w:pageBreakBefore/>
        <w:rPr>
          <w:lang w:val="en-AU"/>
        </w:rPr>
      </w:pPr>
      <w:bookmarkStart w:id="10" w:name="_Toc207621361"/>
      <w:r w:rsidRPr="00D30BFF">
        <w:rPr>
          <w:lang w:val="en-AU"/>
        </w:rPr>
        <w:lastRenderedPageBreak/>
        <w:t>Sustainable Development Goals</w:t>
      </w:r>
      <w:bookmarkEnd w:id="10"/>
    </w:p>
    <w:p w14:paraId="7C64402E" w14:textId="76A90357" w:rsidR="00DC22D6" w:rsidRPr="00D30BFF" w:rsidRDefault="00EC37CF" w:rsidP="00EC37CF">
      <w:pPr>
        <w:pStyle w:val="BodyText"/>
        <w:rPr>
          <w:lang w:val="en-AU"/>
        </w:rPr>
      </w:pPr>
      <w:r w:rsidRPr="00D30BFF">
        <w:rPr>
          <w:lang w:val="en-AU"/>
        </w:rPr>
        <w:t>The United Nations developed 17 individual Sustainable Development Goals. DEECA aligns its work to these goals in the Business Planning process and represented in the table below highlights our contribution to seven core goals and supporting an additional 5 goals.</w:t>
      </w:r>
    </w:p>
    <w:p w14:paraId="23F80BA5" w14:textId="69107B74" w:rsidR="002D6BC2" w:rsidRPr="00D30BFF" w:rsidRDefault="002D6BC2" w:rsidP="002D6BC2">
      <w:pPr>
        <w:pStyle w:val="Caption"/>
        <w:keepNext/>
      </w:pPr>
      <w:r w:rsidRPr="00D30BFF">
        <w:t xml:space="preserve">Table </w:t>
      </w:r>
      <w:r w:rsidR="00E56263">
        <w:fldChar w:fldCharType="begin"/>
      </w:r>
      <w:r w:rsidR="00E56263">
        <w:instrText xml:space="preserve"> SEQ Table \* ARABIC </w:instrText>
      </w:r>
      <w:r w:rsidR="00E56263">
        <w:fldChar w:fldCharType="separate"/>
      </w:r>
      <w:r w:rsidR="00E56263" w:rsidRPr="00D30BFF">
        <w:rPr>
          <w:noProof/>
        </w:rPr>
        <w:t>1</w:t>
      </w:r>
      <w:r w:rsidR="00E56263">
        <w:rPr>
          <w:noProof/>
        </w:rPr>
        <w:fldChar w:fldCharType="end"/>
      </w:r>
      <w:r w:rsidRPr="00D30BFF">
        <w:t>: DEECA’s contribution to seven core goals and supporting an additional 5 goals</w:t>
      </w:r>
    </w:p>
    <w:tbl>
      <w:tblPr>
        <w:tblStyle w:val="Style2"/>
        <w:tblW w:w="5000" w:type="pct"/>
        <w:tblLook w:val="04A0" w:firstRow="1" w:lastRow="0" w:firstColumn="1" w:lastColumn="0" w:noHBand="0" w:noVBand="1"/>
        <w:tblCaption w:val="Table 1: DEECA’s contribution to seven core goals and supporting an additional 5 goals"/>
        <w:tblDescription w:val="Table 1: DEECA’s contribution to seven core goals and supporting an additional 5 goals"/>
      </w:tblPr>
      <w:tblGrid>
        <w:gridCol w:w="3532"/>
        <w:gridCol w:w="5247"/>
        <w:gridCol w:w="5771"/>
      </w:tblGrid>
      <w:tr w:rsidR="00CA0315" w:rsidRPr="00D30BFF" w14:paraId="7F2F7289" w14:textId="77777777" w:rsidTr="004E1EBD">
        <w:trPr>
          <w:cnfStyle w:val="100000000000" w:firstRow="1" w:lastRow="0" w:firstColumn="0" w:lastColumn="0" w:oddVBand="0" w:evenVBand="0" w:oddHBand="0" w:evenHBand="0" w:firstRowFirstColumn="0" w:firstRowLastColumn="0" w:lastRowFirstColumn="0" w:lastRowLastColumn="0"/>
          <w:cantSplit/>
          <w:tblHeader/>
        </w:trPr>
        <w:tc>
          <w:tcPr>
            <w:tcW w:w="1214" w:type="pct"/>
          </w:tcPr>
          <w:p w14:paraId="71EA705C" w14:textId="433ADD84" w:rsidR="00CA0315" w:rsidRPr="00D30BFF" w:rsidRDefault="00CA0315" w:rsidP="002D6BC2">
            <w:pPr>
              <w:pStyle w:val="Tabletext"/>
              <w:spacing w:line="240" w:lineRule="auto"/>
              <w:rPr>
                <w:lang w:val="en-AU"/>
              </w:rPr>
            </w:pPr>
            <w:r w:rsidRPr="00D30BFF">
              <w:rPr>
                <w:lang w:val="en-AU"/>
              </w:rPr>
              <w:t>DEECA Outcome</w:t>
            </w:r>
          </w:p>
        </w:tc>
        <w:tc>
          <w:tcPr>
            <w:tcW w:w="1803" w:type="pct"/>
          </w:tcPr>
          <w:p w14:paraId="49E56877" w14:textId="2FC9A9CB" w:rsidR="00CA0315" w:rsidRPr="00D30BFF" w:rsidRDefault="00CA0315" w:rsidP="002D6BC2">
            <w:pPr>
              <w:pStyle w:val="Tabletext"/>
              <w:spacing w:line="240" w:lineRule="auto"/>
              <w:rPr>
                <w:lang w:val="en-AU"/>
              </w:rPr>
            </w:pPr>
            <w:r w:rsidRPr="00D30BFF">
              <w:rPr>
                <w:lang w:val="en-AU"/>
              </w:rPr>
              <w:t xml:space="preserve">Core </w:t>
            </w:r>
            <w:r w:rsidR="002D6BC2" w:rsidRPr="00D30BFF">
              <w:rPr>
                <w:lang w:val="en-AU"/>
              </w:rPr>
              <w:t>Sustainable Development Goals</w:t>
            </w:r>
          </w:p>
        </w:tc>
        <w:tc>
          <w:tcPr>
            <w:tcW w:w="1983" w:type="pct"/>
          </w:tcPr>
          <w:p w14:paraId="00E57E6B" w14:textId="6B383F26" w:rsidR="00CA0315" w:rsidRPr="00D30BFF" w:rsidRDefault="00CA0315" w:rsidP="002D6BC2">
            <w:pPr>
              <w:pStyle w:val="Tabletext"/>
              <w:spacing w:line="240" w:lineRule="auto"/>
              <w:rPr>
                <w:lang w:val="en-AU"/>
              </w:rPr>
            </w:pPr>
            <w:r w:rsidRPr="00D30BFF">
              <w:rPr>
                <w:lang w:val="en-AU"/>
              </w:rPr>
              <w:t xml:space="preserve">Additional </w:t>
            </w:r>
            <w:r w:rsidR="002D6BC2" w:rsidRPr="00D30BFF">
              <w:rPr>
                <w:lang w:val="en-AU"/>
              </w:rPr>
              <w:t>Sustainable Development Goals</w:t>
            </w:r>
          </w:p>
        </w:tc>
      </w:tr>
      <w:tr w:rsidR="00CA0315" w:rsidRPr="00D30BFF" w14:paraId="54B34EC5" w14:textId="77777777" w:rsidTr="004E1EBD">
        <w:tc>
          <w:tcPr>
            <w:tcW w:w="1214" w:type="pct"/>
          </w:tcPr>
          <w:p w14:paraId="3F0986B9" w14:textId="77777777" w:rsidR="00CA0315" w:rsidRPr="00D30BFF" w:rsidRDefault="00CA0315" w:rsidP="00CA0315">
            <w:pPr>
              <w:pStyle w:val="Tabletext"/>
              <w:rPr>
                <w:b/>
                <w:bCs/>
                <w:lang w:val="en-AU"/>
              </w:rPr>
            </w:pPr>
            <w:r w:rsidRPr="00D30BFF">
              <w:rPr>
                <w:b/>
                <w:bCs/>
                <w:lang w:val="en-AU"/>
              </w:rPr>
              <w:t>Agriculture and Forestry</w:t>
            </w:r>
          </w:p>
          <w:p w14:paraId="5A49DD4B" w14:textId="6B822CF7" w:rsidR="00CA0315" w:rsidRPr="00D30BFF" w:rsidRDefault="00CA0315" w:rsidP="00CA0315">
            <w:pPr>
              <w:pStyle w:val="Tabletext"/>
              <w:rPr>
                <w:lang w:val="en-AU"/>
              </w:rPr>
            </w:pPr>
            <w:r w:rsidRPr="00D30BFF">
              <w:rPr>
                <w:lang w:val="en-AU"/>
              </w:rPr>
              <w:t>Productive and sustainably used natural resources</w:t>
            </w:r>
          </w:p>
        </w:tc>
        <w:tc>
          <w:tcPr>
            <w:tcW w:w="1803" w:type="pct"/>
          </w:tcPr>
          <w:p w14:paraId="5EBB5E49" w14:textId="23E05E55" w:rsidR="00CA0315" w:rsidRPr="00D30BFF" w:rsidRDefault="00CA0315" w:rsidP="00CA0315">
            <w:pPr>
              <w:pStyle w:val="Tabletext"/>
              <w:rPr>
                <w:lang w:val="en-AU"/>
              </w:rPr>
            </w:pPr>
            <w:r w:rsidRPr="00D30BFF">
              <w:rPr>
                <w:lang w:val="en-AU"/>
              </w:rPr>
              <w:t>2. Zero Hunger</w:t>
            </w:r>
          </w:p>
        </w:tc>
        <w:tc>
          <w:tcPr>
            <w:tcW w:w="1983" w:type="pct"/>
          </w:tcPr>
          <w:p w14:paraId="01BFF033" w14:textId="77777777" w:rsidR="004E1EBD" w:rsidRPr="00D30BFF" w:rsidRDefault="004E1EBD" w:rsidP="004E1EBD">
            <w:pPr>
              <w:pStyle w:val="Tabletext"/>
              <w:rPr>
                <w:lang w:val="en-AU"/>
              </w:rPr>
            </w:pPr>
            <w:r w:rsidRPr="00D30BFF">
              <w:rPr>
                <w:lang w:val="en-AU"/>
              </w:rPr>
              <w:t>3. Good Health and Well-Being</w:t>
            </w:r>
          </w:p>
          <w:p w14:paraId="3B6E8DB3" w14:textId="77777777" w:rsidR="004E1EBD" w:rsidRPr="00D30BFF" w:rsidRDefault="004E1EBD" w:rsidP="004E1EBD">
            <w:pPr>
              <w:pStyle w:val="Tabletext"/>
              <w:rPr>
                <w:lang w:val="en-AU"/>
              </w:rPr>
            </w:pPr>
            <w:r w:rsidRPr="00D30BFF">
              <w:rPr>
                <w:lang w:val="en-AU"/>
              </w:rPr>
              <w:t>8. Decent Work and Economic Growth</w:t>
            </w:r>
          </w:p>
          <w:p w14:paraId="1B3ED636" w14:textId="77777777" w:rsidR="004E1EBD" w:rsidRPr="00D30BFF" w:rsidRDefault="004E1EBD" w:rsidP="004E1EBD">
            <w:pPr>
              <w:pStyle w:val="Tabletext"/>
              <w:rPr>
                <w:lang w:val="en-AU"/>
              </w:rPr>
            </w:pPr>
            <w:r w:rsidRPr="00D30BFF">
              <w:rPr>
                <w:lang w:val="en-AU"/>
              </w:rPr>
              <w:t>12. Responsible Consumption and Production</w:t>
            </w:r>
          </w:p>
          <w:p w14:paraId="54AC995A" w14:textId="77777777" w:rsidR="004E1EBD" w:rsidRPr="00D30BFF" w:rsidRDefault="004E1EBD" w:rsidP="004E1EBD">
            <w:pPr>
              <w:pStyle w:val="Tabletext"/>
              <w:rPr>
                <w:lang w:val="en-AU"/>
              </w:rPr>
            </w:pPr>
            <w:r w:rsidRPr="00D30BFF">
              <w:rPr>
                <w:lang w:val="en-AU"/>
              </w:rPr>
              <w:t>13. Climate Action</w:t>
            </w:r>
          </w:p>
          <w:p w14:paraId="551D00C4" w14:textId="7C83F353" w:rsidR="00CA0315" w:rsidRPr="00D30BFF" w:rsidRDefault="004E1EBD" w:rsidP="002D6BC2">
            <w:pPr>
              <w:pStyle w:val="Tabletext"/>
              <w:spacing w:after="360"/>
              <w:rPr>
                <w:lang w:val="en-AU"/>
              </w:rPr>
            </w:pPr>
            <w:r w:rsidRPr="00D30BFF">
              <w:rPr>
                <w:lang w:val="en-AU"/>
              </w:rPr>
              <w:t>15. Life on Land</w:t>
            </w:r>
          </w:p>
        </w:tc>
      </w:tr>
      <w:tr w:rsidR="00CA0315" w:rsidRPr="00D30BFF" w14:paraId="13B02690" w14:textId="77777777" w:rsidTr="004E1EBD">
        <w:tc>
          <w:tcPr>
            <w:tcW w:w="1214" w:type="pct"/>
          </w:tcPr>
          <w:p w14:paraId="454E2003" w14:textId="77777777" w:rsidR="00CA0315" w:rsidRPr="00D30BFF" w:rsidRDefault="00CA0315" w:rsidP="00CA0315">
            <w:pPr>
              <w:pStyle w:val="Tabletext"/>
              <w:rPr>
                <w:b/>
                <w:bCs/>
                <w:lang w:val="en-AU"/>
              </w:rPr>
            </w:pPr>
            <w:r w:rsidRPr="00D30BFF">
              <w:rPr>
                <w:b/>
                <w:bCs/>
                <w:lang w:val="en-AU"/>
              </w:rPr>
              <w:t>Climate Action</w:t>
            </w:r>
          </w:p>
          <w:p w14:paraId="7DE1C729" w14:textId="612EDB8B" w:rsidR="00CA0315" w:rsidRPr="00D30BFF" w:rsidRDefault="00CA0315" w:rsidP="00CA0315">
            <w:pPr>
              <w:pStyle w:val="Tabletext"/>
              <w:rPr>
                <w:lang w:val="en-AU"/>
              </w:rPr>
            </w:pPr>
            <w:r w:rsidRPr="00D30BFF">
              <w:rPr>
                <w:lang w:val="en-AU"/>
              </w:rPr>
              <w:t>Net-zero emissions, climate ready economy and community</w:t>
            </w:r>
          </w:p>
        </w:tc>
        <w:tc>
          <w:tcPr>
            <w:tcW w:w="1803" w:type="pct"/>
          </w:tcPr>
          <w:p w14:paraId="59A269CD" w14:textId="48011FC4" w:rsidR="00CA0315" w:rsidRPr="00D30BFF" w:rsidRDefault="00CA0315" w:rsidP="00CA0315">
            <w:pPr>
              <w:pStyle w:val="Tabletext"/>
              <w:rPr>
                <w:lang w:val="en-AU"/>
              </w:rPr>
            </w:pPr>
            <w:r w:rsidRPr="00D30BFF">
              <w:rPr>
                <w:lang w:val="en-AU"/>
              </w:rPr>
              <w:t>13. Climate Action</w:t>
            </w:r>
          </w:p>
        </w:tc>
        <w:tc>
          <w:tcPr>
            <w:tcW w:w="1983" w:type="pct"/>
          </w:tcPr>
          <w:p w14:paraId="4F8605A8" w14:textId="77777777" w:rsidR="004E1EBD" w:rsidRPr="00D30BFF" w:rsidRDefault="004E1EBD" w:rsidP="004E1EBD">
            <w:pPr>
              <w:pStyle w:val="Tabletext"/>
              <w:rPr>
                <w:lang w:val="en-AU"/>
              </w:rPr>
            </w:pPr>
            <w:r w:rsidRPr="00D30BFF">
              <w:rPr>
                <w:lang w:val="en-AU"/>
              </w:rPr>
              <w:t>6. Clean Water and Sanitation</w:t>
            </w:r>
          </w:p>
          <w:p w14:paraId="6393CD87" w14:textId="77777777" w:rsidR="004E1EBD" w:rsidRPr="00D30BFF" w:rsidRDefault="004E1EBD" w:rsidP="004E1EBD">
            <w:pPr>
              <w:pStyle w:val="Tabletext"/>
              <w:rPr>
                <w:lang w:val="en-AU"/>
              </w:rPr>
            </w:pPr>
            <w:r w:rsidRPr="00D30BFF">
              <w:rPr>
                <w:lang w:val="en-AU"/>
              </w:rPr>
              <w:t>7. Affordable and Clean Energy</w:t>
            </w:r>
          </w:p>
          <w:p w14:paraId="3840A988" w14:textId="77777777" w:rsidR="004E1EBD" w:rsidRPr="00D30BFF" w:rsidRDefault="004E1EBD" w:rsidP="004E1EBD">
            <w:pPr>
              <w:pStyle w:val="Tabletext"/>
              <w:rPr>
                <w:lang w:val="en-AU"/>
              </w:rPr>
            </w:pPr>
            <w:r w:rsidRPr="00D30BFF">
              <w:rPr>
                <w:lang w:val="en-AU"/>
              </w:rPr>
              <w:t>8. Decent Work and Economic Growth</w:t>
            </w:r>
          </w:p>
          <w:p w14:paraId="23B4990E" w14:textId="77777777" w:rsidR="004E1EBD" w:rsidRPr="00D30BFF" w:rsidRDefault="004E1EBD" w:rsidP="004E1EBD">
            <w:pPr>
              <w:pStyle w:val="Tabletext"/>
              <w:rPr>
                <w:lang w:val="en-AU"/>
              </w:rPr>
            </w:pPr>
            <w:r w:rsidRPr="00D30BFF">
              <w:rPr>
                <w:lang w:val="en-AU"/>
              </w:rPr>
              <w:t>9. Industry, Innovation and Infrastructure</w:t>
            </w:r>
          </w:p>
          <w:p w14:paraId="62606EF9" w14:textId="77777777" w:rsidR="004E1EBD" w:rsidRPr="00D30BFF" w:rsidRDefault="004E1EBD" w:rsidP="004E1EBD">
            <w:pPr>
              <w:pStyle w:val="Tabletext"/>
              <w:rPr>
                <w:lang w:val="en-AU"/>
              </w:rPr>
            </w:pPr>
            <w:r w:rsidRPr="00D30BFF">
              <w:rPr>
                <w:lang w:val="en-AU"/>
              </w:rPr>
              <w:t>11. Sustainable Cities and Communities</w:t>
            </w:r>
          </w:p>
          <w:p w14:paraId="46C1CBB1" w14:textId="288E2BD6" w:rsidR="00CA0315" w:rsidRPr="00D30BFF" w:rsidRDefault="004E1EBD" w:rsidP="002D6BC2">
            <w:pPr>
              <w:pStyle w:val="Tabletext"/>
              <w:spacing w:after="360"/>
              <w:rPr>
                <w:lang w:val="en-AU"/>
              </w:rPr>
            </w:pPr>
            <w:r w:rsidRPr="00D30BFF">
              <w:rPr>
                <w:lang w:val="en-AU"/>
              </w:rPr>
              <w:lastRenderedPageBreak/>
              <w:t>12. Responsible Consumption and Production</w:t>
            </w:r>
          </w:p>
        </w:tc>
      </w:tr>
      <w:tr w:rsidR="00CA0315" w:rsidRPr="00D30BFF" w14:paraId="7658809E" w14:textId="77777777" w:rsidTr="004E1EBD">
        <w:tc>
          <w:tcPr>
            <w:tcW w:w="1214" w:type="pct"/>
          </w:tcPr>
          <w:p w14:paraId="604F7A7F" w14:textId="77777777" w:rsidR="000C3DAF" w:rsidRDefault="00CA0315" w:rsidP="00CA0315">
            <w:pPr>
              <w:pStyle w:val="Tabletext"/>
              <w:rPr>
                <w:b/>
                <w:bCs/>
                <w:lang w:val="en-AU"/>
              </w:rPr>
            </w:pPr>
            <w:r w:rsidRPr="00D30BFF">
              <w:rPr>
                <w:b/>
                <w:bCs/>
                <w:lang w:val="en-AU"/>
              </w:rPr>
              <w:lastRenderedPageBreak/>
              <w:t>Earth Resources</w:t>
            </w:r>
          </w:p>
          <w:p w14:paraId="67C40CF2" w14:textId="7D166C8E" w:rsidR="00CA0315" w:rsidRPr="00D30BFF" w:rsidRDefault="00CA0315" w:rsidP="00CA0315">
            <w:pPr>
              <w:pStyle w:val="Tabletext"/>
              <w:rPr>
                <w:lang w:val="en-AU"/>
              </w:rPr>
            </w:pPr>
            <w:r w:rsidRPr="00D30BFF">
              <w:rPr>
                <w:lang w:val="en-AU"/>
              </w:rPr>
              <w:t>Sustainable development of Victoria's earth resources</w:t>
            </w:r>
          </w:p>
        </w:tc>
        <w:tc>
          <w:tcPr>
            <w:tcW w:w="1803" w:type="pct"/>
          </w:tcPr>
          <w:p w14:paraId="67318750" w14:textId="103BF370" w:rsidR="00CA0315" w:rsidRPr="00D30BFF" w:rsidRDefault="004E1EBD" w:rsidP="00CA0315">
            <w:pPr>
              <w:pStyle w:val="Tabletext"/>
              <w:rPr>
                <w:lang w:val="en-AU"/>
              </w:rPr>
            </w:pPr>
            <w:r w:rsidRPr="00D30BFF">
              <w:rPr>
                <w:lang w:val="en-AU"/>
              </w:rPr>
              <w:t>12. Responsible Consumption and Production</w:t>
            </w:r>
          </w:p>
        </w:tc>
        <w:tc>
          <w:tcPr>
            <w:tcW w:w="1983" w:type="pct"/>
          </w:tcPr>
          <w:p w14:paraId="514BFBBE" w14:textId="77777777" w:rsidR="004E1EBD" w:rsidRPr="00D30BFF" w:rsidRDefault="004E1EBD" w:rsidP="004E1EBD">
            <w:pPr>
              <w:pStyle w:val="Tabletext"/>
              <w:rPr>
                <w:lang w:val="en-AU"/>
              </w:rPr>
            </w:pPr>
            <w:r w:rsidRPr="00D30BFF">
              <w:rPr>
                <w:lang w:val="en-AU"/>
              </w:rPr>
              <w:t>8. Decent Work and Economic Growth</w:t>
            </w:r>
          </w:p>
          <w:p w14:paraId="6B057B7E" w14:textId="77777777" w:rsidR="004E1EBD" w:rsidRPr="00D30BFF" w:rsidRDefault="004E1EBD" w:rsidP="004E1EBD">
            <w:pPr>
              <w:pStyle w:val="Tabletext"/>
              <w:rPr>
                <w:lang w:val="en-AU"/>
              </w:rPr>
            </w:pPr>
            <w:r w:rsidRPr="00D30BFF">
              <w:rPr>
                <w:lang w:val="en-AU"/>
              </w:rPr>
              <w:t>9. Industry, Innovation and Infrastructure</w:t>
            </w:r>
          </w:p>
          <w:p w14:paraId="7220FB60" w14:textId="4C5F77F3" w:rsidR="00CA0315" w:rsidRPr="00D30BFF" w:rsidRDefault="004E1EBD" w:rsidP="002D6BC2">
            <w:pPr>
              <w:pStyle w:val="Tabletext"/>
              <w:spacing w:after="240"/>
              <w:rPr>
                <w:lang w:val="en-AU"/>
              </w:rPr>
            </w:pPr>
            <w:r w:rsidRPr="00D30BFF">
              <w:rPr>
                <w:lang w:val="en-AU"/>
              </w:rPr>
              <w:t>16. Peace, Justice and Strong Institutions</w:t>
            </w:r>
          </w:p>
        </w:tc>
      </w:tr>
      <w:tr w:rsidR="00CA0315" w:rsidRPr="00D30BFF" w14:paraId="73CC01F0" w14:textId="77777777" w:rsidTr="004E1EBD">
        <w:tc>
          <w:tcPr>
            <w:tcW w:w="1214" w:type="pct"/>
          </w:tcPr>
          <w:p w14:paraId="2146D0D0" w14:textId="77777777" w:rsidR="00CA0315" w:rsidRPr="00D30BFF" w:rsidRDefault="00CA0315" w:rsidP="00CA0315">
            <w:pPr>
              <w:pStyle w:val="Tabletext"/>
              <w:rPr>
                <w:b/>
                <w:bCs/>
                <w:lang w:val="en-AU"/>
              </w:rPr>
            </w:pPr>
            <w:r w:rsidRPr="00D30BFF">
              <w:rPr>
                <w:b/>
                <w:bCs/>
                <w:lang w:val="en-AU"/>
              </w:rPr>
              <w:t>Emergency Management</w:t>
            </w:r>
          </w:p>
          <w:p w14:paraId="3C4B1912" w14:textId="34C584B2" w:rsidR="00CA0315" w:rsidRPr="00D30BFF" w:rsidRDefault="00CA0315" w:rsidP="002D6BC2">
            <w:pPr>
              <w:pStyle w:val="Tabletext"/>
              <w:spacing w:after="240"/>
              <w:rPr>
                <w:lang w:val="en-AU"/>
              </w:rPr>
            </w:pPr>
            <w:r w:rsidRPr="00D30BFF">
              <w:rPr>
                <w:lang w:val="en-AU"/>
              </w:rPr>
              <w:t>Reduce the impact of major bushfires and other emergencies on people, property and the environment</w:t>
            </w:r>
          </w:p>
        </w:tc>
        <w:tc>
          <w:tcPr>
            <w:tcW w:w="1803" w:type="pct"/>
          </w:tcPr>
          <w:p w14:paraId="7097DBC1" w14:textId="77777777" w:rsidR="004E1EBD" w:rsidRPr="00D30BFF" w:rsidRDefault="004E1EBD" w:rsidP="004E1EBD">
            <w:r w:rsidRPr="00D30BFF">
              <w:t>11. Sustainable Cities and Communities</w:t>
            </w:r>
          </w:p>
          <w:p w14:paraId="280DA221" w14:textId="77777777" w:rsidR="004E1EBD" w:rsidRPr="00D30BFF" w:rsidRDefault="004E1EBD" w:rsidP="004E1EBD">
            <w:pPr>
              <w:jc w:val="center"/>
            </w:pPr>
          </w:p>
        </w:tc>
        <w:tc>
          <w:tcPr>
            <w:tcW w:w="1983" w:type="pct"/>
          </w:tcPr>
          <w:p w14:paraId="71617205" w14:textId="77777777" w:rsidR="004E1EBD" w:rsidRPr="00D30BFF" w:rsidRDefault="004E1EBD" w:rsidP="004E1EBD">
            <w:pPr>
              <w:pStyle w:val="Tabletext"/>
              <w:rPr>
                <w:lang w:val="en-AU"/>
              </w:rPr>
            </w:pPr>
            <w:r w:rsidRPr="00D30BFF">
              <w:rPr>
                <w:lang w:val="en-AU"/>
              </w:rPr>
              <w:t>3. Good Health and Well-Being</w:t>
            </w:r>
          </w:p>
          <w:p w14:paraId="42601CE8" w14:textId="77777777" w:rsidR="004E1EBD" w:rsidRPr="00D30BFF" w:rsidRDefault="004E1EBD" w:rsidP="004E1EBD">
            <w:pPr>
              <w:pStyle w:val="Tabletext"/>
              <w:rPr>
                <w:lang w:val="en-AU"/>
              </w:rPr>
            </w:pPr>
            <w:r w:rsidRPr="00D30BFF">
              <w:rPr>
                <w:lang w:val="en-AU"/>
              </w:rPr>
              <w:t>8. Decent Work and Economic Growth</w:t>
            </w:r>
          </w:p>
          <w:p w14:paraId="7C41CA1E" w14:textId="77777777" w:rsidR="004E1EBD" w:rsidRPr="00D30BFF" w:rsidRDefault="004E1EBD" w:rsidP="004E1EBD">
            <w:pPr>
              <w:pStyle w:val="Tabletext"/>
              <w:rPr>
                <w:lang w:val="en-AU"/>
              </w:rPr>
            </w:pPr>
            <w:r w:rsidRPr="00D30BFF">
              <w:rPr>
                <w:lang w:val="en-AU"/>
              </w:rPr>
              <w:t>13. Climate Action</w:t>
            </w:r>
          </w:p>
          <w:p w14:paraId="2E11969E" w14:textId="02F3D8F0" w:rsidR="00CA0315" w:rsidRPr="00D30BFF" w:rsidRDefault="004E1EBD" w:rsidP="004E1EBD">
            <w:pPr>
              <w:pStyle w:val="Tabletext"/>
              <w:rPr>
                <w:lang w:val="en-AU"/>
              </w:rPr>
            </w:pPr>
            <w:r w:rsidRPr="00D30BFF">
              <w:rPr>
                <w:lang w:val="en-AU"/>
              </w:rPr>
              <w:t>15. Life on Land</w:t>
            </w:r>
          </w:p>
        </w:tc>
      </w:tr>
      <w:tr w:rsidR="00CA0315" w:rsidRPr="00D30BFF" w14:paraId="1A7DFC23" w14:textId="77777777" w:rsidTr="004E1EBD">
        <w:tc>
          <w:tcPr>
            <w:tcW w:w="1214" w:type="pct"/>
          </w:tcPr>
          <w:p w14:paraId="6E6D2713" w14:textId="77777777" w:rsidR="00CA0315" w:rsidRPr="00D30BFF" w:rsidRDefault="00CA0315" w:rsidP="00CA0315">
            <w:pPr>
              <w:pStyle w:val="Tabletext"/>
              <w:rPr>
                <w:b/>
                <w:bCs/>
                <w:lang w:val="en-AU"/>
              </w:rPr>
            </w:pPr>
            <w:r w:rsidRPr="00D30BFF">
              <w:rPr>
                <w:b/>
                <w:bCs/>
                <w:lang w:val="en-AU"/>
              </w:rPr>
              <w:t>Energy</w:t>
            </w:r>
          </w:p>
          <w:p w14:paraId="74734C85" w14:textId="6C80F6C4" w:rsidR="00CA0315" w:rsidRPr="00D30BFF" w:rsidRDefault="00CA0315" w:rsidP="00CA0315">
            <w:pPr>
              <w:pStyle w:val="Tabletext"/>
              <w:rPr>
                <w:lang w:val="en-AU"/>
              </w:rPr>
            </w:pPr>
            <w:r w:rsidRPr="00D30BFF">
              <w:rPr>
                <w:lang w:val="en-AU"/>
              </w:rPr>
              <w:t>Reliable, sustainable and affordable energy services</w:t>
            </w:r>
          </w:p>
        </w:tc>
        <w:tc>
          <w:tcPr>
            <w:tcW w:w="1803" w:type="pct"/>
          </w:tcPr>
          <w:p w14:paraId="064B7F95" w14:textId="22EF26B9" w:rsidR="00CA0315" w:rsidRPr="00D30BFF" w:rsidRDefault="004E1EBD" w:rsidP="004E1EBD">
            <w:r w:rsidRPr="00D30BFF">
              <w:t>7. Affordable and Clean Energy</w:t>
            </w:r>
          </w:p>
        </w:tc>
        <w:tc>
          <w:tcPr>
            <w:tcW w:w="1983" w:type="pct"/>
          </w:tcPr>
          <w:p w14:paraId="7F5D2E1F" w14:textId="77777777" w:rsidR="004E1EBD" w:rsidRPr="00D30BFF" w:rsidRDefault="004E1EBD" w:rsidP="004E1EBD">
            <w:pPr>
              <w:pStyle w:val="Tabletext"/>
              <w:rPr>
                <w:lang w:val="en-AU"/>
              </w:rPr>
            </w:pPr>
            <w:r w:rsidRPr="00D30BFF">
              <w:rPr>
                <w:lang w:val="en-AU"/>
              </w:rPr>
              <w:t>8. Decent Work and Economic Growth</w:t>
            </w:r>
          </w:p>
          <w:p w14:paraId="34BF52C6" w14:textId="77777777" w:rsidR="004E1EBD" w:rsidRPr="00D30BFF" w:rsidRDefault="004E1EBD" w:rsidP="004E1EBD">
            <w:pPr>
              <w:pStyle w:val="Tabletext"/>
              <w:rPr>
                <w:lang w:val="en-AU"/>
              </w:rPr>
            </w:pPr>
            <w:r w:rsidRPr="00D30BFF">
              <w:rPr>
                <w:lang w:val="en-AU"/>
              </w:rPr>
              <w:t>11. Sustainable Cities and Communities</w:t>
            </w:r>
          </w:p>
          <w:p w14:paraId="2AD744FB" w14:textId="77777777" w:rsidR="004E1EBD" w:rsidRPr="00D30BFF" w:rsidRDefault="004E1EBD" w:rsidP="004E1EBD">
            <w:pPr>
              <w:pStyle w:val="Tabletext"/>
              <w:rPr>
                <w:lang w:val="en-AU"/>
              </w:rPr>
            </w:pPr>
            <w:r w:rsidRPr="00D30BFF">
              <w:rPr>
                <w:lang w:val="en-AU"/>
              </w:rPr>
              <w:t>12. Responsible Consumption and Production</w:t>
            </w:r>
          </w:p>
          <w:p w14:paraId="196A34F3" w14:textId="1F7E1CDD" w:rsidR="00CA0315" w:rsidRPr="00D30BFF" w:rsidRDefault="004E1EBD" w:rsidP="002D6BC2">
            <w:pPr>
              <w:pStyle w:val="Tabletext"/>
              <w:spacing w:after="240"/>
              <w:rPr>
                <w:lang w:val="en-AU"/>
              </w:rPr>
            </w:pPr>
            <w:r w:rsidRPr="00D30BFF">
              <w:rPr>
                <w:lang w:val="en-AU"/>
              </w:rPr>
              <w:t>13. Climate Action</w:t>
            </w:r>
          </w:p>
        </w:tc>
      </w:tr>
      <w:tr w:rsidR="00CA0315" w:rsidRPr="00D30BFF" w14:paraId="33694BAA" w14:textId="77777777" w:rsidTr="004E1EBD">
        <w:tc>
          <w:tcPr>
            <w:tcW w:w="1214" w:type="pct"/>
          </w:tcPr>
          <w:p w14:paraId="356B6689" w14:textId="77777777" w:rsidR="00CA0315" w:rsidRPr="00D30BFF" w:rsidRDefault="00CA0315" w:rsidP="00CA0315">
            <w:pPr>
              <w:pStyle w:val="Tabletext"/>
              <w:rPr>
                <w:b/>
                <w:bCs/>
                <w:lang w:val="en-AU"/>
              </w:rPr>
            </w:pPr>
            <w:r w:rsidRPr="00D30BFF">
              <w:rPr>
                <w:b/>
                <w:bCs/>
                <w:lang w:val="en-AU"/>
              </w:rPr>
              <w:t>Environment and Circular Economy</w:t>
            </w:r>
          </w:p>
          <w:p w14:paraId="6E3E847B" w14:textId="744973E0" w:rsidR="00CA0315" w:rsidRPr="00D30BFF" w:rsidRDefault="00CA0315" w:rsidP="00CA0315">
            <w:pPr>
              <w:pStyle w:val="Tabletext"/>
              <w:rPr>
                <w:lang w:val="en-AU"/>
              </w:rPr>
            </w:pPr>
            <w:r w:rsidRPr="00D30BFF">
              <w:rPr>
                <w:lang w:val="en-AU"/>
              </w:rPr>
              <w:lastRenderedPageBreak/>
              <w:t>Healthy, resilient and biodiverse environment</w:t>
            </w:r>
          </w:p>
        </w:tc>
        <w:tc>
          <w:tcPr>
            <w:tcW w:w="1803" w:type="pct"/>
          </w:tcPr>
          <w:p w14:paraId="6F6D649B" w14:textId="13951538" w:rsidR="00CA0315" w:rsidRPr="00D30BFF" w:rsidRDefault="004E1EBD" w:rsidP="004E1EBD">
            <w:r w:rsidRPr="00D30BFF">
              <w:lastRenderedPageBreak/>
              <w:t>15. Life on Land</w:t>
            </w:r>
          </w:p>
        </w:tc>
        <w:tc>
          <w:tcPr>
            <w:tcW w:w="1983" w:type="pct"/>
          </w:tcPr>
          <w:p w14:paraId="769DD6EF" w14:textId="77777777" w:rsidR="004E1EBD" w:rsidRPr="00D30BFF" w:rsidRDefault="004E1EBD" w:rsidP="004E1EBD">
            <w:pPr>
              <w:pStyle w:val="Tabletext"/>
              <w:rPr>
                <w:lang w:val="en-AU"/>
              </w:rPr>
            </w:pPr>
            <w:r w:rsidRPr="00D30BFF">
              <w:rPr>
                <w:lang w:val="en-AU"/>
              </w:rPr>
              <w:t>3. Good Health and Well-Being</w:t>
            </w:r>
          </w:p>
          <w:p w14:paraId="204B9420" w14:textId="77777777" w:rsidR="004E1EBD" w:rsidRPr="00D30BFF" w:rsidRDefault="004E1EBD" w:rsidP="004E1EBD">
            <w:pPr>
              <w:pStyle w:val="Tabletext"/>
              <w:rPr>
                <w:lang w:val="en-AU"/>
              </w:rPr>
            </w:pPr>
            <w:r w:rsidRPr="00D30BFF">
              <w:rPr>
                <w:lang w:val="en-AU"/>
              </w:rPr>
              <w:t>6. Clean Water and Sanitation</w:t>
            </w:r>
          </w:p>
          <w:p w14:paraId="0E7E4880" w14:textId="77777777" w:rsidR="004E1EBD" w:rsidRPr="00D30BFF" w:rsidRDefault="004E1EBD" w:rsidP="004E1EBD">
            <w:pPr>
              <w:pStyle w:val="Tabletext"/>
              <w:rPr>
                <w:lang w:val="en-AU"/>
              </w:rPr>
            </w:pPr>
            <w:r w:rsidRPr="00D30BFF">
              <w:rPr>
                <w:lang w:val="en-AU"/>
              </w:rPr>
              <w:lastRenderedPageBreak/>
              <w:t>8. Decent Work and Economic Growth</w:t>
            </w:r>
          </w:p>
          <w:p w14:paraId="1DB004CF" w14:textId="77777777" w:rsidR="004E1EBD" w:rsidRPr="00D30BFF" w:rsidRDefault="004E1EBD" w:rsidP="004E1EBD">
            <w:pPr>
              <w:pStyle w:val="Tabletext"/>
              <w:rPr>
                <w:lang w:val="en-AU"/>
              </w:rPr>
            </w:pPr>
            <w:r w:rsidRPr="00D30BFF">
              <w:rPr>
                <w:lang w:val="en-AU"/>
              </w:rPr>
              <w:t>11. Sustainable Cities and Communities</w:t>
            </w:r>
          </w:p>
          <w:p w14:paraId="04B5366B" w14:textId="77777777" w:rsidR="004E1EBD" w:rsidRPr="00D30BFF" w:rsidRDefault="004E1EBD" w:rsidP="004E1EBD">
            <w:pPr>
              <w:pStyle w:val="Tabletext"/>
              <w:rPr>
                <w:lang w:val="en-AU"/>
              </w:rPr>
            </w:pPr>
            <w:r w:rsidRPr="00D30BFF">
              <w:rPr>
                <w:lang w:val="en-AU"/>
              </w:rPr>
              <w:t>12. Responsible Consumption and Production</w:t>
            </w:r>
          </w:p>
          <w:p w14:paraId="36F569B5" w14:textId="77777777" w:rsidR="004E1EBD" w:rsidRPr="00D30BFF" w:rsidRDefault="004E1EBD" w:rsidP="004E1EBD">
            <w:pPr>
              <w:pStyle w:val="Tabletext"/>
              <w:rPr>
                <w:lang w:val="en-AU"/>
              </w:rPr>
            </w:pPr>
            <w:r w:rsidRPr="00D30BFF">
              <w:rPr>
                <w:lang w:val="en-AU"/>
              </w:rPr>
              <w:t>13. Climate Action</w:t>
            </w:r>
          </w:p>
          <w:p w14:paraId="7FE51F7D" w14:textId="77777777" w:rsidR="004E1EBD" w:rsidRPr="00D30BFF" w:rsidRDefault="004E1EBD" w:rsidP="004E1EBD">
            <w:pPr>
              <w:pStyle w:val="Tabletext"/>
              <w:rPr>
                <w:lang w:val="en-AU"/>
              </w:rPr>
            </w:pPr>
            <w:r w:rsidRPr="00D30BFF">
              <w:rPr>
                <w:lang w:val="en-AU"/>
              </w:rPr>
              <w:t>14. Life Below Water</w:t>
            </w:r>
          </w:p>
          <w:p w14:paraId="52B98D29" w14:textId="13F5FD57" w:rsidR="00CA0315" w:rsidRPr="00D30BFF" w:rsidRDefault="004E1EBD" w:rsidP="002D6BC2">
            <w:pPr>
              <w:pStyle w:val="Tabletext"/>
              <w:spacing w:after="240"/>
              <w:rPr>
                <w:lang w:val="en-AU"/>
              </w:rPr>
            </w:pPr>
            <w:r w:rsidRPr="00D30BFF">
              <w:rPr>
                <w:lang w:val="en-AU"/>
              </w:rPr>
              <w:t>16. Peace, Justice and Strong Institutions</w:t>
            </w:r>
          </w:p>
        </w:tc>
      </w:tr>
      <w:tr w:rsidR="00CA0315" w:rsidRPr="00D30BFF" w14:paraId="47473B56" w14:textId="77777777" w:rsidTr="004E1EBD">
        <w:tc>
          <w:tcPr>
            <w:tcW w:w="1214" w:type="pct"/>
          </w:tcPr>
          <w:p w14:paraId="3E620954" w14:textId="77777777" w:rsidR="00CA0315" w:rsidRPr="00D30BFF" w:rsidRDefault="00CA0315" w:rsidP="00CA0315">
            <w:pPr>
              <w:pStyle w:val="Tabletext"/>
              <w:rPr>
                <w:b/>
                <w:bCs/>
                <w:lang w:val="en-AU"/>
              </w:rPr>
            </w:pPr>
            <w:r w:rsidRPr="00D30BFF">
              <w:rPr>
                <w:b/>
                <w:bCs/>
                <w:lang w:val="en-AU"/>
              </w:rPr>
              <w:lastRenderedPageBreak/>
              <w:t>Land Management</w:t>
            </w:r>
          </w:p>
          <w:p w14:paraId="69889691" w14:textId="520CB641" w:rsidR="00CA0315" w:rsidRPr="00D30BFF" w:rsidRDefault="00CA0315" w:rsidP="00CA0315">
            <w:pPr>
              <w:pStyle w:val="Tabletext"/>
              <w:rPr>
                <w:lang w:val="en-AU"/>
              </w:rPr>
            </w:pPr>
            <w:r w:rsidRPr="00D30BFF">
              <w:rPr>
                <w:lang w:val="en-AU"/>
              </w:rPr>
              <w:t>Productive and effective land management</w:t>
            </w:r>
          </w:p>
        </w:tc>
        <w:tc>
          <w:tcPr>
            <w:tcW w:w="1803" w:type="pct"/>
          </w:tcPr>
          <w:p w14:paraId="38052267" w14:textId="4140C10E" w:rsidR="00CA0315" w:rsidRPr="00D30BFF" w:rsidRDefault="004E1EBD" w:rsidP="00CA0315">
            <w:pPr>
              <w:pStyle w:val="Tabletext"/>
              <w:rPr>
                <w:lang w:val="en-AU"/>
              </w:rPr>
            </w:pPr>
            <w:r w:rsidRPr="00D30BFF">
              <w:rPr>
                <w:lang w:val="en-AU"/>
              </w:rPr>
              <w:t>11. Sustainable Cities and Communities</w:t>
            </w:r>
          </w:p>
        </w:tc>
        <w:tc>
          <w:tcPr>
            <w:tcW w:w="1983" w:type="pct"/>
          </w:tcPr>
          <w:p w14:paraId="6C0C9054" w14:textId="77777777" w:rsidR="004E1EBD" w:rsidRPr="00D30BFF" w:rsidRDefault="004E1EBD" w:rsidP="004E1EBD">
            <w:pPr>
              <w:pStyle w:val="Tabletext"/>
              <w:rPr>
                <w:lang w:val="en-AU"/>
              </w:rPr>
            </w:pPr>
            <w:r w:rsidRPr="00D30BFF">
              <w:rPr>
                <w:lang w:val="en-AU"/>
              </w:rPr>
              <w:t>6. Clean Water and Sanitation</w:t>
            </w:r>
          </w:p>
          <w:p w14:paraId="3909E7C5" w14:textId="77777777" w:rsidR="004E1EBD" w:rsidRPr="00D30BFF" w:rsidRDefault="004E1EBD" w:rsidP="004E1EBD">
            <w:pPr>
              <w:pStyle w:val="Tabletext"/>
              <w:rPr>
                <w:lang w:val="en-AU"/>
              </w:rPr>
            </w:pPr>
            <w:r w:rsidRPr="00D30BFF">
              <w:rPr>
                <w:lang w:val="en-AU"/>
              </w:rPr>
              <w:t>8. Decent Work and Economic Growth</w:t>
            </w:r>
          </w:p>
          <w:p w14:paraId="4C0D30C8" w14:textId="77777777" w:rsidR="004E1EBD" w:rsidRPr="00D30BFF" w:rsidRDefault="004E1EBD" w:rsidP="004E1EBD">
            <w:pPr>
              <w:pStyle w:val="Tabletext"/>
              <w:rPr>
                <w:lang w:val="en-AU"/>
              </w:rPr>
            </w:pPr>
            <w:r w:rsidRPr="00D30BFF">
              <w:rPr>
                <w:lang w:val="en-AU"/>
              </w:rPr>
              <w:t>10. Reduced Inequalities</w:t>
            </w:r>
          </w:p>
          <w:p w14:paraId="311535AF" w14:textId="77777777" w:rsidR="004E1EBD" w:rsidRPr="00D30BFF" w:rsidRDefault="004E1EBD" w:rsidP="004E1EBD">
            <w:pPr>
              <w:pStyle w:val="Tabletext"/>
              <w:rPr>
                <w:lang w:val="en-AU"/>
              </w:rPr>
            </w:pPr>
            <w:r w:rsidRPr="00D30BFF">
              <w:rPr>
                <w:lang w:val="en-AU"/>
              </w:rPr>
              <w:t>14. Life Below Water</w:t>
            </w:r>
          </w:p>
          <w:p w14:paraId="15B949ED" w14:textId="77777777" w:rsidR="004E1EBD" w:rsidRPr="00D30BFF" w:rsidRDefault="004E1EBD" w:rsidP="004E1EBD">
            <w:pPr>
              <w:pStyle w:val="Tabletext"/>
              <w:rPr>
                <w:lang w:val="en-AU"/>
              </w:rPr>
            </w:pPr>
            <w:r w:rsidRPr="00D30BFF">
              <w:rPr>
                <w:lang w:val="en-AU"/>
              </w:rPr>
              <w:t>15. Life on Land</w:t>
            </w:r>
          </w:p>
          <w:p w14:paraId="38058835" w14:textId="0055CA4A" w:rsidR="00CA0315" w:rsidRPr="00D30BFF" w:rsidRDefault="004E1EBD" w:rsidP="002D6BC2">
            <w:pPr>
              <w:pStyle w:val="Tabletext"/>
              <w:spacing w:after="240"/>
              <w:rPr>
                <w:lang w:val="en-AU"/>
              </w:rPr>
            </w:pPr>
            <w:r w:rsidRPr="00D30BFF">
              <w:rPr>
                <w:lang w:val="en-AU"/>
              </w:rPr>
              <w:t>16. Peace, Justice and Strong Institutions</w:t>
            </w:r>
          </w:p>
        </w:tc>
      </w:tr>
      <w:tr w:rsidR="00CA0315" w:rsidRPr="00D30BFF" w14:paraId="564B3CBA" w14:textId="77777777" w:rsidTr="004E1EBD">
        <w:tc>
          <w:tcPr>
            <w:tcW w:w="1214" w:type="pct"/>
          </w:tcPr>
          <w:p w14:paraId="7A68342A" w14:textId="77777777" w:rsidR="00CA0315" w:rsidRPr="00D30BFF" w:rsidRDefault="00CA0315" w:rsidP="00CA0315">
            <w:pPr>
              <w:pStyle w:val="Tabletext"/>
              <w:rPr>
                <w:b/>
                <w:bCs/>
                <w:lang w:val="en-AU"/>
              </w:rPr>
            </w:pPr>
            <w:r w:rsidRPr="00D30BFF">
              <w:rPr>
                <w:b/>
                <w:bCs/>
                <w:lang w:val="en-AU"/>
              </w:rPr>
              <w:t>Water</w:t>
            </w:r>
          </w:p>
          <w:p w14:paraId="65C68EFB" w14:textId="0AA61E9B" w:rsidR="00CA0315" w:rsidRPr="00D30BFF" w:rsidRDefault="00CA0315" w:rsidP="00CA0315">
            <w:pPr>
              <w:pStyle w:val="Tabletext"/>
              <w:rPr>
                <w:lang w:val="en-AU"/>
              </w:rPr>
            </w:pPr>
            <w:r w:rsidRPr="00D30BFF">
              <w:rPr>
                <w:lang w:val="en-AU"/>
              </w:rPr>
              <w:t>Safe, sustainable and productive water resources</w:t>
            </w:r>
          </w:p>
        </w:tc>
        <w:tc>
          <w:tcPr>
            <w:tcW w:w="1803" w:type="pct"/>
          </w:tcPr>
          <w:p w14:paraId="0D680E4D" w14:textId="76207888" w:rsidR="004E1EBD" w:rsidRPr="00D30BFF" w:rsidRDefault="004E1EBD" w:rsidP="004E1EBD">
            <w:r w:rsidRPr="00D30BFF">
              <w:t>6. Clean Water and Sanitation</w:t>
            </w:r>
          </w:p>
        </w:tc>
        <w:tc>
          <w:tcPr>
            <w:tcW w:w="1983" w:type="pct"/>
          </w:tcPr>
          <w:p w14:paraId="7F651B7B" w14:textId="77777777" w:rsidR="004E1EBD" w:rsidRPr="00D30BFF" w:rsidRDefault="004E1EBD" w:rsidP="004E1EBD">
            <w:pPr>
              <w:pStyle w:val="Tabletext"/>
              <w:rPr>
                <w:lang w:val="en-AU"/>
              </w:rPr>
            </w:pPr>
            <w:r w:rsidRPr="00D30BFF">
              <w:rPr>
                <w:lang w:val="en-AU"/>
              </w:rPr>
              <w:t>3. Good Health and Well-Being</w:t>
            </w:r>
          </w:p>
          <w:p w14:paraId="64DC4B12" w14:textId="77777777" w:rsidR="004E1EBD" w:rsidRPr="00D30BFF" w:rsidRDefault="004E1EBD" w:rsidP="004E1EBD">
            <w:pPr>
              <w:pStyle w:val="Tabletext"/>
              <w:rPr>
                <w:lang w:val="en-AU"/>
              </w:rPr>
            </w:pPr>
            <w:r w:rsidRPr="00D30BFF">
              <w:rPr>
                <w:lang w:val="en-AU"/>
              </w:rPr>
              <w:t>8. Decent Work and Economic Growth</w:t>
            </w:r>
          </w:p>
          <w:p w14:paraId="7238E873" w14:textId="77777777" w:rsidR="004E1EBD" w:rsidRPr="00D30BFF" w:rsidRDefault="004E1EBD" w:rsidP="004E1EBD">
            <w:pPr>
              <w:pStyle w:val="Tabletext"/>
              <w:rPr>
                <w:lang w:val="en-AU"/>
              </w:rPr>
            </w:pPr>
            <w:r w:rsidRPr="00D30BFF">
              <w:rPr>
                <w:lang w:val="en-AU"/>
              </w:rPr>
              <w:t>9. Industry, Innovation and Infrastructure</w:t>
            </w:r>
          </w:p>
          <w:p w14:paraId="0C3A67BC" w14:textId="77777777" w:rsidR="004E1EBD" w:rsidRPr="00D30BFF" w:rsidRDefault="004E1EBD" w:rsidP="004E1EBD">
            <w:pPr>
              <w:pStyle w:val="Tabletext"/>
              <w:rPr>
                <w:lang w:val="en-AU"/>
              </w:rPr>
            </w:pPr>
            <w:r w:rsidRPr="00D30BFF">
              <w:rPr>
                <w:lang w:val="en-AU"/>
              </w:rPr>
              <w:t>10. Reduced Inequalities</w:t>
            </w:r>
          </w:p>
          <w:p w14:paraId="37AA569D" w14:textId="77777777" w:rsidR="004E1EBD" w:rsidRPr="00D30BFF" w:rsidRDefault="004E1EBD" w:rsidP="004E1EBD">
            <w:pPr>
              <w:pStyle w:val="Tabletext"/>
              <w:rPr>
                <w:lang w:val="en-AU"/>
              </w:rPr>
            </w:pPr>
            <w:r w:rsidRPr="00D30BFF">
              <w:rPr>
                <w:lang w:val="en-AU"/>
              </w:rPr>
              <w:lastRenderedPageBreak/>
              <w:t>11. Sustainable Cities and Communities</w:t>
            </w:r>
          </w:p>
          <w:p w14:paraId="1CC98B2C" w14:textId="77777777" w:rsidR="004E1EBD" w:rsidRPr="00D30BFF" w:rsidRDefault="004E1EBD" w:rsidP="004E1EBD">
            <w:pPr>
              <w:pStyle w:val="Tabletext"/>
              <w:rPr>
                <w:lang w:val="en-AU"/>
              </w:rPr>
            </w:pPr>
            <w:r w:rsidRPr="00D30BFF">
              <w:rPr>
                <w:lang w:val="en-AU"/>
              </w:rPr>
              <w:t>12. Responsible Consumption and Production</w:t>
            </w:r>
          </w:p>
          <w:p w14:paraId="7AECCB0E" w14:textId="77777777" w:rsidR="004E1EBD" w:rsidRPr="00D30BFF" w:rsidRDefault="004E1EBD" w:rsidP="004E1EBD">
            <w:pPr>
              <w:pStyle w:val="Tabletext"/>
              <w:rPr>
                <w:lang w:val="en-AU"/>
              </w:rPr>
            </w:pPr>
            <w:r w:rsidRPr="00D30BFF">
              <w:rPr>
                <w:lang w:val="en-AU"/>
              </w:rPr>
              <w:t>13. Climate Action</w:t>
            </w:r>
          </w:p>
          <w:p w14:paraId="6936E181" w14:textId="77777777" w:rsidR="004E1EBD" w:rsidRPr="00D30BFF" w:rsidRDefault="004E1EBD" w:rsidP="004E1EBD">
            <w:pPr>
              <w:pStyle w:val="Tabletext"/>
              <w:rPr>
                <w:lang w:val="en-AU"/>
              </w:rPr>
            </w:pPr>
            <w:r w:rsidRPr="00D30BFF">
              <w:rPr>
                <w:lang w:val="en-AU"/>
              </w:rPr>
              <w:t>14. Life Below Water</w:t>
            </w:r>
          </w:p>
          <w:p w14:paraId="6BF94EA7" w14:textId="7975F0A5" w:rsidR="00CA0315" w:rsidRPr="00D30BFF" w:rsidRDefault="004E1EBD" w:rsidP="002D6BC2">
            <w:pPr>
              <w:pStyle w:val="Tabletext"/>
              <w:spacing w:after="240"/>
              <w:rPr>
                <w:lang w:val="en-AU"/>
              </w:rPr>
            </w:pPr>
            <w:r w:rsidRPr="00D30BFF">
              <w:rPr>
                <w:lang w:val="en-AU"/>
              </w:rPr>
              <w:t>16. Peace, Justice and Strong Institutions</w:t>
            </w:r>
          </w:p>
        </w:tc>
      </w:tr>
    </w:tbl>
    <w:p w14:paraId="0F8F3881" w14:textId="77777777" w:rsidR="004E1EBD" w:rsidRPr="00D30BFF" w:rsidRDefault="004E1EBD" w:rsidP="00EC37CF">
      <w:pPr>
        <w:pStyle w:val="BodyText"/>
        <w:rPr>
          <w:lang w:val="en-AU"/>
        </w:rPr>
        <w:sectPr w:rsidR="004E1EBD" w:rsidRPr="00D30BFF" w:rsidSect="004E1EBD">
          <w:pgSz w:w="16838" w:h="11906" w:orient="landscape"/>
          <w:pgMar w:top="1134" w:right="1134" w:bottom="1134" w:left="1134" w:header="720" w:footer="454" w:gutter="0"/>
          <w:cols w:space="720"/>
          <w:noEndnote/>
          <w:docGrid w:linePitch="326"/>
        </w:sectPr>
      </w:pPr>
    </w:p>
    <w:p w14:paraId="074AF291" w14:textId="7D5EFF11" w:rsidR="00CA0315" w:rsidRPr="00D30BFF" w:rsidRDefault="002D6BC2" w:rsidP="002D6BC2">
      <w:pPr>
        <w:pStyle w:val="Heading1"/>
        <w:rPr>
          <w:lang w:val="en-AU"/>
        </w:rPr>
      </w:pPr>
      <w:bookmarkStart w:id="11" w:name="_Toc207621362"/>
      <w:r w:rsidRPr="00D30BFF">
        <w:rPr>
          <w:lang w:val="en-AU"/>
        </w:rPr>
        <w:lastRenderedPageBreak/>
        <w:t>One-DEECA: This is our business</w:t>
      </w:r>
      <w:bookmarkEnd w:id="11"/>
    </w:p>
    <w:p w14:paraId="7CCE027F" w14:textId="77777777" w:rsidR="00DE1C04" w:rsidRPr="00D30BFF" w:rsidRDefault="00DE1C04" w:rsidP="00DE1C04">
      <w:pPr>
        <w:pStyle w:val="Heading2"/>
        <w:rPr>
          <w:rFonts w:eastAsiaTheme="minorEastAsia"/>
          <w:lang w:val="en-AU"/>
        </w:rPr>
      </w:pPr>
      <w:r w:rsidRPr="00D30BFF">
        <w:rPr>
          <w:rFonts w:eastAsiaTheme="minorEastAsia"/>
          <w:lang w:val="en-AU"/>
        </w:rPr>
        <w:t>Our vision</w:t>
      </w:r>
    </w:p>
    <w:p w14:paraId="0642B9E0" w14:textId="77777777" w:rsidR="00DE1C04" w:rsidRPr="00D30BFF" w:rsidRDefault="00DE1C04" w:rsidP="00DE1C04">
      <w:pPr>
        <w:pStyle w:val="BodyText"/>
        <w:rPr>
          <w:b/>
          <w:bCs/>
          <w:lang w:val="en-AU"/>
        </w:rPr>
      </w:pPr>
      <w:r w:rsidRPr="00D30BFF">
        <w:rPr>
          <w:lang w:val="en-AU"/>
        </w:rPr>
        <w:t>Thriving, productive and sustainable communities, environments and industries.</w:t>
      </w:r>
    </w:p>
    <w:p w14:paraId="042CBDE8" w14:textId="77777777" w:rsidR="000C3DAF" w:rsidRDefault="00DE1C04" w:rsidP="00DE1C04">
      <w:pPr>
        <w:pStyle w:val="Heading2"/>
        <w:rPr>
          <w:lang w:val="en-AU"/>
        </w:rPr>
      </w:pPr>
      <w:r w:rsidRPr="00D30BFF">
        <w:rPr>
          <w:lang w:val="en-AU"/>
        </w:rPr>
        <w:t>First Peoples Self Determination</w:t>
      </w:r>
    </w:p>
    <w:p w14:paraId="0E8DA08A" w14:textId="641B3E2A" w:rsidR="00DE1C04" w:rsidRPr="00D30BFF" w:rsidRDefault="00DE1C04" w:rsidP="00DE1C04">
      <w:pPr>
        <w:pStyle w:val="BodyText"/>
        <w:spacing w:after="120"/>
        <w:ind w:right="-427"/>
        <w:rPr>
          <w:lang w:val="en-AU"/>
        </w:rPr>
      </w:pPr>
      <w:r w:rsidRPr="00D30BFF">
        <w:rPr>
          <w:lang w:val="en-AU"/>
        </w:rPr>
        <w:t>Portfolio priorities are informed by DEECA’s commitment to our eight Outcomes and Pupangarli Marnmarnepu ‘Owning our Future’ Aboriginal Self</w:t>
      </w:r>
      <w:r w:rsidRPr="00D30BFF">
        <w:rPr>
          <w:rFonts w:ascii="Cambria Math" w:hAnsi="Cambria Math" w:cs="Cambria Math"/>
          <w:lang w:val="en-AU"/>
        </w:rPr>
        <w:t>‑</w:t>
      </w:r>
      <w:r w:rsidRPr="00D30BFF">
        <w:rPr>
          <w:lang w:val="en-AU"/>
        </w:rPr>
        <w:t>Determination Strategy 2020–26.</w:t>
      </w:r>
    </w:p>
    <w:p w14:paraId="6A549862" w14:textId="77777777" w:rsidR="00DE1C04" w:rsidRPr="00D30BFF" w:rsidRDefault="00DE1C04" w:rsidP="00DE1C04">
      <w:pPr>
        <w:pStyle w:val="Heading2"/>
        <w:rPr>
          <w:lang w:val="en-AU"/>
        </w:rPr>
      </w:pPr>
      <w:r w:rsidRPr="00D30BFF">
        <w:rPr>
          <w:lang w:val="en-AU"/>
        </w:rPr>
        <w:t>Supporting priorities</w:t>
      </w:r>
    </w:p>
    <w:p w14:paraId="4A66E807" w14:textId="77777777" w:rsidR="00DE1C04" w:rsidRPr="00D30BFF" w:rsidRDefault="00DE1C04" w:rsidP="00DE1C04">
      <w:pPr>
        <w:pStyle w:val="ListBullet"/>
        <w:spacing w:line="360" w:lineRule="auto"/>
        <w:rPr>
          <w:lang w:val="en-AU"/>
        </w:rPr>
      </w:pPr>
      <w:r w:rsidRPr="00D30BFF">
        <w:rPr>
          <w:lang w:val="en-AU"/>
        </w:rPr>
        <w:t>Drive informed, evidence-based decision making</w:t>
      </w:r>
    </w:p>
    <w:p w14:paraId="68E03B1E" w14:textId="77777777" w:rsidR="00DE1C04" w:rsidRPr="00D30BFF" w:rsidRDefault="00DE1C04" w:rsidP="00DE1C04">
      <w:pPr>
        <w:pStyle w:val="ListBullet"/>
        <w:spacing w:line="360" w:lineRule="auto"/>
        <w:rPr>
          <w:lang w:val="en-AU"/>
        </w:rPr>
      </w:pPr>
      <w:r w:rsidRPr="00D30BFF">
        <w:rPr>
          <w:lang w:val="en-AU"/>
        </w:rPr>
        <w:t>Prioritise process improvement</w:t>
      </w:r>
    </w:p>
    <w:p w14:paraId="5AE92B0F" w14:textId="77777777" w:rsidR="000C3DAF" w:rsidRDefault="00DE1C04" w:rsidP="00DE1C04">
      <w:pPr>
        <w:pStyle w:val="ListBullet"/>
        <w:spacing w:line="360" w:lineRule="auto"/>
        <w:rPr>
          <w:lang w:val="en-AU"/>
        </w:rPr>
      </w:pPr>
      <w:r w:rsidRPr="00D30BFF">
        <w:rPr>
          <w:lang w:val="en-AU"/>
        </w:rPr>
        <w:t>Deliver strategic leadership</w:t>
      </w:r>
    </w:p>
    <w:p w14:paraId="6FF7A33B" w14:textId="437E2F4B" w:rsidR="00DE1C04" w:rsidRPr="00D30BFF" w:rsidRDefault="00DE1C04" w:rsidP="00DE1C04">
      <w:pPr>
        <w:pStyle w:val="ListBullet"/>
        <w:spacing w:line="360" w:lineRule="auto"/>
        <w:rPr>
          <w:lang w:val="en-AU"/>
        </w:rPr>
      </w:pPr>
      <w:r w:rsidRPr="00D30BFF">
        <w:rPr>
          <w:lang w:val="en-AU"/>
        </w:rPr>
        <w:t>Leverage technology and digital solutions</w:t>
      </w:r>
    </w:p>
    <w:p w14:paraId="0A3DF610" w14:textId="77777777" w:rsidR="00DE1C04" w:rsidRPr="00D30BFF" w:rsidRDefault="00DE1C04" w:rsidP="00DE1C04">
      <w:pPr>
        <w:pStyle w:val="LastBulletinList"/>
        <w:rPr>
          <w:lang w:val="en-AU"/>
        </w:rPr>
      </w:pPr>
      <w:r w:rsidRPr="00D30BFF">
        <w:rPr>
          <w:lang w:val="en-AU"/>
        </w:rPr>
        <w:t>Support a strong, inclusive and high performing workforce</w:t>
      </w:r>
    </w:p>
    <w:p w14:paraId="06157F62" w14:textId="77777777" w:rsidR="00DE1C04" w:rsidRPr="00D30BFF" w:rsidRDefault="00DE1C04" w:rsidP="00DE1C04">
      <w:pPr>
        <w:pStyle w:val="Heading2"/>
        <w:rPr>
          <w:lang w:val="en-AU"/>
        </w:rPr>
      </w:pPr>
      <w:r w:rsidRPr="00D30BFF">
        <w:rPr>
          <w:lang w:val="en-AU"/>
        </w:rPr>
        <w:t>Our outcomes:</w:t>
      </w:r>
    </w:p>
    <w:p w14:paraId="48F636BA" w14:textId="77777777" w:rsidR="000C3DAF" w:rsidRDefault="00DE1C04" w:rsidP="00DE1C04">
      <w:pPr>
        <w:pStyle w:val="Heading3"/>
        <w:rPr>
          <w:lang w:val="en-AU"/>
        </w:rPr>
      </w:pPr>
      <w:r w:rsidRPr="00D30BFF">
        <w:rPr>
          <w:lang w:val="en-AU"/>
        </w:rPr>
        <w:t>Agriculture and Forestry</w:t>
      </w:r>
    </w:p>
    <w:p w14:paraId="6DAB842A" w14:textId="3E25BDFC" w:rsidR="00DE1C04" w:rsidRPr="00D30BFF" w:rsidRDefault="00DE1C04" w:rsidP="00DE1C04">
      <w:pPr>
        <w:pStyle w:val="Heading4"/>
        <w:rPr>
          <w:rFonts w:eastAsiaTheme="minorEastAsia"/>
        </w:rPr>
      </w:pPr>
      <w:r w:rsidRPr="00D30BFF">
        <w:rPr>
          <w:rFonts w:eastAsiaTheme="minorEastAsia"/>
        </w:rPr>
        <w:t>Productive and sustainably used natural resources</w:t>
      </w:r>
    </w:p>
    <w:p w14:paraId="67FA35F2" w14:textId="77777777" w:rsidR="00DE1C04" w:rsidRPr="00D30BFF" w:rsidRDefault="00DE1C04" w:rsidP="00DE1C04">
      <w:pPr>
        <w:pStyle w:val="Heading4"/>
      </w:pPr>
      <w:r w:rsidRPr="00D30BFF">
        <w:t>To succeed, we must:</w:t>
      </w:r>
    </w:p>
    <w:p w14:paraId="5C897474" w14:textId="77777777" w:rsidR="000C3DAF" w:rsidRDefault="00DE1C04" w:rsidP="00DE1C04">
      <w:pPr>
        <w:pStyle w:val="ListBullet"/>
        <w:rPr>
          <w:lang w:val="en-AU"/>
        </w:rPr>
      </w:pPr>
      <w:r w:rsidRPr="00D30BFF">
        <w:rPr>
          <w:lang w:val="en-AU"/>
        </w:rPr>
        <w:t>Advance the prominence and growth of the agriculture sector by supporting primary producers with sustainable agribusiness initiatives</w:t>
      </w:r>
    </w:p>
    <w:p w14:paraId="2445C667" w14:textId="77777777" w:rsidR="000C3DAF" w:rsidRDefault="00DE1C04" w:rsidP="00DE1C04">
      <w:pPr>
        <w:pStyle w:val="ListBullet"/>
        <w:rPr>
          <w:lang w:val="en-AU"/>
        </w:rPr>
      </w:pPr>
      <w:r w:rsidRPr="00D30BFF">
        <w:rPr>
          <w:lang w:val="en-AU"/>
        </w:rPr>
        <w:t>Increase innovation to meet future production, climate, biosecurity, market access and workforce challenges within agriculture</w:t>
      </w:r>
    </w:p>
    <w:p w14:paraId="5E8E77A1" w14:textId="77777777" w:rsidR="000C3DAF" w:rsidRDefault="00DE1C04" w:rsidP="00DE1C04">
      <w:pPr>
        <w:pStyle w:val="ListBullet"/>
        <w:rPr>
          <w:lang w:val="en-AU"/>
        </w:rPr>
      </w:pPr>
      <w:r w:rsidRPr="00D30BFF">
        <w:rPr>
          <w:lang w:val="en-AU"/>
        </w:rPr>
        <w:lastRenderedPageBreak/>
        <w:t>Expand and develop the economic potential of the agriculture sector while managing biosecurity, animal welfare and other risks, and minimising adverse impacts to the environment and public health</w:t>
      </w:r>
    </w:p>
    <w:p w14:paraId="14579E39" w14:textId="23D93337" w:rsidR="00DE1C04" w:rsidRPr="00D30BFF" w:rsidRDefault="00DE1C04" w:rsidP="00DE1C04">
      <w:pPr>
        <w:pStyle w:val="ListBullet"/>
        <w:rPr>
          <w:lang w:val="en-AU"/>
        </w:rPr>
      </w:pPr>
      <w:r w:rsidRPr="00D30BFF">
        <w:rPr>
          <w:lang w:val="en-AU"/>
        </w:rPr>
        <w:t>Manage the transition away from native timber harvesting, supporting timber communities and timber industry businesses and workers</w:t>
      </w:r>
    </w:p>
    <w:p w14:paraId="005D9B0C" w14:textId="77777777" w:rsidR="00DE1C04" w:rsidRPr="00D30BFF" w:rsidRDefault="00DE1C04" w:rsidP="00DE1C04">
      <w:pPr>
        <w:pStyle w:val="Heading4"/>
      </w:pPr>
      <w:r w:rsidRPr="00D30BFF">
        <w:t>Success in 2025–26 looks like:</w:t>
      </w:r>
    </w:p>
    <w:p w14:paraId="2211C087" w14:textId="77777777" w:rsidR="00DE1C04" w:rsidRPr="00D30BFF" w:rsidRDefault="00DE1C04" w:rsidP="00DE1C04">
      <w:pPr>
        <w:pStyle w:val="ListBullet"/>
        <w:rPr>
          <w:lang w:val="en-AU"/>
        </w:rPr>
      </w:pPr>
      <w:r w:rsidRPr="00D30BFF">
        <w:rPr>
          <w:lang w:val="en-AU"/>
        </w:rPr>
        <w:t>2,000,000 trees planted under the Gippsland Plantation Investment Program to ensure a long-term and sustainable plantation timber industry</w:t>
      </w:r>
    </w:p>
    <w:p w14:paraId="2DE3F4F1" w14:textId="77777777" w:rsidR="000C3DAF" w:rsidRDefault="00DE1C04" w:rsidP="00DE1C04">
      <w:pPr>
        <w:pStyle w:val="ListBullet"/>
        <w:rPr>
          <w:lang w:val="en-AU"/>
        </w:rPr>
      </w:pPr>
      <w:r w:rsidRPr="00D30BFF">
        <w:rPr>
          <w:lang w:val="en-AU"/>
        </w:rPr>
        <w:t>90% of preparedness activities implemented, in line with agreed plans, to ensure response readiness for emergency animal and plant pest, disease and natural disaster incidents</w:t>
      </w:r>
    </w:p>
    <w:p w14:paraId="1D527829" w14:textId="77777777" w:rsidR="000C3DAF" w:rsidRDefault="00DE1C04" w:rsidP="00DE1C04">
      <w:pPr>
        <w:pStyle w:val="LastBulletinList"/>
        <w:ind w:right="-143"/>
        <w:rPr>
          <w:lang w:val="en-AU"/>
        </w:rPr>
      </w:pPr>
      <w:r w:rsidRPr="00D30BFF">
        <w:rPr>
          <w:lang w:val="en-AU"/>
        </w:rPr>
        <w:t>50% ratio of external funds co</w:t>
      </w:r>
      <w:r w:rsidRPr="00D30BFF">
        <w:rPr>
          <w:rFonts w:ascii="Cambria Math" w:hAnsi="Cambria Math" w:cs="Cambria Math"/>
          <w:lang w:val="en-AU"/>
        </w:rPr>
        <w:t>‑</w:t>
      </w:r>
      <w:r w:rsidRPr="00D30BFF">
        <w:rPr>
          <w:lang w:val="en-AU"/>
        </w:rPr>
        <w:t>invested in agriculture research and development projects</w:t>
      </w:r>
    </w:p>
    <w:p w14:paraId="308099F9" w14:textId="77777777" w:rsidR="000C3DAF" w:rsidRDefault="00DE1C04" w:rsidP="00DE1C04">
      <w:pPr>
        <w:pStyle w:val="Heading3"/>
        <w:rPr>
          <w:lang w:val="en-AU"/>
        </w:rPr>
      </w:pPr>
      <w:r w:rsidRPr="00D30BFF">
        <w:rPr>
          <w:lang w:val="en-AU"/>
        </w:rPr>
        <w:t>Climate Action</w:t>
      </w:r>
    </w:p>
    <w:p w14:paraId="33A50104" w14:textId="7FD88559" w:rsidR="00DE1C04" w:rsidRPr="00D30BFF" w:rsidRDefault="00DE1C04" w:rsidP="00DE1C04">
      <w:pPr>
        <w:pStyle w:val="BodyText"/>
        <w:spacing w:after="0"/>
        <w:rPr>
          <w:b/>
          <w:bCs/>
          <w:lang w:val="en-AU"/>
        </w:rPr>
      </w:pPr>
      <w:r w:rsidRPr="00D30BFF">
        <w:rPr>
          <w:b/>
          <w:bCs/>
          <w:lang w:val="en-AU"/>
        </w:rPr>
        <w:t>Net-zero emissions, climate-ready economy and community</w:t>
      </w:r>
    </w:p>
    <w:p w14:paraId="5C24B4DE" w14:textId="77777777" w:rsidR="00DE1C04" w:rsidRPr="00D30BFF" w:rsidRDefault="00DE1C04" w:rsidP="00DE1C04">
      <w:pPr>
        <w:pStyle w:val="Heading4"/>
      </w:pPr>
      <w:r w:rsidRPr="00D30BFF">
        <w:t>To succeed, we must:</w:t>
      </w:r>
    </w:p>
    <w:p w14:paraId="1AF65E3C" w14:textId="77777777" w:rsidR="000C3DAF" w:rsidRDefault="00DE1C04" w:rsidP="00DE1C04">
      <w:pPr>
        <w:pStyle w:val="ListBullet"/>
        <w:rPr>
          <w:lang w:val="en-AU"/>
        </w:rPr>
      </w:pPr>
      <w:r w:rsidRPr="00D30BFF">
        <w:rPr>
          <w:lang w:val="en-AU"/>
        </w:rPr>
        <w:t>Reduce greenhouse gas emissions</w:t>
      </w:r>
    </w:p>
    <w:p w14:paraId="12CD12C8" w14:textId="509FBBD9" w:rsidR="00DE1C04" w:rsidRPr="00D30BFF" w:rsidRDefault="00DE1C04" w:rsidP="00DE1C04">
      <w:pPr>
        <w:pStyle w:val="LastBulletinList"/>
        <w:rPr>
          <w:b/>
          <w:bCs/>
          <w:lang w:val="en-AU"/>
        </w:rPr>
      </w:pPr>
      <w:r w:rsidRPr="00D30BFF">
        <w:rPr>
          <w:lang w:val="en-AU"/>
        </w:rPr>
        <w:t>Strengthen community and government resilience to climate change hazards</w:t>
      </w:r>
    </w:p>
    <w:p w14:paraId="60563ADA" w14:textId="77777777" w:rsidR="00DE1C04" w:rsidRPr="00D30BFF" w:rsidRDefault="00DE1C04" w:rsidP="00DE1C04">
      <w:pPr>
        <w:pStyle w:val="Heading4"/>
      </w:pPr>
      <w:r w:rsidRPr="00D30BFF">
        <w:t>Success in 2025–26 looks like:</w:t>
      </w:r>
    </w:p>
    <w:p w14:paraId="671C9FE0" w14:textId="77777777" w:rsidR="00DE1C04" w:rsidRPr="00D30BFF" w:rsidRDefault="00DE1C04" w:rsidP="00DE1C04">
      <w:pPr>
        <w:pStyle w:val="ListBullet"/>
        <w:rPr>
          <w:lang w:val="en-AU"/>
        </w:rPr>
      </w:pPr>
      <w:r w:rsidRPr="00D30BFF">
        <w:rPr>
          <w:lang w:val="en-AU"/>
        </w:rPr>
        <w:t xml:space="preserve">8.5 million kWh saved by Victorian schools participating in the </w:t>
      </w:r>
      <w:proofErr w:type="spellStart"/>
      <w:r w:rsidRPr="00D30BFF">
        <w:rPr>
          <w:lang w:val="en-AU"/>
        </w:rPr>
        <w:t>ResourceSmart</w:t>
      </w:r>
      <w:proofErr w:type="spellEnd"/>
      <w:r w:rsidRPr="00D30BFF">
        <w:rPr>
          <w:lang w:val="en-AU"/>
        </w:rPr>
        <w:t xml:space="preserve"> Schools program managed by Sustainability Victoria</w:t>
      </w:r>
    </w:p>
    <w:p w14:paraId="502E36AE" w14:textId="77777777" w:rsidR="00DE1C04" w:rsidRPr="00D30BFF" w:rsidRDefault="00DE1C04" w:rsidP="00DE1C04">
      <w:pPr>
        <w:pStyle w:val="ListBullet"/>
        <w:rPr>
          <w:lang w:val="en-AU"/>
        </w:rPr>
      </w:pPr>
      <w:r w:rsidRPr="00D30BFF">
        <w:rPr>
          <w:lang w:val="en-AU"/>
        </w:rPr>
        <w:t>100% of statutory outputs under the Climate Action Act 2017 delivered on time</w:t>
      </w:r>
    </w:p>
    <w:p w14:paraId="17F4970B" w14:textId="77777777" w:rsidR="00DE1C04" w:rsidRPr="00D30BFF" w:rsidRDefault="00DE1C04" w:rsidP="00DE1C04">
      <w:pPr>
        <w:pStyle w:val="ListBullet"/>
        <w:rPr>
          <w:lang w:val="en-AU"/>
        </w:rPr>
      </w:pPr>
      <w:r w:rsidRPr="00D30BFF">
        <w:rPr>
          <w:lang w:val="en-AU"/>
        </w:rPr>
        <w:t>On track for 28-33% reduction in Victoria’s emissions by 2025</w:t>
      </w:r>
    </w:p>
    <w:p w14:paraId="5AACEEC2" w14:textId="77777777" w:rsidR="000C3DAF" w:rsidRDefault="00DE1C04" w:rsidP="00DE1C04">
      <w:pPr>
        <w:pStyle w:val="Heading3"/>
        <w:rPr>
          <w:lang w:val="en-AU"/>
        </w:rPr>
      </w:pPr>
      <w:r w:rsidRPr="00D30BFF">
        <w:rPr>
          <w:lang w:val="en-AU"/>
        </w:rPr>
        <w:lastRenderedPageBreak/>
        <w:t>Earth Resources</w:t>
      </w:r>
    </w:p>
    <w:p w14:paraId="1B338197" w14:textId="6B96174C" w:rsidR="00DE1C04" w:rsidRPr="00D30BFF" w:rsidRDefault="00DE1C04" w:rsidP="00DE1C04">
      <w:pPr>
        <w:pStyle w:val="BodyText"/>
        <w:spacing w:after="0"/>
        <w:rPr>
          <w:b/>
          <w:bCs/>
          <w:lang w:val="en-AU"/>
        </w:rPr>
      </w:pPr>
      <w:r w:rsidRPr="00D30BFF">
        <w:rPr>
          <w:b/>
          <w:bCs/>
          <w:lang w:val="en-AU"/>
        </w:rPr>
        <w:t>Sustainable development of Victoria’s earth resources</w:t>
      </w:r>
    </w:p>
    <w:p w14:paraId="21FF3B4D" w14:textId="77777777" w:rsidR="00DE1C04" w:rsidRPr="00D30BFF" w:rsidRDefault="00DE1C04" w:rsidP="00DE1C04">
      <w:pPr>
        <w:pStyle w:val="Heading4"/>
      </w:pPr>
      <w:r w:rsidRPr="00D30BFF">
        <w:t>To succeed, we must:</w:t>
      </w:r>
    </w:p>
    <w:p w14:paraId="2103D8AC" w14:textId="77777777" w:rsidR="000C3DAF" w:rsidRDefault="00DE1C04" w:rsidP="00DE1C04">
      <w:pPr>
        <w:pStyle w:val="ListBullet"/>
        <w:rPr>
          <w:lang w:val="en-AU"/>
        </w:rPr>
      </w:pPr>
      <w:r w:rsidRPr="00D30BFF">
        <w:rPr>
          <w:lang w:val="en-AU"/>
        </w:rPr>
        <w:t>Increase investment in Victoria’s earth resources, including new critical minerals required to support decarbonisation and develop value-adding industries</w:t>
      </w:r>
    </w:p>
    <w:p w14:paraId="309E0D12" w14:textId="37505CC6" w:rsidR="00DE1C04" w:rsidRPr="00D30BFF" w:rsidRDefault="00DE1C04" w:rsidP="00DE1C04">
      <w:pPr>
        <w:pStyle w:val="ListBullet"/>
        <w:rPr>
          <w:lang w:val="en-AU"/>
        </w:rPr>
      </w:pPr>
      <w:r w:rsidRPr="00D30BFF">
        <w:rPr>
          <w:lang w:val="en-AU"/>
        </w:rPr>
        <w:t>Build confidence in the performance of the earth resources sector in Victoria and its regulation</w:t>
      </w:r>
    </w:p>
    <w:p w14:paraId="3A68453B" w14:textId="77777777" w:rsidR="00DE1C04" w:rsidRPr="00D30BFF" w:rsidRDefault="00DE1C04" w:rsidP="00DE1C04">
      <w:pPr>
        <w:pStyle w:val="ListBullet"/>
        <w:rPr>
          <w:lang w:val="en-AU"/>
        </w:rPr>
      </w:pPr>
      <w:r w:rsidRPr="00D30BFF">
        <w:rPr>
          <w:lang w:val="en-AU"/>
        </w:rPr>
        <w:t>Secure the supply of quarry materials essential for new infrastructure and construction</w:t>
      </w:r>
    </w:p>
    <w:p w14:paraId="4D34AC2B" w14:textId="77777777" w:rsidR="00DE1C04" w:rsidRPr="00D30BFF" w:rsidRDefault="00DE1C04" w:rsidP="00DE1C04">
      <w:pPr>
        <w:pStyle w:val="Heading4"/>
      </w:pPr>
      <w:r w:rsidRPr="00D30BFF">
        <w:t>Success in 2025–26 looks like:</w:t>
      </w:r>
    </w:p>
    <w:p w14:paraId="78BDCF40" w14:textId="77777777" w:rsidR="00DE1C04" w:rsidRPr="00D30BFF" w:rsidRDefault="00DE1C04" w:rsidP="00DE1C04">
      <w:pPr>
        <w:pStyle w:val="ListBullet"/>
        <w:rPr>
          <w:lang w:val="en-AU"/>
        </w:rPr>
      </w:pPr>
      <w:r w:rsidRPr="00D30BFF">
        <w:rPr>
          <w:lang w:val="en-AU"/>
        </w:rPr>
        <w:t>At least 80 million tonnes of new quarry resources approved for extraction in 2025-26</w:t>
      </w:r>
    </w:p>
    <w:p w14:paraId="24C4BE17" w14:textId="77777777" w:rsidR="00DE1C04" w:rsidRPr="00D30BFF" w:rsidRDefault="00DE1C04" w:rsidP="00DE1C04">
      <w:pPr>
        <w:pStyle w:val="ListBullet"/>
        <w:rPr>
          <w:lang w:val="en-AU"/>
        </w:rPr>
      </w:pPr>
      <w:r w:rsidRPr="00D30BFF">
        <w:rPr>
          <w:lang w:val="en-AU"/>
        </w:rPr>
        <w:t>95% of mineral license applications and work plans processed within regulatory timeframes in 2025-26</w:t>
      </w:r>
    </w:p>
    <w:p w14:paraId="2ABD4B27" w14:textId="77777777" w:rsidR="00DE1C04" w:rsidRPr="00D30BFF" w:rsidRDefault="00DE1C04" w:rsidP="00DE1C04">
      <w:pPr>
        <w:pStyle w:val="LastBulletinList"/>
        <w:rPr>
          <w:lang w:val="en-AU"/>
        </w:rPr>
      </w:pPr>
      <w:r w:rsidRPr="00D30BFF">
        <w:rPr>
          <w:lang w:val="en-AU"/>
        </w:rPr>
        <w:t>10 Geoscience data packages released in 2025-26 to promote earth resource opportunities across the State</w:t>
      </w:r>
    </w:p>
    <w:p w14:paraId="3AF8E5FE" w14:textId="77777777" w:rsidR="00DE1C04" w:rsidRPr="00D30BFF" w:rsidRDefault="00DE1C04" w:rsidP="00DE1C04">
      <w:pPr>
        <w:pStyle w:val="Heading3"/>
        <w:rPr>
          <w:lang w:val="en-AU"/>
        </w:rPr>
      </w:pPr>
      <w:r w:rsidRPr="00D30BFF">
        <w:rPr>
          <w:lang w:val="en-AU"/>
        </w:rPr>
        <w:t>Emergency Management</w:t>
      </w:r>
    </w:p>
    <w:p w14:paraId="799C1E68" w14:textId="77777777" w:rsidR="00DE1C04" w:rsidRPr="00D30BFF" w:rsidRDefault="00DE1C04" w:rsidP="00DE1C04">
      <w:pPr>
        <w:pStyle w:val="BodyText"/>
        <w:spacing w:after="0"/>
        <w:rPr>
          <w:b/>
          <w:bCs/>
          <w:lang w:val="en-AU"/>
        </w:rPr>
      </w:pPr>
      <w:r w:rsidRPr="00D30BFF">
        <w:rPr>
          <w:b/>
          <w:bCs/>
          <w:lang w:val="en-AU"/>
        </w:rPr>
        <w:t>Reduced impact of major bushfires and other emergencies</w:t>
      </w:r>
    </w:p>
    <w:p w14:paraId="75477384" w14:textId="77777777" w:rsidR="00DE1C04" w:rsidRPr="00D30BFF" w:rsidRDefault="00DE1C04" w:rsidP="00DE1C04">
      <w:pPr>
        <w:pStyle w:val="Heading4"/>
      </w:pPr>
      <w:r w:rsidRPr="00D30BFF">
        <w:t>To succeed, we must:</w:t>
      </w:r>
    </w:p>
    <w:p w14:paraId="1842402E" w14:textId="77777777" w:rsidR="000C3DAF" w:rsidRDefault="00DE1C04" w:rsidP="00DE1C04">
      <w:pPr>
        <w:pStyle w:val="ListBullet"/>
        <w:rPr>
          <w:lang w:val="en-AU"/>
        </w:rPr>
      </w:pPr>
      <w:r w:rsidRPr="00D30BFF">
        <w:rPr>
          <w:lang w:val="en-AU"/>
        </w:rPr>
        <w:t>Increase the level of preparedness for bushfires and other emergencies</w:t>
      </w:r>
    </w:p>
    <w:p w14:paraId="11791EEB" w14:textId="77777777" w:rsidR="000C3DAF" w:rsidRDefault="00DE1C04" w:rsidP="00DE1C04">
      <w:pPr>
        <w:pStyle w:val="ListBullet"/>
        <w:rPr>
          <w:lang w:val="en-AU"/>
        </w:rPr>
      </w:pPr>
      <w:r w:rsidRPr="00D30BFF">
        <w:rPr>
          <w:lang w:val="en-AU"/>
        </w:rPr>
        <w:t>Increase community understanding of potential risks and impacts of bushfires and other emergencies</w:t>
      </w:r>
    </w:p>
    <w:p w14:paraId="0577007C" w14:textId="40A4E885" w:rsidR="00DE1C04" w:rsidRPr="00D30BFF" w:rsidRDefault="00DE1C04" w:rsidP="00DE1C04">
      <w:pPr>
        <w:pStyle w:val="ListBullet"/>
        <w:rPr>
          <w:lang w:val="en-AU"/>
        </w:rPr>
      </w:pPr>
      <w:r w:rsidRPr="00D30BFF">
        <w:rPr>
          <w:lang w:val="en-AU"/>
        </w:rPr>
        <w:t>Increase the ability of communities, the environment, local economies and ecosystems to recover from bushfires and other emergencies</w:t>
      </w:r>
    </w:p>
    <w:p w14:paraId="415A44A0" w14:textId="77777777" w:rsidR="00DE1C04" w:rsidRPr="00D30BFF" w:rsidRDefault="00DE1C04" w:rsidP="00DE1C04">
      <w:pPr>
        <w:pStyle w:val="Heading4"/>
      </w:pPr>
      <w:r w:rsidRPr="00D30BFF">
        <w:t>Success in 2025–26 looks like:</w:t>
      </w:r>
    </w:p>
    <w:p w14:paraId="3F079514" w14:textId="77777777" w:rsidR="00DE1C04" w:rsidRPr="00D30BFF" w:rsidRDefault="00DE1C04" w:rsidP="00DE1C04">
      <w:pPr>
        <w:pStyle w:val="ListBullet"/>
        <w:rPr>
          <w:lang w:val="en-AU"/>
        </w:rPr>
      </w:pPr>
      <w:r w:rsidRPr="00D30BFF">
        <w:rPr>
          <w:lang w:val="en-AU"/>
        </w:rPr>
        <w:t>Statewide bushfire risk is maintained at or below 70%</w:t>
      </w:r>
    </w:p>
    <w:p w14:paraId="20EEE9C6" w14:textId="77777777" w:rsidR="00DE1C04" w:rsidRPr="00D30BFF" w:rsidRDefault="00DE1C04" w:rsidP="00DE1C04">
      <w:pPr>
        <w:pStyle w:val="ListBullet"/>
        <w:rPr>
          <w:lang w:val="en-AU"/>
        </w:rPr>
      </w:pPr>
      <w:r w:rsidRPr="00D30BFF">
        <w:rPr>
          <w:rFonts w:ascii="Helvetica" w:hAnsi="Helvetica" w:cs="Helvetica"/>
          <w:szCs w:val="24"/>
          <w:lang w:val="en-AU"/>
        </w:rPr>
        <w:lastRenderedPageBreak/>
        <w:t>80% of fires contained at less than 5 hectares/first attack to suppress fires before they become established, minimising impact</w:t>
      </w:r>
    </w:p>
    <w:p w14:paraId="088B0BAD" w14:textId="77777777" w:rsidR="00DE1C04" w:rsidRPr="00D30BFF" w:rsidRDefault="00DE1C04" w:rsidP="00DE1C04">
      <w:pPr>
        <w:pStyle w:val="ListBullet"/>
        <w:rPr>
          <w:lang w:val="en-AU"/>
        </w:rPr>
      </w:pPr>
      <w:r w:rsidRPr="00D30BFF">
        <w:rPr>
          <w:lang w:val="en-AU"/>
        </w:rPr>
        <w:t>12 stakeholder and community forums on bushfire management and planned burning held</w:t>
      </w:r>
    </w:p>
    <w:p w14:paraId="594BAEE8" w14:textId="77777777" w:rsidR="00DE1C04" w:rsidRPr="00D30BFF" w:rsidRDefault="00DE1C04" w:rsidP="00DE1C04">
      <w:pPr>
        <w:pStyle w:val="LastBulletinList"/>
        <w:rPr>
          <w:lang w:val="en-AU"/>
        </w:rPr>
      </w:pPr>
      <w:r w:rsidRPr="00D30BFF">
        <w:rPr>
          <w:lang w:val="en-AU"/>
        </w:rPr>
        <w:t>All readiness and response plans completed by October 2025, prior to the upcoming fire season</w:t>
      </w:r>
    </w:p>
    <w:p w14:paraId="20D740BE" w14:textId="77777777" w:rsidR="000C3DAF" w:rsidRDefault="00DE1C04" w:rsidP="00DE1C04">
      <w:pPr>
        <w:pStyle w:val="Heading3"/>
        <w:rPr>
          <w:lang w:val="en-AU"/>
        </w:rPr>
      </w:pPr>
      <w:r w:rsidRPr="00D30BFF">
        <w:rPr>
          <w:lang w:val="en-AU"/>
        </w:rPr>
        <w:t>Energy</w:t>
      </w:r>
    </w:p>
    <w:p w14:paraId="5DF7F54C" w14:textId="6EA3E6B9" w:rsidR="00DE1C04" w:rsidRPr="00D30BFF" w:rsidRDefault="00DE1C04" w:rsidP="00DE1C04">
      <w:pPr>
        <w:pStyle w:val="BodyText"/>
        <w:spacing w:after="0"/>
        <w:rPr>
          <w:b/>
          <w:bCs/>
          <w:lang w:val="en-AU"/>
        </w:rPr>
      </w:pPr>
      <w:r w:rsidRPr="00D30BFF">
        <w:rPr>
          <w:b/>
          <w:bCs/>
          <w:lang w:val="en-AU"/>
        </w:rPr>
        <w:t>Reliable, sustainable and affordable energy services</w:t>
      </w:r>
    </w:p>
    <w:p w14:paraId="0C8A5A66" w14:textId="77777777" w:rsidR="00DE1C04" w:rsidRPr="00D30BFF" w:rsidRDefault="00DE1C04" w:rsidP="00DE1C04">
      <w:pPr>
        <w:pStyle w:val="Heading4"/>
      </w:pPr>
      <w:r w:rsidRPr="00D30BFF">
        <w:t>To succeed, we must:</w:t>
      </w:r>
    </w:p>
    <w:p w14:paraId="0C70530D" w14:textId="77777777" w:rsidR="000C3DAF" w:rsidRDefault="00DE1C04" w:rsidP="00DE1C04">
      <w:pPr>
        <w:pStyle w:val="ListBullet"/>
        <w:rPr>
          <w:lang w:val="en-AU"/>
        </w:rPr>
      </w:pPr>
      <w:r w:rsidRPr="00D30BFF">
        <w:rPr>
          <w:lang w:val="en-AU"/>
        </w:rPr>
        <w:t>Increase energy affordability, consumer control and access to energy services</w:t>
      </w:r>
    </w:p>
    <w:p w14:paraId="3985FA95" w14:textId="77777777" w:rsidR="000C3DAF" w:rsidRDefault="00DE1C04" w:rsidP="00DE1C04">
      <w:pPr>
        <w:pStyle w:val="ListBullet"/>
        <w:rPr>
          <w:lang w:val="en-AU"/>
        </w:rPr>
      </w:pPr>
      <w:r w:rsidRPr="00D30BFF">
        <w:rPr>
          <w:lang w:val="en-AU"/>
        </w:rPr>
        <w:t>Improve the reliability, security and stability of the energy system</w:t>
      </w:r>
    </w:p>
    <w:p w14:paraId="40A4277A" w14:textId="4C2EC69B" w:rsidR="00DE1C04" w:rsidRPr="00D30BFF" w:rsidRDefault="00DE1C04" w:rsidP="00DE1C04">
      <w:pPr>
        <w:pStyle w:val="ListBullet"/>
        <w:rPr>
          <w:lang w:val="en-AU"/>
        </w:rPr>
      </w:pPr>
      <w:r w:rsidRPr="00D30BFF">
        <w:rPr>
          <w:lang w:val="en-AU"/>
        </w:rPr>
        <w:t>Reduce emissions from Victoria’s energy system</w:t>
      </w:r>
    </w:p>
    <w:p w14:paraId="463483C1" w14:textId="77777777" w:rsidR="000C3DAF" w:rsidRDefault="00DE1C04" w:rsidP="00DE1C04">
      <w:pPr>
        <w:pStyle w:val="ListBullet"/>
        <w:rPr>
          <w:lang w:val="en-AU"/>
        </w:rPr>
      </w:pPr>
      <w:r w:rsidRPr="00D30BFF">
        <w:rPr>
          <w:lang w:val="en-AU"/>
        </w:rPr>
        <w:t>Increase jobs and economic development within the renewable energy sector</w:t>
      </w:r>
    </w:p>
    <w:p w14:paraId="4BE46174" w14:textId="77777777" w:rsidR="000C3DAF" w:rsidRDefault="00DE1C04" w:rsidP="00DE1C04">
      <w:pPr>
        <w:pStyle w:val="ListBullet"/>
        <w:rPr>
          <w:lang w:val="en-AU"/>
        </w:rPr>
      </w:pPr>
      <w:r w:rsidRPr="00D30BFF">
        <w:rPr>
          <w:lang w:val="en-AU"/>
        </w:rPr>
        <w:t>Enabling Aboriginal self-determination in the energy transition sector</w:t>
      </w:r>
    </w:p>
    <w:p w14:paraId="230B8B2A" w14:textId="67AF51DC" w:rsidR="00DE1C04" w:rsidRPr="00D30BFF" w:rsidRDefault="00DE1C04" w:rsidP="00DE1C04">
      <w:pPr>
        <w:pStyle w:val="ListBullet"/>
        <w:rPr>
          <w:lang w:val="en-AU"/>
        </w:rPr>
      </w:pPr>
      <w:r w:rsidRPr="00D30BFF">
        <w:rPr>
          <w:lang w:val="en-AU"/>
        </w:rPr>
        <w:t>Increase access to affordable renewable energy for Victorians and reduce emissions</w:t>
      </w:r>
    </w:p>
    <w:p w14:paraId="0CE69E08" w14:textId="77777777" w:rsidR="00DE1C04" w:rsidRPr="00D30BFF" w:rsidRDefault="00DE1C04" w:rsidP="00DE1C04">
      <w:pPr>
        <w:pStyle w:val="Heading4"/>
      </w:pPr>
      <w:r w:rsidRPr="00D30BFF">
        <w:t>Success in 2025–26 looks like:</w:t>
      </w:r>
    </w:p>
    <w:p w14:paraId="02364E5C" w14:textId="77777777" w:rsidR="000C3DAF" w:rsidRDefault="00DE1C04" w:rsidP="00DE1C04">
      <w:pPr>
        <w:pStyle w:val="ListBullet"/>
        <w:rPr>
          <w:lang w:val="en-AU"/>
        </w:rPr>
      </w:pPr>
      <w:r w:rsidRPr="00D30BFF">
        <w:rPr>
          <w:lang w:val="en-AU"/>
        </w:rPr>
        <w:t>74,700 Solar Homes Program rebates and loans provided to Victorian households</w:t>
      </w:r>
    </w:p>
    <w:p w14:paraId="4571585C" w14:textId="137B74A3" w:rsidR="00DE1C04" w:rsidRPr="00D30BFF" w:rsidRDefault="00DE1C04" w:rsidP="00DE1C04">
      <w:pPr>
        <w:pStyle w:val="ListBullet"/>
        <w:rPr>
          <w:lang w:val="en-AU"/>
        </w:rPr>
      </w:pPr>
      <w:r w:rsidRPr="00D30BFF">
        <w:rPr>
          <w:lang w:val="en-AU"/>
        </w:rPr>
        <w:t>7.3m Victorian Energy Efficiency Certificates surrendered under the Victorian Energy Upgrades program</w:t>
      </w:r>
    </w:p>
    <w:p w14:paraId="69B184BE" w14:textId="77777777" w:rsidR="000C3DAF" w:rsidRDefault="00DE1C04" w:rsidP="00DE1C04">
      <w:pPr>
        <w:pStyle w:val="ListBullet"/>
        <w:rPr>
          <w:lang w:val="en-AU"/>
        </w:rPr>
      </w:pPr>
      <w:r w:rsidRPr="00D30BFF">
        <w:rPr>
          <w:lang w:val="en-AU"/>
        </w:rPr>
        <w:t>25 neighbourhood batteries installed, including batteries specifically for Traditional Owners and First Peoples communities</w:t>
      </w:r>
    </w:p>
    <w:p w14:paraId="43623138" w14:textId="7868DB49" w:rsidR="00DE1C04" w:rsidRPr="00D30BFF" w:rsidRDefault="00DE1C04" w:rsidP="00DE1C04">
      <w:pPr>
        <w:pStyle w:val="ListBullet"/>
        <w:rPr>
          <w:lang w:val="en-AU"/>
        </w:rPr>
      </w:pPr>
      <w:r w:rsidRPr="00D30BFF">
        <w:rPr>
          <w:lang w:val="en-AU"/>
        </w:rPr>
        <w:t>3,000 vulnerable Victorian energy consumers supported to navigate the energy market by the Energy Assistance Program</w:t>
      </w:r>
    </w:p>
    <w:p w14:paraId="290710BB" w14:textId="77777777" w:rsidR="00DE1C04" w:rsidRPr="00D30BFF" w:rsidRDefault="00DE1C04" w:rsidP="00DE1C04">
      <w:pPr>
        <w:pStyle w:val="ListBullet"/>
        <w:rPr>
          <w:lang w:val="en-AU"/>
        </w:rPr>
      </w:pPr>
      <w:r w:rsidRPr="00D30BFF">
        <w:rPr>
          <w:lang w:val="en-AU"/>
        </w:rPr>
        <w:lastRenderedPageBreak/>
        <w:t>70% of users of the Victorian Energy Compare website who report they are likely to recommend the website to others</w:t>
      </w:r>
    </w:p>
    <w:p w14:paraId="2561B93B" w14:textId="77777777" w:rsidR="000C3DAF" w:rsidRDefault="00DE1C04" w:rsidP="00DE1C04">
      <w:pPr>
        <w:pStyle w:val="Heading3"/>
        <w:rPr>
          <w:lang w:val="en-AU"/>
        </w:rPr>
      </w:pPr>
      <w:r w:rsidRPr="00D30BFF">
        <w:rPr>
          <w:lang w:val="en-AU"/>
        </w:rPr>
        <w:t>Environment and Circular Economy</w:t>
      </w:r>
    </w:p>
    <w:p w14:paraId="6309A3AF" w14:textId="5A3E5C24" w:rsidR="00DE1C04" w:rsidRPr="00D30BFF" w:rsidRDefault="00DE1C04" w:rsidP="00DE1C04">
      <w:pPr>
        <w:pStyle w:val="BodyText"/>
        <w:spacing w:after="0"/>
        <w:rPr>
          <w:b/>
          <w:bCs/>
          <w:lang w:val="en-AU"/>
        </w:rPr>
      </w:pPr>
      <w:r w:rsidRPr="00D30BFF">
        <w:rPr>
          <w:b/>
          <w:bCs/>
          <w:lang w:val="en-AU"/>
        </w:rPr>
        <w:t>Healthy, resilient and biodiverse environment</w:t>
      </w:r>
    </w:p>
    <w:p w14:paraId="03D95A87" w14:textId="77777777" w:rsidR="00DE1C04" w:rsidRPr="00D30BFF" w:rsidRDefault="00DE1C04" w:rsidP="00DE1C04">
      <w:pPr>
        <w:pStyle w:val="Heading4"/>
      </w:pPr>
      <w:r w:rsidRPr="00D30BFF">
        <w:t>To succeed, we must:</w:t>
      </w:r>
    </w:p>
    <w:p w14:paraId="2D913F81" w14:textId="77777777" w:rsidR="000C3DAF" w:rsidRDefault="00DE1C04" w:rsidP="00DE1C04">
      <w:pPr>
        <w:pStyle w:val="ListBullet"/>
        <w:rPr>
          <w:lang w:val="en-AU"/>
        </w:rPr>
      </w:pPr>
      <w:r w:rsidRPr="00D30BFF">
        <w:rPr>
          <w:lang w:val="en-AU"/>
        </w:rPr>
        <w:t>Reduce the harmful effects of pollution and waste on human health and the environment</w:t>
      </w:r>
    </w:p>
    <w:p w14:paraId="3DB61508" w14:textId="77777777" w:rsidR="000C3DAF" w:rsidRDefault="00DE1C04" w:rsidP="00DE1C04">
      <w:pPr>
        <w:pStyle w:val="ListBullet"/>
        <w:rPr>
          <w:lang w:val="en-AU"/>
        </w:rPr>
      </w:pPr>
      <w:r w:rsidRPr="00D30BFF">
        <w:rPr>
          <w:lang w:val="en-AU"/>
        </w:rPr>
        <w:t>Improve Victoria’s native species populations and their habitat through targeted management</w:t>
      </w:r>
    </w:p>
    <w:p w14:paraId="11CE06B3" w14:textId="77777777" w:rsidR="000C3DAF" w:rsidRDefault="00DE1C04" w:rsidP="00DE1C04">
      <w:pPr>
        <w:pStyle w:val="ListBullet"/>
        <w:rPr>
          <w:lang w:val="en-AU"/>
        </w:rPr>
      </w:pPr>
      <w:r w:rsidRPr="00D30BFF">
        <w:rPr>
          <w:lang w:val="en-AU"/>
        </w:rPr>
        <w:t>Increase Victorians valuing nature</w:t>
      </w:r>
    </w:p>
    <w:p w14:paraId="66AFFD9A" w14:textId="77777777" w:rsidR="000C3DAF" w:rsidRDefault="00DE1C04" w:rsidP="00DE1C04">
      <w:pPr>
        <w:pStyle w:val="ListBullet"/>
        <w:rPr>
          <w:lang w:val="en-AU"/>
        </w:rPr>
      </w:pPr>
      <w:r w:rsidRPr="00D30BFF">
        <w:rPr>
          <w:lang w:val="en-AU"/>
        </w:rPr>
        <w:t>Reduce waste and increase circularity of resources in the Victorian economy</w:t>
      </w:r>
    </w:p>
    <w:p w14:paraId="1EC6DE66" w14:textId="77777777" w:rsidR="000C3DAF" w:rsidRDefault="00DE1C04" w:rsidP="00DE1C04">
      <w:pPr>
        <w:pStyle w:val="ListBullet"/>
        <w:rPr>
          <w:lang w:val="en-AU"/>
        </w:rPr>
      </w:pPr>
      <w:r w:rsidRPr="00D30BFF">
        <w:rPr>
          <w:lang w:val="en-AU"/>
        </w:rPr>
        <w:t>Regulate public land use, biodiversity and fire prevention to support equitable and safe access to public land and natural resources, while protecting biodiversity and heritage values</w:t>
      </w:r>
    </w:p>
    <w:p w14:paraId="064737B3" w14:textId="08A0E03B" w:rsidR="00DE1C04" w:rsidRPr="00D30BFF" w:rsidRDefault="00DE1C04" w:rsidP="00DE1C04">
      <w:pPr>
        <w:pStyle w:val="ListBullet"/>
        <w:spacing w:after="400"/>
        <w:rPr>
          <w:lang w:val="en-AU"/>
        </w:rPr>
      </w:pPr>
      <w:r w:rsidRPr="00D30BFF">
        <w:rPr>
          <w:lang w:val="en-AU"/>
        </w:rPr>
        <w:t>Restoring our native forests following the end of native timber harvesting, including regeneration works and seed collection programs</w:t>
      </w:r>
    </w:p>
    <w:p w14:paraId="753088C5" w14:textId="77777777" w:rsidR="00DE1C04" w:rsidRPr="00D30BFF" w:rsidRDefault="00DE1C04" w:rsidP="00DE1C04">
      <w:pPr>
        <w:pStyle w:val="Heading4"/>
      </w:pPr>
      <w:r w:rsidRPr="00D30BFF">
        <w:t>Success in 2025–26 looks like:</w:t>
      </w:r>
    </w:p>
    <w:p w14:paraId="61FBD6FD" w14:textId="77777777" w:rsidR="00DE1C04" w:rsidRPr="00D30BFF" w:rsidRDefault="00DE1C04" w:rsidP="00DE1C04">
      <w:pPr>
        <w:pStyle w:val="ListBullet"/>
        <w:rPr>
          <w:lang w:val="en-AU"/>
        </w:rPr>
      </w:pPr>
      <w:r w:rsidRPr="00D30BFF">
        <w:rPr>
          <w:lang w:val="en-AU"/>
        </w:rPr>
        <w:t>72% of municipal and industrial waste diverted from landfill by 2025</w:t>
      </w:r>
    </w:p>
    <w:p w14:paraId="157397A2" w14:textId="77777777" w:rsidR="00DE1C04" w:rsidRPr="00D30BFF" w:rsidRDefault="00DE1C04" w:rsidP="00DE1C04">
      <w:pPr>
        <w:pStyle w:val="ListBullet"/>
        <w:rPr>
          <w:lang w:val="en-AU"/>
        </w:rPr>
      </w:pPr>
      <w:r w:rsidRPr="00D30BFF">
        <w:rPr>
          <w:lang w:val="en-AU"/>
        </w:rPr>
        <w:t>One billion drink containers collected during the year</w:t>
      </w:r>
    </w:p>
    <w:p w14:paraId="0E8CCEA9" w14:textId="77777777" w:rsidR="00DE1C04" w:rsidRPr="00D30BFF" w:rsidRDefault="00DE1C04" w:rsidP="00DE1C04">
      <w:pPr>
        <w:pStyle w:val="ListBullet"/>
        <w:rPr>
          <w:lang w:val="en-AU"/>
        </w:rPr>
      </w:pPr>
      <w:r w:rsidRPr="00D30BFF">
        <w:rPr>
          <w:lang w:val="en-AU"/>
        </w:rPr>
        <w:t>400,000 environmental volunteer hours contributing to the health of Victoria’s biodiversity</w:t>
      </w:r>
    </w:p>
    <w:p w14:paraId="4AE0F4B2" w14:textId="77777777" w:rsidR="00DE1C04" w:rsidRPr="00D30BFF" w:rsidRDefault="00DE1C04" w:rsidP="00DE1C04">
      <w:pPr>
        <w:pStyle w:val="ListBullet"/>
        <w:rPr>
          <w:lang w:val="en-AU"/>
        </w:rPr>
      </w:pPr>
      <w:r w:rsidRPr="00D30BFF">
        <w:rPr>
          <w:lang w:val="en-AU"/>
        </w:rPr>
        <w:t>70% of weed and pest animal control targeted towards priority locations to improve native species populations and habitats</w:t>
      </w:r>
    </w:p>
    <w:p w14:paraId="3C58EF13" w14:textId="77777777" w:rsidR="000C3DAF" w:rsidRDefault="00DE1C04" w:rsidP="00DE1C04">
      <w:pPr>
        <w:pStyle w:val="Heading3"/>
        <w:rPr>
          <w:lang w:val="en-AU"/>
        </w:rPr>
      </w:pPr>
      <w:r w:rsidRPr="00D30BFF">
        <w:rPr>
          <w:lang w:val="en-AU"/>
        </w:rPr>
        <w:lastRenderedPageBreak/>
        <w:t>Land Management</w:t>
      </w:r>
    </w:p>
    <w:p w14:paraId="444B2432" w14:textId="4E4EB3EA" w:rsidR="00DE1C04" w:rsidRPr="00D30BFF" w:rsidRDefault="00DE1C04" w:rsidP="00DE1C04">
      <w:pPr>
        <w:pStyle w:val="BodyText"/>
        <w:spacing w:after="0"/>
        <w:rPr>
          <w:b/>
          <w:bCs/>
          <w:lang w:val="en-AU"/>
        </w:rPr>
      </w:pPr>
      <w:r w:rsidRPr="00D30BFF">
        <w:rPr>
          <w:b/>
          <w:bCs/>
          <w:lang w:val="en-AU"/>
        </w:rPr>
        <w:t>Productive and effective land management</w:t>
      </w:r>
    </w:p>
    <w:p w14:paraId="11B86470" w14:textId="77777777" w:rsidR="00DE1C04" w:rsidRPr="00D30BFF" w:rsidRDefault="00DE1C04" w:rsidP="00DE1C04">
      <w:pPr>
        <w:pStyle w:val="Heading4"/>
      </w:pPr>
      <w:r w:rsidRPr="00D30BFF">
        <w:t>To succeed, we must:</w:t>
      </w:r>
    </w:p>
    <w:p w14:paraId="1FF1574D" w14:textId="77777777" w:rsidR="000C3DAF" w:rsidRDefault="00DE1C04" w:rsidP="00DE1C04">
      <w:pPr>
        <w:pStyle w:val="ListBullet"/>
        <w:rPr>
          <w:lang w:val="en-AU"/>
        </w:rPr>
      </w:pPr>
      <w:r w:rsidRPr="00D30BFF">
        <w:rPr>
          <w:lang w:val="en-AU"/>
        </w:rPr>
        <w:t>Increase the sustainable management of public land</w:t>
      </w:r>
    </w:p>
    <w:p w14:paraId="38A0EF35" w14:textId="77777777" w:rsidR="000C3DAF" w:rsidRDefault="00DE1C04" w:rsidP="00DE1C04">
      <w:pPr>
        <w:pStyle w:val="ListBullet"/>
        <w:rPr>
          <w:lang w:val="en-AU"/>
        </w:rPr>
      </w:pPr>
      <w:r w:rsidRPr="00D30BFF">
        <w:rPr>
          <w:lang w:val="en-AU"/>
        </w:rPr>
        <w:t>Increase self-determination of Traditional Owners in land management decision-making and practices</w:t>
      </w:r>
    </w:p>
    <w:p w14:paraId="06DF7B25" w14:textId="08AEE557" w:rsidR="00DE1C04" w:rsidRPr="00D30BFF" w:rsidRDefault="00DE1C04" w:rsidP="00DE1C04">
      <w:pPr>
        <w:pStyle w:val="ListBullet"/>
        <w:rPr>
          <w:lang w:val="en-AU"/>
        </w:rPr>
      </w:pPr>
      <w:r w:rsidRPr="00D30BFF">
        <w:rPr>
          <w:lang w:val="en-AU"/>
        </w:rPr>
        <w:t>Increase public value benefits from government land</w:t>
      </w:r>
    </w:p>
    <w:p w14:paraId="4683EA52" w14:textId="77777777" w:rsidR="00DE1C04" w:rsidRPr="00D30BFF" w:rsidRDefault="00DE1C04" w:rsidP="00DE1C04">
      <w:pPr>
        <w:pStyle w:val="Heading4"/>
      </w:pPr>
      <w:r w:rsidRPr="00D30BFF">
        <w:t>Success in 2025–26 looks like:</w:t>
      </w:r>
    </w:p>
    <w:p w14:paraId="4DC12840" w14:textId="77777777" w:rsidR="00DE1C04" w:rsidRPr="00D30BFF" w:rsidRDefault="00DE1C04" w:rsidP="00DE1C04">
      <w:pPr>
        <w:pStyle w:val="ListBullet"/>
        <w:rPr>
          <w:lang w:val="en-AU"/>
        </w:rPr>
      </w:pPr>
      <w:r w:rsidRPr="00D30BFF">
        <w:rPr>
          <w:lang w:val="en-AU"/>
        </w:rPr>
        <w:t>22 local parks, playgrounds and dog parks completed</w:t>
      </w:r>
    </w:p>
    <w:p w14:paraId="0631FEA3" w14:textId="77777777" w:rsidR="00DE1C04" w:rsidRPr="00D30BFF" w:rsidRDefault="00DE1C04" w:rsidP="00DE1C04">
      <w:pPr>
        <w:pStyle w:val="ListBullet"/>
        <w:rPr>
          <w:lang w:val="en-AU"/>
        </w:rPr>
      </w:pPr>
      <w:r w:rsidRPr="00D30BFF">
        <w:rPr>
          <w:lang w:val="en-AU"/>
        </w:rPr>
        <w:t>70% Traditional Owner satisfaction with DEECA’s progress in enabling self-determination</w:t>
      </w:r>
    </w:p>
    <w:p w14:paraId="47026F75" w14:textId="77777777" w:rsidR="00DE1C04" w:rsidRPr="00D30BFF" w:rsidRDefault="00DE1C04" w:rsidP="00DE1C04">
      <w:pPr>
        <w:pStyle w:val="LastBulletinList"/>
        <w:rPr>
          <w:lang w:val="en-AU"/>
        </w:rPr>
      </w:pPr>
      <w:r w:rsidRPr="00D30BFF">
        <w:rPr>
          <w:lang w:val="en-AU"/>
        </w:rPr>
        <w:t>75% of recreational facilities in state forests maintained to have a life expectancy greater than five years</w:t>
      </w:r>
    </w:p>
    <w:p w14:paraId="1CC030B9" w14:textId="77777777" w:rsidR="000C3DAF" w:rsidRDefault="00DE1C04" w:rsidP="00DE1C04">
      <w:pPr>
        <w:pStyle w:val="Heading3"/>
        <w:rPr>
          <w:lang w:val="en-AU"/>
        </w:rPr>
      </w:pPr>
      <w:r w:rsidRPr="00D30BFF">
        <w:rPr>
          <w:lang w:val="en-AU"/>
        </w:rPr>
        <w:t>Water</w:t>
      </w:r>
    </w:p>
    <w:p w14:paraId="55C5400E" w14:textId="11058B5D" w:rsidR="00DE1C04" w:rsidRPr="00D30BFF" w:rsidRDefault="00DE1C04" w:rsidP="00DE1C04">
      <w:pPr>
        <w:pStyle w:val="BodyText"/>
        <w:spacing w:after="0"/>
        <w:rPr>
          <w:b/>
          <w:bCs/>
          <w:lang w:val="en-AU"/>
        </w:rPr>
      </w:pPr>
      <w:r w:rsidRPr="00D30BFF">
        <w:rPr>
          <w:b/>
          <w:bCs/>
          <w:lang w:val="en-AU"/>
        </w:rPr>
        <w:t>Safe, sustainable and productive water resources</w:t>
      </w:r>
    </w:p>
    <w:p w14:paraId="0B372CC9" w14:textId="77777777" w:rsidR="00DE1C04" w:rsidRPr="00D30BFF" w:rsidRDefault="00DE1C04" w:rsidP="00DE1C04">
      <w:pPr>
        <w:pStyle w:val="Heading4"/>
      </w:pPr>
      <w:r w:rsidRPr="00D30BFF">
        <w:t>To succeed, we must:</w:t>
      </w:r>
    </w:p>
    <w:p w14:paraId="440DBF61" w14:textId="77777777" w:rsidR="000C3DAF" w:rsidRDefault="00DE1C04" w:rsidP="00DE1C04">
      <w:pPr>
        <w:pStyle w:val="ListBullet"/>
        <w:rPr>
          <w:lang w:val="en-AU"/>
        </w:rPr>
      </w:pPr>
      <w:r w:rsidRPr="00D30BFF">
        <w:rPr>
          <w:lang w:val="en-AU"/>
        </w:rPr>
        <w:t>Increase security and resilience of Victoria’s water systems</w:t>
      </w:r>
    </w:p>
    <w:p w14:paraId="181B9A9E" w14:textId="77777777" w:rsidR="000C3DAF" w:rsidRDefault="00DE1C04" w:rsidP="00DE1C04">
      <w:pPr>
        <w:pStyle w:val="ListBullet"/>
        <w:ind w:right="-285"/>
        <w:rPr>
          <w:lang w:val="en-AU"/>
        </w:rPr>
      </w:pPr>
      <w:r w:rsidRPr="00D30BFF">
        <w:rPr>
          <w:lang w:val="en-AU"/>
        </w:rPr>
        <w:t>Increase implementation of Traditional Owner determined priorities for water management</w:t>
      </w:r>
    </w:p>
    <w:p w14:paraId="11E0AE9A" w14:textId="77777777" w:rsidR="000C3DAF" w:rsidRDefault="00DE1C04" w:rsidP="00DE1C04">
      <w:pPr>
        <w:pStyle w:val="ListBullet"/>
        <w:rPr>
          <w:lang w:val="en-AU"/>
        </w:rPr>
      </w:pPr>
      <w:r w:rsidRPr="00D30BFF">
        <w:rPr>
          <w:lang w:val="en-AU"/>
        </w:rPr>
        <w:t>Improve the environmental condition of Victoria’s waterways and catchments</w:t>
      </w:r>
    </w:p>
    <w:p w14:paraId="041D178C" w14:textId="77777777" w:rsidR="000C3DAF" w:rsidRDefault="00DE1C04" w:rsidP="00DE1C04">
      <w:pPr>
        <w:pStyle w:val="ListBullet"/>
        <w:rPr>
          <w:lang w:val="en-AU"/>
        </w:rPr>
      </w:pPr>
      <w:r w:rsidRPr="00D30BFF">
        <w:rPr>
          <w:lang w:val="en-AU"/>
        </w:rPr>
        <w:t>Increase inclusion of social and community values in water management</w:t>
      </w:r>
    </w:p>
    <w:p w14:paraId="6230B816" w14:textId="7397080F" w:rsidR="00DE1C04" w:rsidRPr="00D30BFF" w:rsidRDefault="00DE1C04" w:rsidP="00DE1C04">
      <w:pPr>
        <w:pStyle w:val="ListBullet"/>
        <w:rPr>
          <w:lang w:val="en-AU"/>
        </w:rPr>
      </w:pPr>
      <w:r w:rsidRPr="00D30BFF">
        <w:rPr>
          <w:lang w:val="en-AU"/>
        </w:rPr>
        <w:t>Increase efficiency of water use</w:t>
      </w:r>
    </w:p>
    <w:p w14:paraId="021304BB" w14:textId="77777777" w:rsidR="00DE1C04" w:rsidRPr="00D30BFF" w:rsidRDefault="00DE1C04" w:rsidP="00DE1C04">
      <w:pPr>
        <w:pStyle w:val="ListBullet"/>
        <w:rPr>
          <w:lang w:val="en-AU"/>
        </w:rPr>
      </w:pPr>
      <w:r w:rsidRPr="00D30BFF">
        <w:rPr>
          <w:lang w:val="en-AU"/>
        </w:rPr>
        <w:t>Improve water sector governance, systems integration and water emergency management</w:t>
      </w:r>
    </w:p>
    <w:p w14:paraId="2EA91A27" w14:textId="77777777" w:rsidR="00DE1C04" w:rsidRPr="00D30BFF" w:rsidRDefault="00DE1C04" w:rsidP="00DE1C04">
      <w:pPr>
        <w:pStyle w:val="Heading4"/>
      </w:pPr>
      <w:r w:rsidRPr="00D30BFF">
        <w:lastRenderedPageBreak/>
        <w:t>Success in 2025–26 looks like:</w:t>
      </w:r>
    </w:p>
    <w:p w14:paraId="285D280F" w14:textId="77777777" w:rsidR="00DE1C04" w:rsidRPr="00D30BFF" w:rsidRDefault="00DE1C04" w:rsidP="00DE1C04">
      <w:pPr>
        <w:pStyle w:val="ListBullet"/>
        <w:rPr>
          <w:lang w:val="en-AU"/>
        </w:rPr>
      </w:pPr>
      <w:r w:rsidRPr="00D30BFF">
        <w:rPr>
          <w:lang w:val="en-AU"/>
        </w:rPr>
        <w:t>6 New flood studies funded to ensure communities understand flood risk and to inform investment in flood warning and mitigation measures</w:t>
      </w:r>
    </w:p>
    <w:p w14:paraId="18D6826C" w14:textId="77777777" w:rsidR="00DE1C04" w:rsidRPr="00D30BFF" w:rsidRDefault="00DE1C04" w:rsidP="00DE1C04">
      <w:pPr>
        <w:pStyle w:val="ListBullet"/>
        <w:rPr>
          <w:lang w:val="en-AU"/>
        </w:rPr>
      </w:pPr>
      <w:r w:rsidRPr="00D30BFF">
        <w:rPr>
          <w:lang w:val="en-AU"/>
        </w:rPr>
        <w:t>900 Households or community housing assisted in the Community Rebate and Housing Retrofit Program</w:t>
      </w:r>
    </w:p>
    <w:p w14:paraId="34660313" w14:textId="25A60B09" w:rsidR="002D6BC2" w:rsidRPr="00D30BFF" w:rsidRDefault="00DE1C04" w:rsidP="002D6BC2">
      <w:pPr>
        <w:pStyle w:val="ListBullet"/>
        <w:rPr>
          <w:lang w:val="en-AU"/>
        </w:rPr>
      </w:pPr>
      <w:r w:rsidRPr="00D30BFF">
        <w:rPr>
          <w:lang w:val="en-AU"/>
        </w:rPr>
        <w:t>8,000 hectares of waterway vegetation works undertaken to improve the health and resilience of waterways</w:t>
      </w:r>
    </w:p>
    <w:p w14:paraId="3EE9B2C8" w14:textId="0B74739D" w:rsidR="002D6BC2" w:rsidRPr="00D30BFF" w:rsidRDefault="008A6042" w:rsidP="008A6042">
      <w:pPr>
        <w:pStyle w:val="Heading1"/>
        <w:pageBreakBefore/>
        <w:rPr>
          <w:lang w:val="en-AU"/>
        </w:rPr>
      </w:pPr>
      <w:bookmarkStart w:id="12" w:name="_Toc207621363"/>
      <w:r w:rsidRPr="00D30BFF">
        <w:rPr>
          <w:lang w:val="en-AU"/>
        </w:rPr>
        <w:lastRenderedPageBreak/>
        <w:t>Our outcomes</w:t>
      </w:r>
      <w:bookmarkEnd w:id="12"/>
    </w:p>
    <w:p w14:paraId="1F684BAA" w14:textId="63912347" w:rsidR="008A6042" w:rsidRPr="00D30BFF" w:rsidRDefault="008A6042" w:rsidP="008A6042">
      <w:pPr>
        <w:pStyle w:val="BodyText"/>
        <w:rPr>
          <w:lang w:val="en-AU"/>
        </w:rPr>
      </w:pPr>
      <w:r w:rsidRPr="00D30BFF">
        <w:rPr>
          <w:lang w:val="en-AU"/>
        </w:rPr>
        <w:t>DEECA’s Outcomes guide efforts and monitors progress toward our long-term goals for Victoria. The identified indicators signify the necessary changes to achieve these objectives.</w:t>
      </w:r>
    </w:p>
    <w:p w14:paraId="52750B80" w14:textId="77777777" w:rsidR="000C3DAF" w:rsidRDefault="008A6042" w:rsidP="00DE1C04">
      <w:pPr>
        <w:pStyle w:val="ListBullet"/>
        <w:spacing w:after="0" w:line="360" w:lineRule="auto"/>
        <w:rPr>
          <w:b/>
          <w:bCs/>
          <w:lang w:val="en-AU"/>
        </w:rPr>
      </w:pPr>
      <w:r w:rsidRPr="00D30BFF">
        <w:rPr>
          <w:b/>
          <w:bCs/>
          <w:lang w:val="en-AU"/>
        </w:rPr>
        <w:t>Agriculture and Forestry</w:t>
      </w:r>
    </w:p>
    <w:p w14:paraId="6120AFD9" w14:textId="6B1CFF24" w:rsidR="008A6042" w:rsidRPr="00D30BFF" w:rsidRDefault="008A6042" w:rsidP="00DE1C04">
      <w:pPr>
        <w:pStyle w:val="ListBullet"/>
        <w:numPr>
          <w:ilvl w:val="0"/>
          <w:numId w:val="0"/>
        </w:numPr>
        <w:spacing w:after="320"/>
        <w:ind w:left="360"/>
        <w:rPr>
          <w:lang w:val="en-AU"/>
        </w:rPr>
      </w:pPr>
      <w:r w:rsidRPr="00D30BFF">
        <w:rPr>
          <w:lang w:val="en-AU"/>
        </w:rPr>
        <w:t>Productive and sustainably used natural resources</w:t>
      </w:r>
    </w:p>
    <w:p w14:paraId="1660FEB5" w14:textId="77777777" w:rsidR="000C3DAF" w:rsidRDefault="008A6042" w:rsidP="00DE1C04">
      <w:pPr>
        <w:pStyle w:val="ListBullet"/>
        <w:spacing w:after="0" w:line="360" w:lineRule="auto"/>
        <w:rPr>
          <w:b/>
          <w:bCs/>
          <w:lang w:val="en-AU"/>
        </w:rPr>
      </w:pPr>
      <w:r w:rsidRPr="00D30BFF">
        <w:rPr>
          <w:b/>
          <w:bCs/>
          <w:lang w:val="en-AU"/>
        </w:rPr>
        <w:t>Climate Action</w:t>
      </w:r>
    </w:p>
    <w:p w14:paraId="3006F1EF" w14:textId="6F471E44" w:rsidR="008A6042" w:rsidRPr="00D30BFF" w:rsidRDefault="008A6042" w:rsidP="00DE1C04">
      <w:pPr>
        <w:pStyle w:val="ListBullet"/>
        <w:numPr>
          <w:ilvl w:val="0"/>
          <w:numId w:val="0"/>
        </w:numPr>
        <w:spacing w:after="320"/>
        <w:ind w:left="360"/>
        <w:rPr>
          <w:lang w:val="en-AU"/>
        </w:rPr>
      </w:pPr>
      <w:r w:rsidRPr="00D30BFF">
        <w:rPr>
          <w:lang w:val="en-AU"/>
        </w:rPr>
        <w:t>Net-zero emissions, climate-ready economy and community</w:t>
      </w:r>
    </w:p>
    <w:p w14:paraId="12393659" w14:textId="77777777" w:rsidR="000C3DAF" w:rsidRDefault="008A6042" w:rsidP="00DE1C04">
      <w:pPr>
        <w:pStyle w:val="ListBullet"/>
        <w:spacing w:after="0" w:line="360" w:lineRule="auto"/>
        <w:rPr>
          <w:b/>
          <w:bCs/>
          <w:lang w:val="en-AU"/>
        </w:rPr>
      </w:pPr>
      <w:r w:rsidRPr="00D30BFF">
        <w:rPr>
          <w:b/>
          <w:bCs/>
          <w:lang w:val="en-AU"/>
        </w:rPr>
        <w:t>Earth Resources</w:t>
      </w:r>
    </w:p>
    <w:p w14:paraId="2525E2BE" w14:textId="22181DBA" w:rsidR="008A6042" w:rsidRPr="00D30BFF" w:rsidRDefault="008A6042" w:rsidP="00DE1C04">
      <w:pPr>
        <w:pStyle w:val="ListBullet"/>
        <w:numPr>
          <w:ilvl w:val="0"/>
          <w:numId w:val="0"/>
        </w:numPr>
        <w:spacing w:after="320"/>
        <w:ind w:left="360"/>
        <w:rPr>
          <w:lang w:val="en-AU"/>
        </w:rPr>
      </w:pPr>
      <w:r w:rsidRPr="00D30BFF">
        <w:rPr>
          <w:lang w:val="en-AU"/>
        </w:rPr>
        <w:t>Sustainable development of Victoria’s earth resources</w:t>
      </w:r>
    </w:p>
    <w:p w14:paraId="17A1DFF7" w14:textId="77777777" w:rsidR="008A6042" w:rsidRPr="00D30BFF" w:rsidRDefault="008A6042" w:rsidP="00DE1C04">
      <w:pPr>
        <w:pStyle w:val="ListBullet"/>
        <w:spacing w:after="0" w:line="360" w:lineRule="auto"/>
        <w:rPr>
          <w:b/>
          <w:bCs/>
          <w:lang w:val="en-AU"/>
        </w:rPr>
      </w:pPr>
      <w:r w:rsidRPr="00D30BFF">
        <w:rPr>
          <w:b/>
          <w:bCs/>
          <w:lang w:val="en-AU"/>
        </w:rPr>
        <w:t>Emergency Management</w:t>
      </w:r>
    </w:p>
    <w:p w14:paraId="12402EBE" w14:textId="3819C49F" w:rsidR="008A6042" w:rsidRPr="00D30BFF" w:rsidRDefault="008A6042" w:rsidP="00DE1C04">
      <w:pPr>
        <w:pStyle w:val="ListBullet"/>
        <w:numPr>
          <w:ilvl w:val="0"/>
          <w:numId w:val="0"/>
        </w:numPr>
        <w:spacing w:after="320"/>
        <w:ind w:left="360"/>
        <w:rPr>
          <w:lang w:val="en-AU"/>
        </w:rPr>
      </w:pPr>
      <w:r w:rsidRPr="00D30BFF">
        <w:rPr>
          <w:lang w:val="en-AU"/>
        </w:rPr>
        <w:t>Reduced impact of major bushfires and other emergencies</w:t>
      </w:r>
    </w:p>
    <w:p w14:paraId="29DF9DEC" w14:textId="77777777" w:rsidR="000C3DAF" w:rsidRDefault="008A6042" w:rsidP="00DE1C04">
      <w:pPr>
        <w:pStyle w:val="ListBullet"/>
        <w:spacing w:after="0" w:line="360" w:lineRule="auto"/>
        <w:rPr>
          <w:b/>
          <w:bCs/>
          <w:lang w:val="en-AU"/>
        </w:rPr>
      </w:pPr>
      <w:r w:rsidRPr="00D30BFF">
        <w:rPr>
          <w:b/>
          <w:bCs/>
          <w:lang w:val="en-AU"/>
        </w:rPr>
        <w:t>Energy</w:t>
      </w:r>
    </w:p>
    <w:p w14:paraId="3747604A" w14:textId="37E6BCA3" w:rsidR="008A6042" w:rsidRPr="00D30BFF" w:rsidRDefault="008A6042" w:rsidP="00DE1C04">
      <w:pPr>
        <w:pStyle w:val="ListBullet"/>
        <w:numPr>
          <w:ilvl w:val="0"/>
          <w:numId w:val="0"/>
        </w:numPr>
        <w:spacing w:after="320"/>
        <w:ind w:left="360"/>
        <w:rPr>
          <w:lang w:val="en-AU"/>
        </w:rPr>
      </w:pPr>
      <w:r w:rsidRPr="00D30BFF">
        <w:rPr>
          <w:lang w:val="en-AU"/>
        </w:rPr>
        <w:t>Reliable, sustainable and affordable energy services</w:t>
      </w:r>
    </w:p>
    <w:p w14:paraId="39445303" w14:textId="77777777" w:rsidR="000C3DAF" w:rsidRDefault="008A6042" w:rsidP="00DE1C04">
      <w:pPr>
        <w:pStyle w:val="ListBullet"/>
        <w:spacing w:after="0" w:line="360" w:lineRule="auto"/>
        <w:rPr>
          <w:b/>
          <w:bCs/>
          <w:lang w:val="en-AU"/>
        </w:rPr>
      </w:pPr>
      <w:r w:rsidRPr="00D30BFF">
        <w:rPr>
          <w:b/>
          <w:bCs/>
          <w:lang w:val="en-AU"/>
        </w:rPr>
        <w:t>Environment and Circular Economy</w:t>
      </w:r>
    </w:p>
    <w:p w14:paraId="7E91EC9B" w14:textId="02BA1F02" w:rsidR="008A6042" w:rsidRPr="00D30BFF" w:rsidRDefault="008A6042" w:rsidP="00DE1C04">
      <w:pPr>
        <w:pStyle w:val="ListBullet"/>
        <w:numPr>
          <w:ilvl w:val="0"/>
          <w:numId w:val="0"/>
        </w:numPr>
        <w:spacing w:after="320"/>
        <w:ind w:left="360"/>
        <w:rPr>
          <w:lang w:val="en-AU"/>
        </w:rPr>
      </w:pPr>
      <w:r w:rsidRPr="00D30BFF">
        <w:rPr>
          <w:lang w:val="en-AU"/>
        </w:rPr>
        <w:t>Healthy, resilient and biodiverse environment</w:t>
      </w:r>
    </w:p>
    <w:p w14:paraId="3DE012A3" w14:textId="77777777" w:rsidR="000C3DAF" w:rsidRDefault="008A6042" w:rsidP="00DE1C04">
      <w:pPr>
        <w:pStyle w:val="ListBullet"/>
        <w:spacing w:after="0" w:line="360" w:lineRule="auto"/>
        <w:rPr>
          <w:b/>
          <w:bCs/>
          <w:lang w:val="en-AU"/>
        </w:rPr>
      </w:pPr>
      <w:r w:rsidRPr="00D30BFF">
        <w:rPr>
          <w:b/>
          <w:bCs/>
          <w:lang w:val="en-AU"/>
        </w:rPr>
        <w:t>Land Management</w:t>
      </w:r>
    </w:p>
    <w:p w14:paraId="576252ED" w14:textId="0D317848" w:rsidR="008A6042" w:rsidRPr="00D30BFF" w:rsidRDefault="008A6042" w:rsidP="00DE1C04">
      <w:pPr>
        <w:pStyle w:val="ListBullet"/>
        <w:numPr>
          <w:ilvl w:val="0"/>
          <w:numId w:val="0"/>
        </w:numPr>
        <w:spacing w:after="320"/>
        <w:ind w:left="360"/>
        <w:rPr>
          <w:lang w:val="en-AU"/>
        </w:rPr>
      </w:pPr>
      <w:r w:rsidRPr="00D30BFF">
        <w:rPr>
          <w:lang w:val="en-AU"/>
        </w:rPr>
        <w:t>Productive and effective land management</w:t>
      </w:r>
    </w:p>
    <w:p w14:paraId="6D9B9771" w14:textId="77777777" w:rsidR="000C3DAF" w:rsidRDefault="008A6042" w:rsidP="00DE1C04">
      <w:pPr>
        <w:pStyle w:val="ListBullet"/>
        <w:spacing w:after="0" w:line="360" w:lineRule="auto"/>
        <w:rPr>
          <w:b/>
          <w:bCs/>
          <w:lang w:val="en-AU"/>
        </w:rPr>
      </w:pPr>
      <w:r w:rsidRPr="00D30BFF">
        <w:rPr>
          <w:b/>
          <w:bCs/>
          <w:lang w:val="en-AU"/>
        </w:rPr>
        <w:t>Water</w:t>
      </w:r>
    </w:p>
    <w:p w14:paraId="400046DC" w14:textId="7808A9FB" w:rsidR="00FE2088" w:rsidRPr="00D30BFF" w:rsidRDefault="008A6042" w:rsidP="00F07A41">
      <w:pPr>
        <w:pStyle w:val="ListBullet"/>
        <w:numPr>
          <w:ilvl w:val="0"/>
          <w:numId w:val="0"/>
        </w:numPr>
        <w:ind w:left="360"/>
        <w:rPr>
          <w:lang w:val="en-AU"/>
        </w:rPr>
      </w:pPr>
      <w:r w:rsidRPr="00D30BFF">
        <w:rPr>
          <w:lang w:val="en-AU"/>
        </w:rPr>
        <w:t>Safe, sustainable and productive water resources</w:t>
      </w:r>
    </w:p>
    <w:p w14:paraId="50423F75" w14:textId="77777777" w:rsidR="00FE2088" w:rsidRPr="00D30BFF" w:rsidRDefault="00FE2088" w:rsidP="00FE2088">
      <w:pPr>
        <w:pStyle w:val="Heading1"/>
        <w:pageBreakBefore/>
        <w:rPr>
          <w:lang w:val="en-AU"/>
        </w:rPr>
      </w:pPr>
      <w:bookmarkStart w:id="13" w:name="_Toc207621364"/>
      <w:r w:rsidRPr="00D30BFF">
        <w:rPr>
          <w:lang w:val="en-AU"/>
        </w:rPr>
        <w:lastRenderedPageBreak/>
        <w:t>Agriculture and Forestry</w:t>
      </w:r>
      <w:bookmarkEnd w:id="13"/>
    </w:p>
    <w:p w14:paraId="56BAAF66" w14:textId="77777777" w:rsidR="00FE2088" w:rsidRPr="00D30BFF" w:rsidRDefault="00FE2088" w:rsidP="00FE2088">
      <w:pPr>
        <w:pStyle w:val="Heading2"/>
        <w:rPr>
          <w:lang w:val="en-AU"/>
        </w:rPr>
      </w:pPr>
      <w:r w:rsidRPr="00D30BFF">
        <w:rPr>
          <w:lang w:val="en-AU"/>
        </w:rPr>
        <w:t>Our goal</w:t>
      </w:r>
    </w:p>
    <w:p w14:paraId="52E7BAC3" w14:textId="77777777" w:rsidR="00FE2088" w:rsidRPr="00D30BFF" w:rsidRDefault="00FE2088" w:rsidP="00EF6D90">
      <w:pPr>
        <w:pStyle w:val="BodyText"/>
        <w:spacing w:after="120"/>
        <w:rPr>
          <w:b/>
          <w:bCs/>
          <w:lang w:val="en-AU"/>
        </w:rPr>
      </w:pPr>
      <w:r w:rsidRPr="00D30BFF">
        <w:rPr>
          <w:b/>
          <w:bCs/>
          <w:lang w:val="en-AU"/>
        </w:rPr>
        <w:t>Productive and sustainably used natural resources</w:t>
      </w:r>
    </w:p>
    <w:p w14:paraId="5C176331" w14:textId="1EF4BB76" w:rsidR="00FE2088" w:rsidRPr="00D30BFF" w:rsidRDefault="00FE2088" w:rsidP="00EF6D90">
      <w:pPr>
        <w:pStyle w:val="BodyText"/>
        <w:spacing w:after="120"/>
        <w:rPr>
          <w:lang w:val="en-AU"/>
        </w:rPr>
      </w:pPr>
      <w:r w:rsidRPr="00D30BFF">
        <w:rPr>
          <w:lang w:val="en-AU"/>
        </w:rPr>
        <w:t>Deliver services to the agriculture, food and fibre sectors to enhance productivity, connect the sector with international markets, create jobs, support growth and maintain effective biosecurity.</w:t>
      </w:r>
    </w:p>
    <w:p w14:paraId="720180B9" w14:textId="5EDFF18B" w:rsidR="00FE2088" w:rsidRPr="00D30BFF" w:rsidRDefault="00FE2088" w:rsidP="00FE2088">
      <w:pPr>
        <w:pStyle w:val="Heading2"/>
        <w:rPr>
          <w:lang w:val="en-AU"/>
        </w:rPr>
      </w:pPr>
      <w:r w:rsidRPr="00D30BFF">
        <w:rPr>
          <w:lang w:val="en-AU"/>
        </w:rPr>
        <w:t>Outcome indicators</w:t>
      </w:r>
    </w:p>
    <w:p w14:paraId="3EB4300C" w14:textId="77777777" w:rsidR="00FE2088" w:rsidRPr="00D30BFF" w:rsidRDefault="00FE2088" w:rsidP="00FE2088">
      <w:pPr>
        <w:pStyle w:val="ListBullet"/>
        <w:rPr>
          <w:lang w:val="en-AU"/>
        </w:rPr>
      </w:pPr>
      <w:r w:rsidRPr="00D30BFF">
        <w:rPr>
          <w:lang w:val="en-AU"/>
        </w:rPr>
        <w:t>Advance the prominence and growth of the agriculture sector by supporting primary producers with sustainable agribusiness initiatives.</w:t>
      </w:r>
    </w:p>
    <w:p w14:paraId="21A4009F" w14:textId="77777777" w:rsidR="00FE2088" w:rsidRPr="00D30BFF" w:rsidRDefault="00FE2088" w:rsidP="00FE2088">
      <w:pPr>
        <w:pStyle w:val="ListBullet"/>
        <w:rPr>
          <w:lang w:val="en-AU"/>
        </w:rPr>
      </w:pPr>
      <w:r w:rsidRPr="00D30BFF">
        <w:rPr>
          <w:lang w:val="en-AU"/>
        </w:rPr>
        <w:t>Increase innovation to meet future production, climate, biosecurity, market access and workforce challenges within agriculture.</w:t>
      </w:r>
    </w:p>
    <w:p w14:paraId="79187F31" w14:textId="77777777" w:rsidR="000C3DAF" w:rsidRDefault="00FE2088" w:rsidP="00FE2088">
      <w:pPr>
        <w:pStyle w:val="ListBullet"/>
        <w:rPr>
          <w:lang w:val="en-AU"/>
        </w:rPr>
      </w:pPr>
      <w:r w:rsidRPr="00D30BFF">
        <w:rPr>
          <w:lang w:val="en-AU"/>
        </w:rPr>
        <w:t>Support the sustainable growth of the animal, food and fibre sector while managing biosecurity, animal welfare and other risks, and minimising adverse impacts to the environment and public health.</w:t>
      </w:r>
    </w:p>
    <w:p w14:paraId="29E84834" w14:textId="050DAFA8" w:rsidR="00FE2088" w:rsidRPr="00D30BFF" w:rsidRDefault="00FE2088" w:rsidP="00EF6D90">
      <w:pPr>
        <w:pStyle w:val="LastBulletinList"/>
        <w:spacing w:after="240"/>
        <w:rPr>
          <w:lang w:val="en-AU"/>
        </w:rPr>
      </w:pPr>
      <w:r w:rsidRPr="00D30BFF">
        <w:rPr>
          <w:lang w:val="en-AU"/>
        </w:rPr>
        <w:t>Manage the transition away from native timber harvesting, supporting timber communities and timber industry businesses and workers.</w:t>
      </w:r>
    </w:p>
    <w:p w14:paraId="4F26A910" w14:textId="77777777" w:rsidR="00FE2088" w:rsidRPr="00D30BFF" w:rsidRDefault="00FE2088" w:rsidP="00FE2088">
      <w:pPr>
        <w:pStyle w:val="Heading2"/>
        <w:rPr>
          <w:lang w:val="en-AU"/>
        </w:rPr>
      </w:pPr>
      <w:r w:rsidRPr="00D30BFF">
        <w:rPr>
          <w:lang w:val="en-AU"/>
        </w:rPr>
        <w:t>Success 2025-26</w:t>
      </w:r>
    </w:p>
    <w:p w14:paraId="1930B12B" w14:textId="77777777" w:rsidR="00FE2088" w:rsidRPr="00D30BFF" w:rsidRDefault="00FE2088" w:rsidP="00EF6D90">
      <w:pPr>
        <w:pStyle w:val="BodyText"/>
        <w:spacing w:after="180"/>
        <w:rPr>
          <w:lang w:val="en-AU"/>
        </w:rPr>
      </w:pPr>
      <w:r w:rsidRPr="00D30BFF">
        <w:rPr>
          <w:lang w:val="en-AU"/>
        </w:rPr>
        <w:t>2,000,000 trees planted under the Gippsland Plantation Investment Program to ensure a long-term and sustainable plantation timber industry</w:t>
      </w:r>
    </w:p>
    <w:p w14:paraId="7C0976BD" w14:textId="77777777" w:rsidR="00FE2088" w:rsidRPr="00D30BFF" w:rsidRDefault="00FE2088" w:rsidP="00EF6D90">
      <w:pPr>
        <w:pStyle w:val="BodyText"/>
        <w:spacing w:after="180"/>
        <w:rPr>
          <w:lang w:val="en-AU"/>
        </w:rPr>
      </w:pPr>
      <w:r w:rsidRPr="00D30BFF">
        <w:rPr>
          <w:lang w:val="en-AU"/>
        </w:rPr>
        <w:t>90% of preparedness activities implemented, in line with agreed plans, to ensure response readiness for emergency animal and plant pest, disease and natural disaster incidents</w:t>
      </w:r>
    </w:p>
    <w:p w14:paraId="05303CBA" w14:textId="5995B6B8" w:rsidR="00FE2088" w:rsidRPr="00D30BFF" w:rsidRDefault="00FE2088" w:rsidP="00FE2088">
      <w:pPr>
        <w:pStyle w:val="BodyText"/>
        <w:rPr>
          <w:lang w:val="en-AU"/>
        </w:rPr>
      </w:pPr>
      <w:r w:rsidRPr="00D30BFF">
        <w:rPr>
          <w:lang w:val="en-AU"/>
        </w:rPr>
        <w:t>50% ratio of external funds co-invested in agriculture research and development projects</w:t>
      </w:r>
    </w:p>
    <w:p w14:paraId="26966AA9" w14:textId="77777777" w:rsidR="00FE2088" w:rsidRPr="00D30BFF" w:rsidRDefault="00FE2088" w:rsidP="00FE2088">
      <w:pPr>
        <w:pStyle w:val="Heading2"/>
        <w:rPr>
          <w:lang w:val="en-AU"/>
        </w:rPr>
      </w:pPr>
      <w:r w:rsidRPr="00D30BFF">
        <w:rPr>
          <w:lang w:val="en-AU"/>
        </w:rPr>
        <w:lastRenderedPageBreak/>
        <w:t>Total budget</w:t>
      </w:r>
    </w:p>
    <w:p w14:paraId="7386ACFC" w14:textId="77777777" w:rsidR="00FE2088" w:rsidRPr="00D30BFF" w:rsidRDefault="00FE2088" w:rsidP="00FE2088">
      <w:pPr>
        <w:pStyle w:val="BodyText"/>
        <w:rPr>
          <w:b/>
          <w:bCs/>
          <w:lang w:val="en-AU"/>
        </w:rPr>
      </w:pPr>
      <w:r w:rsidRPr="00D30BFF">
        <w:rPr>
          <w:b/>
          <w:bCs/>
          <w:lang w:val="en-AU"/>
        </w:rPr>
        <w:t>$537.2 million</w:t>
      </w:r>
    </w:p>
    <w:p w14:paraId="6234BEE3" w14:textId="77777777" w:rsidR="000C3DAF" w:rsidRDefault="00FE2088" w:rsidP="00FE2088">
      <w:pPr>
        <w:pStyle w:val="Heading2"/>
        <w:rPr>
          <w:lang w:val="en-AU"/>
        </w:rPr>
      </w:pPr>
      <w:r w:rsidRPr="00D30BFF">
        <w:rPr>
          <w:lang w:val="en-AU"/>
        </w:rPr>
        <w:t>Key initiatives</w:t>
      </w:r>
    </w:p>
    <w:p w14:paraId="77770643" w14:textId="3BD47FB9" w:rsidR="00FE2088" w:rsidRPr="00D30BFF" w:rsidRDefault="00FE2088" w:rsidP="00FE2088">
      <w:pPr>
        <w:pStyle w:val="Heading3"/>
        <w:rPr>
          <w:lang w:val="en-AU"/>
        </w:rPr>
      </w:pPr>
      <w:r w:rsidRPr="00D30BFF">
        <w:rPr>
          <w:lang w:val="en-AU"/>
        </w:rPr>
        <w:t>Deliver against Agribusiness priority in the Economic Growth Statement to grow the economic potential of the sector</w:t>
      </w:r>
    </w:p>
    <w:p w14:paraId="3F072765" w14:textId="77777777" w:rsidR="000C3DAF" w:rsidRDefault="00FE2088" w:rsidP="00FE2088">
      <w:pPr>
        <w:pStyle w:val="Normalbeforebullets"/>
      </w:pPr>
      <w:r w:rsidRPr="00D30BFF">
        <w:t>The 2024 Economic Growth Statement identifies agribusiness as a priority sector for investment and development, recognising its role in delivering productivity gains, regional growth and broader economic benefits. In response, Agriculture Victoria (AV) will coordinate a set of high-impact initiatives that demonstrate tangible progress against this priority, opportunities for co-investment and advancement of complementary government goals. In 2025-26 these will include:</w:t>
      </w:r>
    </w:p>
    <w:p w14:paraId="783F0808" w14:textId="77777777" w:rsidR="000C3DAF" w:rsidRDefault="00FE2088" w:rsidP="00FE2088">
      <w:pPr>
        <w:pStyle w:val="ListBullet"/>
        <w:rPr>
          <w:lang w:val="en-AU"/>
        </w:rPr>
      </w:pPr>
      <w:r w:rsidRPr="00D30BFF">
        <w:rPr>
          <w:lang w:val="en-AU"/>
        </w:rPr>
        <w:t>undertaking a supply chain resilience and growth assessment to identify vulnerabilities and economic enablers across the agriculture sector</w:t>
      </w:r>
    </w:p>
    <w:p w14:paraId="1488685C" w14:textId="107F21C4" w:rsidR="00FE2088" w:rsidRPr="00D30BFF" w:rsidRDefault="00FE2088" w:rsidP="00FE2088">
      <w:pPr>
        <w:pStyle w:val="ListBullet"/>
        <w:rPr>
          <w:lang w:val="en-AU"/>
        </w:rPr>
      </w:pPr>
      <w:r w:rsidRPr="00D30BFF">
        <w:rPr>
          <w:lang w:val="en-AU"/>
        </w:rPr>
        <w:t>undertaking a reform project to establish a new, independent, food safety regulator consolidating existing food safety regulatory functions</w:t>
      </w:r>
    </w:p>
    <w:p w14:paraId="50186079" w14:textId="77777777" w:rsidR="00FE2088" w:rsidRPr="00D30BFF" w:rsidRDefault="00FE2088" w:rsidP="00FE2088">
      <w:pPr>
        <w:pStyle w:val="ListBullet"/>
        <w:rPr>
          <w:lang w:val="en-AU"/>
        </w:rPr>
      </w:pPr>
      <w:r w:rsidRPr="00D30BFF">
        <w:rPr>
          <w:lang w:val="en-AU"/>
        </w:rPr>
        <w:t>assessing and identifying opportunities to address regulatory burden on farmers</w:t>
      </w:r>
    </w:p>
    <w:p w14:paraId="76AF21A4" w14:textId="77777777" w:rsidR="000C3DAF" w:rsidRDefault="00FE2088" w:rsidP="00FE2088">
      <w:pPr>
        <w:pStyle w:val="ListBullet"/>
        <w:rPr>
          <w:lang w:val="en-AU"/>
        </w:rPr>
      </w:pPr>
      <w:r w:rsidRPr="00D30BFF">
        <w:rPr>
          <w:lang w:val="en-AU"/>
        </w:rPr>
        <w:t>supporting the development of a land use coexistence policy and framework as outlined in the Victorian Critical Minerals Roadmap</w:t>
      </w:r>
    </w:p>
    <w:p w14:paraId="23C94E1E" w14:textId="77777777" w:rsidR="000C3DAF" w:rsidRDefault="00FE2088" w:rsidP="00FE2088">
      <w:pPr>
        <w:pStyle w:val="ListBullet"/>
        <w:rPr>
          <w:lang w:val="en-AU"/>
        </w:rPr>
      </w:pPr>
      <w:r w:rsidRPr="00D30BFF">
        <w:rPr>
          <w:lang w:val="en-AU"/>
        </w:rPr>
        <w:t>delivering the Food and Fibre Export Performance Report for 2024-25</w:t>
      </w:r>
    </w:p>
    <w:p w14:paraId="4AF97CDD" w14:textId="37AA8551" w:rsidR="00FE2088" w:rsidRPr="00D30BFF" w:rsidRDefault="00FE2088" w:rsidP="00FE2088">
      <w:pPr>
        <w:pStyle w:val="ListBullet"/>
        <w:rPr>
          <w:lang w:val="en-AU"/>
        </w:rPr>
      </w:pPr>
      <w:r w:rsidRPr="00D30BFF">
        <w:rPr>
          <w:lang w:val="en-AU"/>
        </w:rPr>
        <w:t xml:space="preserve">delivering strategic engagement across the sector to support agribusiness innovation, investment and growth in collaboration with DJSIR, </w:t>
      </w:r>
      <w:proofErr w:type="spellStart"/>
      <w:r w:rsidRPr="00D30BFF">
        <w:rPr>
          <w:lang w:val="en-AU"/>
        </w:rPr>
        <w:t>LaunchVic</w:t>
      </w:r>
      <w:proofErr w:type="spellEnd"/>
      <w:r w:rsidRPr="00D30BFF">
        <w:rPr>
          <w:lang w:val="en-AU"/>
        </w:rPr>
        <w:t xml:space="preserve"> and local government.</w:t>
      </w:r>
    </w:p>
    <w:p w14:paraId="69DA607B" w14:textId="77777777" w:rsidR="000C3DAF" w:rsidRDefault="00FE2088" w:rsidP="00FE2088">
      <w:pPr>
        <w:pStyle w:val="Heading3"/>
        <w:rPr>
          <w:lang w:val="en-AU"/>
        </w:rPr>
      </w:pPr>
      <w:r w:rsidRPr="00D30BFF">
        <w:rPr>
          <w:lang w:val="en-AU"/>
        </w:rPr>
        <w:lastRenderedPageBreak/>
        <w:t>Accelerate action by the agriculture sector to reduce emissions and adapt to climate change</w:t>
      </w:r>
    </w:p>
    <w:p w14:paraId="136BC159" w14:textId="77777777" w:rsidR="000C3DAF" w:rsidRDefault="00FE2088" w:rsidP="00FE2088">
      <w:pPr>
        <w:pStyle w:val="BodyText"/>
        <w:rPr>
          <w:lang w:val="en-AU"/>
        </w:rPr>
      </w:pPr>
      <w:r w:rsidRPr="00D30BFF">
        <w:rPr>
          <w:lang w:val="en-AU"/>
        </w:rPr>
        <w:t>Deliver priority projects that underpin Victoria’s transition to a net zero emissions by 2045 that are aimed at delivering world class research, fast tracking innovation improving access to practical solutions and tools, and targeted incentives to support more farmers to implement more solutions on farm.</w:t>
      </w:r>
    </w:p>
    <w:p w14:paraId="2420655F" w14:textId="79B44298" w:rsidR="00FE2088" w:rsidRPr="00D30BFF" w:rsidRDefault="00FE2088" w:rsidP="00FE2088">
      <w:pPr>
        <w:pStyle w:val="Heading3"/>
        <w:rPr>
          <w:lang w:val="en-AU"/>
        </w:rPr>
      </w:pPr>
      <w:r w:rsidRPr="00D30BFF">
        <w:rPr>
          <w:lang w:val="en-AU"/>
        </w:rPr>
        <w:t>Develop and deliver the Victorian Government drought support package 2025-26</w:t>
      </w:r>
    </w:p>
    <w:p w14:paraId="2089BCC8" w14:textId="77777777" w:rsidR="000C3DAF" w:rsidRDefault="00FE2088" w:rsidP="00FE2088">
      <w:pPr>
        <w:pStyle w:val="BodyText"/>
        <w:rPr>
          <w:lang w:val="en-AU"/>
        </w:rPr>
      </w:pPr>
      <w:r w:rsidRPr="00D30BFF">
        <w:rPr>
          <w:lang w:val="en-AU"/>
        </w:rPr>
        <w:t>Guided by the Victorian Government Drought Preparedness and Response Framework, AV will provide advice to the Victorian Government on seasonal conditions to inform Government decisions on drought support. AV will in turn oversee whole-of-Victorian Government delivery arrangements and directly deliver invested drought supports, underpinned by a proactive communications and engagement approach. Key 2025-26 drought support programs and activities include ‘Look over the Farm Gate’ mental health and wellbeing program; Farm Drought Support Grants program; kangaroo management program; farmer advisory services; Small Business Financial Counsellor and communications and engagement activities.</w:t>
      </w:r>
    </w:p>
    <w:p w14:paraId="52FED480" w14:textId="77777777" w:rsidR="000C3DAF" w:rsidRDefault="00FE2088" w:rsidP="00FE2088">
      <w:pPr>
        <w:pStyle w:val="Heading3"/>
        <w:rPr>
          <w:lang w:val="en-AU"/>
        </w:rPr>
      </w:pPr>
      <w:r w:rsidRPr="00D30BFF">
        <w:rPr>
          <w:lang w:val="en-AU"/>
        </w:rPr>
        <w:t>Protecting Victoria from Biosecurity Threats</w:t>
      </w:r>
    </w:p>
    <w:p w14:paraId="3087EBA4" w14:textId="77777777" w:rsidR="000C3DAF" w:rsidRDefault="00FE2088" w:rsidP="00FE2088">
      <w:pPr>
        <w:pStyle w:val="BodyText"/>
        <w:rPr>
          <w:lang w:val="en-AU"/>
        </w:rPr>
      </w:pPr>
      <w:r w:rsidRPr="00D30BFF">
        <w:rPr>
          <w:lang w:val="en-AU"/>
        </w:rPr>
        <w:t>Deliver a dedicated preparedness program to optimise response, relief, and recovery arrangements for a biosecurity emergency including an Emergency Animal Disease (EAD) or new plant pest or disease incursion.</w:t>
      </w:r>
    </w:p>
    <w:p w14:paraId="38D75F4F" w14:textId="152B1316" w:rsidR="00FE2088" w:rsidRPr="00D30BFF" w:rsidRDefault="00FE2088" w:rsidP="00FE2088">
      <w:pPr>
        <w:pStyle w:val="Heading3"/>
        <w:rPr>
          <w:lang w:val="en-AU"/>
        </w:rPr>
      </w:pPr>
      <w:r w:rsidRPr="00D30BFF">
        <w:rPr>
          <w:lang w:val="en-AU"/>
        </w:rPr>
        <w:t>Deliver the Gippsland Plantations Investment Program</w:t>
      </w:r>
    </w:p>
    <w:p w14:paraId="794ADBA5" w14:textId="39702407" w:rsidR="00FE2088" w:rsidRPr="00D30BFF" w:rsidRDefault="00FE2088" w:rsidP="00FE2088">
      <w:pPr>
        <w:pStyle w:val="BodyText"/>
        <w:rPr>
          <w:lang w:val="en-AU"/>
        </w:rPr>
      </w:pPr>
      <w:r w:rsidRPr="00D30BFF">
        <w:rPr>
          <w:lang w:val="en-AU"/>
        </w:rPr>
        <w:t xml:space="preserve">The $122.7 million Gippsland Plantations Investment Program (GPIP) is part of the government’s commitment to grow more plantations as the state transitions away from native forest harvesting. The GPIP will add an additional 16 million trees to Victoria’s </w:t>
      </w:r>
      <w:r w:rsidRPr="00D30BFF">
        <w:rPr>
          <w:lang w:val="en-AU"/>
        </w:rPr>
        <w:lastRenderedPageBreak/>
        <w:t>plantation estate through greenfield development and is expected to remove approximately 7.8 million tonnes of carbon dioxide over the next 25 years.</w:t>
      </w:r>
    </w:p>
    <w:p w14:paraId="2DD2654C" w14:textId="4DD0C803" w:rsidR="00FE2088" w:rsidRPr="00D30BFF" w:rsidRDefault="00CD6402" w:rsidP="00FE2088">
      <w:pPr>
        <w:pStyle w:val="BodyText"/>
        <w:rPr>
          <w:i/>
          <w:iCs/>
          <w:lang w:val="en-AU"/>
        </w:rPr>
      </w:pPr>
      <w:r w:rsidRPr="00D30BFF">
        <w:rPr>
          <w:i/>
          <w:iCs/>
          <w:lang w:val="en-AU"/>
        </w:rPr>
        <w:t>‘The Gippsland Plantations Investment Program will add an additional 16 million trees to Victoria’s plantation estate through greenfield development and is expected to remove approximately 7.8 million tonnes of carbon dioxide over the next 25 years.’</w:t>
      </w:r>
    </w:p>
    <w:p w14:paraId="28EF09CA" w14:textId="695588F9" w:rsidR="00CD6402" w:rsidRPr="00D30BFF" w:rsidRDefault="00CD6402" w:rsidP="00CD6402">
      <w:pPr>
        <w:pStyle w:val="Heading1"/>
        <w:pageBreakBefore/>
        <w:rPr>
          <w:lang w:val="en-AU"/>
        </w:rPr>
      </w:pPr>
      <w:bookmarkStart w:id="14" w:name="_Toc207621365"/>
      <w:r w:rsidRPr="00D30BFF">
        <w:rPr>
          <w:lang w:val="en-AU"/>
        </w:rPr>
        <w:lastRenderedPageBreak/>
        <w:t>Climate Action</w:t>
      </w:r>
      <w:bookmarkEnd w:id="14"/>
    </w:p>
    <w:p w14:paraId="104A699F" w14:textId="277404F6" w:rsidR="00CD6402" w:rsidRPr="00D30BFF" w:rsidRDefault="00CD6402" w:rsidP="00CD6402">
      <w:pPr>
        <w:pStyle w:val="Heading2"/>
        <w:rPr>
          <w:lang w:val="en-AU"/>
        </w:rPr>
      </w:pPr>
      <w:r w:rsidRPr="00D30BFF">
        <w:rPr>
          <w:lang w:val="en-AU"/>
        </w:rPr>
        <w:t>Our goal</w:t>
      </w:r>
    </w:p>
    <w:p w14:paraId="11C2AF8A" w14:textId="77777777" w:rsidR="00CD6402" w:rsidRPr="00D30BFF" w:rsidRDefault="00CD6402" w:rsidP="00CD6402">
      <w:pPr>
        <w:pStyle w:val="BodyText"/>
        <w:rPr>
          <w:b/>
          <w:bCs/>
          <w:lang w:val="en-AU"/>
        </w:rPr>
      </w:pPr>
      <w:r w:rsidRPr="00D30BFF">
        <w:rPr>
          <w:b/>
          <w:bCs/>
          <w:lang w:val="en-AU"/>
        </w:rPr>
        <w:t>Net zero emission, climate-ready economy and community</w:t>
      </w:r>
    </w:p>
    <w:p w14:paraId="59429F33" w14:textId="74D4EC24" w:rsidR="00CD6402" w:rsidRPr="00D30BFF" w:rsidRDefault="00CD6402" w:rsidP="00CD6402">
      <w:pPr>
        <w:pStyle w:val="BodyText"/>
        <w:rPr>
          <w:lang w:val="en-AU"/>
        </w:rPr>
      </w:pPr>
      <w:r w:rsidRPr="00D30BFF">
        <w:rPr>
          <w:lang w:val="en-AU"/>
        </w:rPr>
        <w:t>Lead the whole of government delivery of Victoria’s climate action, including reducing greenhouse gas emissions, adapting to the impacts of a changing climate, and supporting the economic and social transition to a net zero emissions and climate resilient future.</w:t>
      </w:r>
    </w:p>
    <w:p w14:paraId="5E6A56A2" w14:textId="77777777" w:rsidR="00CD6402" w:rsidRPr="00D30BFF" w:rsidRDefault="00CD6402" w:rsidP="00CD6402">
      <w:pPr>
        <w:pStyle w:val="Heading2"/>
        <w:rPr>
          <w:lang w:val="en-AU"/>
        </w:rPr>
      </w:pPr>
      <w:r w:rsidRPr="00D30BFF">
        <w:rPr>
          <w:lang w:val="en-AU"/>
        </w:rPr>
        <w:t>Outcome indicators</w:t>
      </w:r>
    </w:p>
    <w:p w14:paraId="308A66B6" w14:textId="77777777" w:rsidR="00CD6402" w:rsidRPr="00D30BFF" w:rsidRDefault="00CD6402" w:rsidP="00CD6402">
      <w:pPr>
        <w:pStyle w:val="ListBullet"/>
        <w:rPr>
          <w:lang w:val="en-AU"/>
        </w:rPr>
      </w:pPr>
      <w:r w:rsidRPr="00D30BFF">
        <w:rPr>
          <w:lang w:val="en-AU"/>
        </w:rPr>
        <w:t>Reduce greenhouse gas emissions</w:t>
      </w:r>
    </w:p>
    <w:p w14:paraId="4CDED526" w14:textId="675A58E6" w:rsidR="00CD6402" w:rsidRPr="00D30BFF" w:rsidRDefault="00CD6402" w:rsidP="00CD6402">
      <w:pPr>
        <w:pStyle w:val="LastBulletinList"/>
        <w:rPr>
          <w:lang w:val="en-AU"/>
        </w:rPr>
      </w:pPr>
      <w:r w:rsidRPr="00D30BFF">
        <w:rPr>
          <w:lang w:val="en-AU"/>
        </w:rPr>
        <w:t>Strengthen community and government resilience to climate change hazards</w:t>
      </w:r>
    </w:p>
    <w:p w14:paraId="1BA3E2C1" w14:textId="77777777" w:rsidR="00CD6402" w:rsidRPr="00D30BFF" w:rsidRDefault="00CD6402" w:rsidP="00CD6402">
      <w:pPr>
        <w:pStyle w:val="Heading2"/>
        <w:rPr>
          <w:lang w:val="en-AU"/>
        </w:rPr>
      </w:pPr>
      <w:r w:rsidRPr="00D30BFF">
        <w:rPr>
          <w:lang w:val="en-AU"/>
        </w:rPr>
        <w:t>Success 2025-26</w:t>
      </w:r>
    </w:p>
    <w:p w14:paraId="793ED8AE" w14:textId="77777777" w:rsidR="00CD6402" w:rsidRPr="00D30BFF" w:rsidRDefault="00CD6402" w:rsidP="00CD6402">
      <w:pPr>
        <w:pStyle w:val="ListBullet"/>
        <w:rPr>
          <w:lang w:val="en-AU"/>
        </w:rPr>
      </w:pPr>
      <w:r w:rsidRPr="00D30BFF">
        <w:rPr>
          <w:lang w:val="en-AU"/>
        </w:rPr>
        <w:t xml:space="preserve">8.5 million kWh saved by Victorian schools participating in the </w:t>
      </w:r>
      <w:proofErr w:type="spellStart"/>
      <w:r w:rsidRPr="00D30BFF">
        <w:rPr>
          <w:lang w:val="en-AU"/>
        </w:rPr>
        <w:t>ResourceSmart</w:t>
      </w:r>
      <w:proofErr w:type="spellEnd"/>
      <w:r w:rsidRPr="00D30BFF">
        <w:rPr>
          <w:lang w:val="en-AU"/>
        </w:rPr>
        <w:t xml:space="preserve"> Schools program managed by Sustainability Victoria</w:t>
      </w:r>
    </w:p>
    <w:p w14:paraId="7B0B91DB" w14:textId="77777777" w:rsidR="00CD6402" w:rsidRPr="00D30BFF" w:rsidRDefault="00CD6402" w:rsidP="00CD6402">
      <w:pPr>
        <w:pStyle w:val="ListBullet"/>
        <w:rPr>
          <w:lang w:val="en-AU"/>
        </w:rPr>
      </w:pPr>
      <w:r w:rsidRPr="00D30BFF">
        <w:rPr>
          <w:lang w:val="en-AU"/>
        </w:rPr>
        <w:t>100% of statutory outputs under the Climate Action Act 2017 delivered on time</w:t>
      </w:r>
    </w:p>
    <w:p w14:paraId="1992B7A5" w14:textId="10114FB1" w:rsidR="00CD6402" w:rsidRPr="00D30BFF" w:rsidRDefault="00CD6402" w:rsidP="00CD6402">
      <w:pPr>
        <w:pStyle w:val="LastBulletinList"/>
        <w:rPr>
          <w:lang w:val="en-AU"/>
        </w:rPr>
      </w:pPr>
      <w:r w:rsidRPr="00D30BFF">
        <w:rPr>
          <w:lang w:val="en-AU"/>
        </w:rPr>
        <w:t>On track for 28-33% reduction in Victoria’s emissions by 2025</w:t>
      </w:r>
    </w:p>
    <w:p w14:paraId="2C9BFFDF" w14:textId="77777777" w:rsidR="00CD6402" w:rsidRPr="00D30BFF" w:rsidRDefault="00CD6402" w:rsidP="00CD6402">
      <w:pPr>
        <w:pStyle w:val="Heading2"/>
        <w:rPr>
          <w:lang w:val="en-AU"/>
        </w:rPr>
      </w:pPr>
      <w:r w:rsidRPr="00D30BFF">
        <w:rPr>
          <w:lang w:val="en-AU"/>
        </w:rPr>
        <w:t>Total budget</w:t>
      </w:r>
    </w:p>
    <w:p w14:paraId="77B3DA10" w14:textId="77777777" w:rsidR="00CD6402" w:rsidRPr="00D30BFF" w:rsidRDefault="00CD6402" w:rsidP="00CD6402">
      <w:pPr>
        <w:pStyle w:val="BodyText"/>
        <w:rPr>
          <w:b/>
          <w:bCs/>
          <w:lang w:val="en-AU"/>
        </w:rPr>
      </w:pPr>
      <w:r w:rsidRPr="00D30BFF">
        <w:rPr>
          <w:b/>
          <w:bCs/>
          <w:lang w:val="en-AU"/>
        </w:rPr>
        <w:t>$18.4 million</w:t>
      </w:r>
    </w:p>
    <w:p w14:paraId="4A31A38C" w14:textId="77777777" w:rsidR="000C3DAF" w:rsidRDefault="00CD6402" w:rsidP="00CD6402">
      <w:pPr>
        <w:pStyle w:val="Heading2"/>
        <w:rPr>
          <w:lang w:val="en-AU"/>
        </w:rPr>
      </w:pPr>
      <w:r w:rsidRPr="00D30BFF">
        <w:rPr>
          <w:lang w:val="en-AU"/>
        </w:rPr>
        <w:lastRenderedPageBreak/>
        <w:t>Key initiatives</w:t>
      </w:r>
    </w:p>
    <w:p w14:paraId="1F4B6D28" w14:textId="6967B257" w:rsidR="00CD6402" w:rsidRPr="00D30BFF" w:rsidRDefault="00CD6402" w:rsidP="00CD6402">
      <w:pPr>
        <w:pStyle w:val="Heading3"/>
        <w:rPr>
          <w:lang w:val="en-AU"/>
        </w:rPr>
      </w:pPr>
      <w:r w:rsidRPr="00D30BFF">
        <w:rPr>
          <w:lang w:val="en-AU"/>
        </w:rPr>
        <w:t>Demonstrate Victorian Government leadership in the transition to a net zero, climate resilient and circular economy</w:t>
      </w:r>
    </w:p>
    <w:p w14:paraId="015BCB22" w14:textId="77777777" w:rsidR="000C3DAF" w:rsidRDefault="00CD6402" w:rsidP="00CD6402">
      <w:pPr>
        <w:pStyle w:val="Normalbeforebullets"/>
      </w:pPr>
      <w:r w:rsidRPr="00D30BFF">
        <w:t>Embed assessment of climate action considerations and circular economy principles into the decisions and activities of government. Provide analysis and advice on a coordinated and strategic approach to Victorian Government sustainability leadership in legislative frameworks and management of government operations and assets. To achieve this DEECA will:</w:t>
      </w:r>
    </w:p>
    <w:p w14:paraId="5D49D49F" w14:textId="77777777" w:rsidR="000C3DAF" w:rsidRDefault="00CD6402" w:rsidP="00CD6402">
      <w:pPr>
        <w:pStyle w:val="ListBullet"/>
        <w:rPr>
          <w:lang w:val="en-AU"/>
        </w:rPr>
      </w:pPr>
      <w:r w:rsidRPr="00D30BFF">
        <w:rPr>
          <w:lang w:val="en-AU"/>
        </w:rPr>
        <w:t>Embed climate action and circular economy considerations in government policy, budget, procurement and investment decisions.</w:t>
      </w:r>
    </w:p>
    <w:p w14:paraId="5871B228" w14:textId="77777777" w:rsidR="000C3DAF" w:rsidRDefault="00CD6402" w:rsidP="00CD6402">
      <w:pPr>
        <w:pStyle w:val="ListBullet"/>
        <w:rPr>
          <w:lang w:val="en-AU"/>
        </w:rPr>
      </w:pPr>
      <w:r w:rsidRPr="00D30BFF">
        <w:rPr>
          <w:lang w:val="en-AU"/>
        </w:rPr>
        <w:t>Provide advice and develop policy guidance and tools to support management of climate risk and reduce emissions across Victorian Government operations.</w:t>
      </w:r>
    </w:p>
    <w:p w14:paraId="6CDA865F" w14:textId="77777777" w:rsidR="000C3DAF" w:rsidRDefault="00CD6402" w:rsidP="00CD6402">
      <w:pPr>
        <w:pStyle w:val="ListBullet"/>
        <w:rPr>
          <w:lang w:val="en-AU"/>
        </w:rPr>
      </w:pPr>
      <w:r w:rsidRPr="00D30BFF">
        <w:rPr>
          <w:lang w:val="en-AU"/>
        </w:rPr>
        <w:t>Support Victorian participation in national and international climate action partnerships to gain knowledge and collaborate on new approaches to climate action.</w:t>
      </w:r>
    </w:p>
    <w:p w14:paraId="427F625F" w14:textId="77777777" w:rsidR="000C3DAF" w:rsidRDefault="00CD6402" w:rsidP="00CD6402">
      <w:pPr>
        <w:pStyle w:val="ListBullet"/>
        <w:rPr>
          <w:lang w:val="en-AU"/>
        </w:rPr>
      </w:pPr>
      <w:r w:rsidRPr="00D30BFF">
        <w:rPr>
          <w:lang w:val="en-AU"/>
        </w:rPr>
        <w:t>Provide advice and support on nationally significant climate matters considered by the Energy and Climate Change Ministerial Council meeting (ECMC).</w:t>
      </w:r>
    </w:p>
    <w:p w14:paraId="7FD459B9" w14:textId="1661D6F0" w:rsidR="00CD6402" w:rsidRPr="00D30BFF" w:rsidRDefault="00CD6402" w:rsidP="00CD6402">
      <w:pPr>
        <w:pStyle w:val="LastBulletinList"/>
        <w:rPr>
          <w:lang w:val="en-AU"/>
        </w:rPr>
      </w:pPr>
      <w:r w:rsidRPr="00D30BFF">
        <w:rPr>
          <w:lang w:val="en-AU"/>
        </w:rPr>
        <w:t>Partner with Victorian Traditional Owners to support Traditional Owner climate action aspirations.</w:t>
      </w:r>
    </w:p>
    <w:p w14:paraId="108302A6" w14:textId="77777777" w:rsidR="00CD6402" w:rsidRPr="00D30BFF" w:rsidRDefault="00CD6402" w:rsidP="00CD6402">
      <w:pPr>
        <w:pStyle w:val="Heading3"/>
        <w:rPr>
          <w:lang w:val="en-AU"/>
        </w:rPr>
      </w:pPr>
      <w:r w:rsidRPr="00D30BFF">
        <w:rPr>
          <w:lang w:val="en-AU"/>
        </w:rPr>
        <w:t>Deliver leading climate action strategies for Victoria</w:t>
      </w:r>
    </w:p>
    <w:p w14:paraId="55DE7D89" w14:textId="77777777" w:rsidR="000C3DAF" w:rsidRDefault="00CD6402" w:rsidP="00CD6402">
      <w:pPr>
        <w:pStyle w:val="Normalbeforebullets"/>
      </w:pPr>
      <w:r w:rsidRPr="00D30BFF">
        <w:t>Provide advice to the Victorian Government to deliver a world leading strategic approach to achieving net zero emissions by 2045 and building climate resilience. To achieve this DEECA will:</w:t>
      </w:r>
    </w:p>
    <w:p w14:paraId="5AEE7C7D" w14:textId="77777777" w:rsidR="000C3DAF" w:rsidRDefault="00CD6402" w:rsidP="00CD6402">
      <w:pPr>
        <w:pStyle w:val="ListBullet"/>
        <w:rPr>
          <w:lang w:val="en-AU"/>
        </w:rPr>
      </w:pPr>
      <w:r w:rsidRPr="00D30BFF">
        <w:rPr>
          <w:lang w:val="en-AU"/>
        </w:rPr>
        <w:t>Provide advice on maintaining a world leading climate action legislative framework.</w:t>
      </w:r>
    </w:p>
    <w:p w14:paraId="24D153E0" w14:textId="77777777" w:rsidR="000C3DAF" w:rsidRDefault="00CD6402" w:rsidP="00CD6402">
      <w:pPr>
        <w:pStyle w:val="ListBullet"/>
        <w:rPr>
          <w:lang w:val="en-AU"/>
        </w:rPr>
      </w:pPr>
      <w:r w:rsidRPr="00D30BFF">
        <w:rPr>
          <w:lang w:val="en-AU"/>
        </w:rPr>
        <w:lastRenderedPageBreak/>
        <w:t>Provide advice on Victoria’s whole of economy strategy for climate action including preparing Victoria’s Climate Change Strategy 2026-2030.</w:t>
      </w:r>
    </w:p>
    <w:p w14:paraId="1F1B3C7E" w14:textId="0A2ABE40" w:rsidR="00CD6402" w:rsidRPr="00D30BFF" w:rsidRDefault="00CD6402" w:rsidP="00CD6402">
      <w:pPr>
        <w:pStyle w:val="ListBullet"/>
        <w:rPr>
          <w:lang w:val="en-AU"/>
        </w:rPr>
      </w:pPr>
      <w:r w:rsidRPr="00D30BFF">
        <w:rPr>
          <w:lang w:val="en-AU"/>
        </w:rPr>
        <w:t>Provide advice on cost-effective emissions reduction policies to meet Victoria’s emissions reduction targets, including coordinating seven emissions reduction pledges for 2026-2030 across six sectors and the Government’s own operations.</w:t>
      </w:r>
    </w:p>
    <w:p w14:paraId="72EC5FE6" w14:textId="77777777" w:rsidR="00CD6402" w:rsidRPr="00D30BFF" w:rsidRDefault="00CD6402" w:rsidP="00CD6402">
      <w:pPr>
        <w:pStyle w:val="ListBullet"/>
        <w:rPr>
          <w:lang w:val="en-AU"/>
        </w:rPr>
      </w:pPr>
      <w:r w:rsidRPr="00D30BFF">
        <w:rPr>
          <w:lang w:val="en-AU"/>
        </w:rPr>
        <w:t>Provide evidence-based advice on the economic opportunities (growth, jobs, productivity) of the climate action.</w:t>
      </w:r>
    </w:p>
    <w:p w14:paraId="7127E83F" w14:textId="77777777" w:rsidR="00CD6402" w:rsidRPr="00D30BFF" w:rsidRDefault="00CD6402" w:rsidP="00CD6402">
      <w:pPr>
        <w:pStyle w:val="ListBullet"/>
        <w:rPr>
          <w:lang w:val="en-AU"/>
        </w:rPr>
      </w:pPr>
      <w:r w:rsidRPr="00D30BFF">
        <w:rPr>
          <w:lang w:val="en-AU"/>
        </w:rPr>
        <w:t>Lead development and implementation oversight of adaptation across Government including delivery on new Adaptation Action Plans for October 2026</w:t>
      </w:r>
    </w:p>
    <w:p w14:paraId="2305B618" w14:textId="77777777" w:rsidR="00CD6402" w:rsidRPr="00D30BFF" w:rsidRDefault="00CD6402" w:rsidP="00CD6402">
      <w:pPr>
        <w:pStyle w:val="ListBullet"/>
        <w:rPr>
          <w:lang w:val="en-AU"/>
        </w:rPr>
      </w:pPr>
      <w:r w:rsidRPr="00D30BFF">
        <w:rPr>
          <w:lang w:val="en-AU"/>
        </w:rPr>
        <w:t>Deliver cross-cutting policies and interventions to improve Victoria’s climate resilience</w:t>
      </w:r>
    </w:p>
    <w:p w14:paraId="2D277E47" w14:textId="77777777" w:rsidR="00CD6402" w:rsidRPr="00D30BFF" w:rsidRDefault="00CD6402" w:rsidP="00CD6402">
      <w:pPr>
        <w:pStyle w:val="LastBulletinList"/>
        <w:rPr>
          <w:lang w:val="en-AU"/>
        </w:rPr>
      </w:pPr>
      <w:r w:rsidRPr="00D30BFF">
        <w:rPr>
          <w:lang w:val="en-AU"/>
        </w:rPr>
        <w:t>Monitor &amp; Report on Victoria’s climate action work program to ensure alignment across Victorian Government &amp; progress towards climate goals.</w:t>
      </w:r>
    </w:p>
    <w:p w14:paraId="5F242F2D" w14:textId="77777777" w:rsidR="00CD6402" w:rsidRPr="00D30BFF" w:rsidRDefault="00CD6402" w:rsidP="00CD6402">
      <w:pPr>
        <w:pStyle w:val="Heading3"/>
        <w:rPr>
          <w:lang w:val="en-AU"/>
        </w:rPr>
      </w:pPr>
      <w:r w:rsidRPr="00D30BFF">
        <w:rPr>
          <w:lang w:val="en-AU"/>
        </w:rPr>
        <w:t>Deliver best available climate science and emissions analysis</w:t>
      </w:r>
    </w:p>
    <w:p w14:paraId="3B19A052" w14:textId="77777777" w:rsidR="000C3DAF" w:rsidRDefault="00CD6402" w:rsidP="00CD6402">
      <w:pPr>
        <w:pStyle w:val="Normalbeforebullets"/>
      </w:pPr>
      <w:r w:rsidRPr="00D30BFF">
        <w:t>Provide best available climate science and emissions analysis to support effective climate action in Victoria. To achieve this DEECA will:</w:t>
      </w:r>
    </w:p>
    <w:p w14:paraId="6155620C" w14:textId="77777777" w:rsidR="000C3DAF" w:rsidRDefault="00CD6402" w:rsidP="00CD6402">
      <w:pPr>
        <w:pStyle w:val="ListBullet"/>
        <w:rPr>
          <w:lang w:val="en-AU"/>
        </w:rPr>
      </w:pPr>
      <w:r w:rsidRPr="00D30BFF">
        <w:rPr>
          <w:lang w:val="en-AU"/>
        </w:rPr>
        <w:t>Leverage investment in the Climate Science Report 2024 to support decision-makers to apply climate science across government infrastructure priorities, development of new Adaptation Action Plans and climate risk management.</w:t>
      </w:r>
    </w:p>
    <w:p w14:paraId="58DD9668" w14:textId="612847BF" w:rsidR="00CD6402" w:rsidRPr="00D30BFF" w:rsidRDefault="00CD6402" w:rsidP="00CD6402">
      <w:pPr>
        <w:pStyle w:val="ListBullet"/>
        <w:rPr>
          <w:lang w:val="en-AU"/>
        </w:rPr>
      </w:pPr>
      <w:r w:rsidRPr="00D30BFF">
        <w:rPr>
          <w:lang w:val="en-AU"/>
        </w:rPr>
        <w:t>Publish Victoria’s annual greenhouse gas emissions reports.</w:t>
      </w:r>
    </w:p>
    <w:p w14:paraId="2FE490E6" w14:textId="77777777" w:rsidR="000C3DAF" w:rsidRDefault="00CD6402" w:rsidP="00CD6402">
      <w:pPr>
        <w:pStyle w:val="ListBullet"/>
        <w:rPr>
          <w:lang w:val="en-AU"/>
        </w:rPr>
      </w:pPr>
      <w:r w:rsidRPr="00D30BFF">
        <w:rPr>
          <w:lang w:val="en-AU"/>
        </w:rPr>
        <w:t>Monitor and assess Victoria's emissions to provide advice on how Victoria is tracking towards interim targets and net zero and to inform evidence-based policy decisions.</w:t>
      </w:r>
    </w:p>
    <w:p w14:paraId="647A22BA" w14:textId="239F4346" w:rsidR="00CD6402" w:rsidRPr="00D30BFF" w:rsidRDefault="00CD6402" w:rsidP="00CD6402">
      <w:pPr>
        <w:pStyle w:val="ListBullet"/>
        <w:rPr>
          <w:lang w:val="en-AU"/>
        </w:rPr>
      </w:pPr>
      <w:r w:rsidRPr="00D30BFF">
        <w:rPr>
          <w:lang w:val="en-AU"/>
        </w:rPr>
        <w:t>Support emissions monitoring and reporting across VPS including updates to associated Financial Reporting Directions.</w:t>
      </w:r>
    </w:p>
    <w:p w14:paraId="002673D9" w14:textId="3E5C9607" w:rsidR="00EC37CF" w:rsidRPr="00D30BFF" w:rsidRDefault="008436DF" w:rsidP="00782F87">
      <w:pPr>
        <w:pStyle w:val="Heading1"/>
        <w:rPr>
          <w:lang w:val="en-AU"/>
        </w:rPr>
      </w:pPr>
      <w:bookmarkStart w:id="15" w:name="_Toc207621366"/>
      <w:r w:rsidRPr="00D30BFF">
        <w:rPr>
          <w:lang w:val="en-AU"/>
        </w:rPr>
        <w:lastRenderedPageBreak/>
        <w:t>Earth Resources</w:t>
      </w:r>
      <w:bookmarkEnd w:id="15"/>
    </w:p>
    <w:p w14:paraId="7C59EEED" w14:textId="77777777" w:rsidR="008436DF" w:rsidRPr="00D30BFF" w:rsidRDefault="008436DF" w:rsidP="00782F87">
      <w:pPr>
        <w:pStyle w:val="Heading2"/>
        <w:rPr>
          <w:lang w:val="en-AU"/>
        </w:rPr>
      </w:pPr>
      <w:r w:rsidRPr="00D30BFF">
        <w:rPr>
          <w:lang w:val="en-AU"/>
        </w:rPr>
        <w:t>Our goal</w:t>
      </w:r>
    </w:p>
    <w:p w14:paraId="212FFEF3" w14:textId="45CE716C" w:rsidR="008436DF" w:rsidRPr="00D30BFF" w:rsidRDefault="008436DF" w:rsidP="008436DF">
      <w:pPr>
        <w:pStyle w:val="BodyText"/>
        <w:rPr>
          <w:b/>
          <w:bCs/>
          <w:lang w:val="en-AU"/>
        </w:rPr>
      </w:pPr>
      <w:r w:rsidRPr="00D30BFF">
        <w:rPr>
          <w:b/>
          <w:bCs/>
          <w:lang w:val="en-AU"/>
        </w:rPr>
        <w:t>Sustainable development of Victoria’s earth resources</w:t>
      </w:r>
    </w:p>
    <w:p w14:paraId="39AAD890" w14:textId="495465B3" w:rsidR="008436DF" w:rsidRPr="00D30BFF" w:rsidRDefault="008436DF" w:rsidP="008436DF">
      <w:pPr>
        <w:pStyle w:val="BodyText"/>
        <w:rPr>
          <w:lang w:val="en-AU"/>
        </w:rPr>
      </w:pPr>
      <w:r w:rsidRPr="00D30BFF">
        <w:rPr>
          <w:lang w:val="en-AU"/>
        </w:rPr>
        <w:t>Develop and deliver policy, programs and regulation to enable investment and generate jobs through the sustainable development of the State’s earth resources, including extractives, minerals and petroleum.</w:t>
      </w:r>
    </w:p>
    <w:p w14:paraId="3CB12590" w14:textId="77777777" w:rsidR="008436DF" w:rsidRPr="00D30BFF" w:rsidRDefault="008436DF" w:rsidP="000F46F4">
      <w:pPr>
        <w:pStyle w:val="Heading2"/>
        <w:rPr>
          <w:lang w:val="en-AU"/>
        </w:rPr>
      </w:pPr>
      <w:r w:rsidRPr="00D30BFF">
        <w:rPr>
          <w:lang w:val="en-AU"/>
        </w:rPr>
        <w:t>Outcome indicators</w:t>
      </w:r>
    </w:p>
    <w:p w14:paraId="72FAEA2A" w14:textId="77777777" w:rsidR="008436DF" w:rsidRPr="00D30BFF" w:rsidRDefault="008436DF" w:rsidP="000F46F4">
      <w:pPr>
        <w:pStyle w:val="ListBullet"/>
        <w:rPr>
          <w:lang w:val="en-AU"/>
        </w:rPr>
      </w:pPr>
      <w:r w:rsidRPr="00D30BFF">
        <w:rPr>
          <w:lang w:val="en-AU"/>
        </w:rPr>
        <w:t>Increase investment in Victoria’s earth resources, including new critical minerals required to support decarbonisation and develop value-adding industries</w:t>
      </w:r>
    </w:p>
    <w:p w14:paraId="1EF639D5" w14:textId="77777777" w:rsidR="008436DF" w:rsidRPr="00D30BFF" w:rsidRDefault="008436DF" w:rsidP="000F46F4">
      <w:pPr>
        <w:pStyle w:val="ListBullet"/>
        <w:rPr>
          <w:lang w:val="en-AU"/>
        </w:rPr>
      </w:pPr>
      <w:r w:rsidRPr="00D30BFF">
        <w:rPr>
          <w:lang w:val="en-AU"/>
        </w:rPr>
        <w:t>Build confidence in the performance of the earth resources sector in Victoria and its regulation</w:t>
      </w:r>
    </w:p>
    <w:p w14:paraId="3963FD0A" w14:textId="4DD95983" w:rsidR="008436DF" w:rsidRPr="00D30BFF" w:rsidRDefault="008436DF" w:rsidP="000F46F4">
      <w:pPr>
        <w:pStyle w:val="ListBullet"/>
        <w:rPr>
          <w:lang w:val="en-AU"/>
        </w:rPr>
      </w:pPr>
      <w:r w:rsidRPr="00D30BFF">
        <w:rPr>
          <w:lang w:val="en-AU"/>
        </w:rPr>
        <w:t>Secure the supply of quarry materials essential for new infrastructure and construction</w:t>
      </w:r>
    </w:p>
    <w:p w14:paraId="4BEF43AC" w14:textId="77777777" w:rsidR="008436DF" w:rsidRPr="00D30BFF" w:rsidRDefault="008436DF" w:rsidP="000F46F4">
      <w:pPr>
        <w:pStyle w:val="Heading2"/>
        <w:rPr>
          <w:lang w:val="en-AU"/>
        </w:rPr>
      </w:pPr>
      <w:r w:rsidRPr="00D30BFF">
        <w:rPr>
          <w:lang w:val="en-AU"/>
        </w:rPr>
        <w:t>Success 2025-26</w:t>
      </w:r>
    </w:p>
    <w:p w14:paraId="3503EB90" w14:textId="77777777" w:rsidR="008436DF" w:rsidRPr="00D30BFF" w:rsidRDefault="008436DF" w:rsidP="000F46F4">
      <w:pPr>
        <w:pStyle w:val="ListBullet"/>
        <w:rPr>
          <w:lang w:val="en-AU"/>
        </w:rPr>
      </w:pPr>
      <w:r w:rsidRPr="00D30BFF">
        <w:rPr>
          <w:lang w:val="en-AU"/>
        </w:rPr>
        <w:t>At least 80 million tonnes of new quarry resources approved for extraction in 2025–26</w:t>
      </w:r>
    </w:p>
    <w:p w14:paraId="7270B120" w14:textId="77777777" w:rsidR="008436DF" w:rsidRPr="00D30BFF" w:rsidRDefault="008436DF" w:rsidP="000F46F4">
      <w:pPr>
        <w:pStyle w:val="ListBullet"/>
        <w:rPr>
          <w:lang w:val="en-AU"/>
        </w:rPr>
      </w:pPr>
      <w:r w:rsidRPr="00D30BFF">
        <w:rPr>
          <w:lang w:val="en-AU"/>
        </w:rPr>
        <w:t>95% of mineral license applications and work plans processed within regulatory timeframes in 2025–26</w:t>
      </w:r>
    </w:p>
    <w:p w14:paraId="3015B863" w14:textId="264BD706" w:rsidR="008436DF" w:rsidRPr="00D30BFF" w:rsidRDefault="008436DF" w:rsidP="000F46F4">
      <w:pPr>
        <w:pStyle w:val="ListBullet"/>
        <w:rPr>
          <w:lang w:val="en-AU"/>
        </w:rPr>
      </w:pPr>
      <w:r w:rsidRPr="00D30BFF">
        <w:rPr>
          <w:lang w:val="en-AU"/>
        </w:rPr>
        <w:t>10 Geoscience data packages released in 2025-26 to promote earth resource opportunities across the State</w:t>
      </w:r>
    </w:p>
    <w:p w14:paraId="4C4F8987" w14:textId="77777777" w:rsidR="008436DF" w:rsidRPr="00D30BFF" w:rsidRDefault="008436DF" w:rsidP="000F46F4">
      <w:pPr>
        <w:pStyle w:val="Heading2"/>
        <w:rPr>
          <w:lang w:val="en-AU"/>
        </w:rPr>
      </w:pPr>
      <w:r w:rsidRPr="00D30BFF">
        <w:rPr>
          <w:lang w:val="en-AU"/>
        </w:rPr>
        <w:t>Total budget</w:t>
      </w:r>
    </w:p>
    <w:p w14:paraId="47B32CE9" w14:textId="77777777" w:rsidR="000C3DAF" w:rsidRDefault="008436DF" w:rsidP="008436DF">
      <w:pPr>
        <w:pStyle w:val="BodyText"/>
        <w:rPr>
          <w:b/>
          <w:bCs/>
          <w:lang w:val="en-AU"/>
        </w:rPr>
      </w:pPr>
      <w:r w:rsidRPr="00D30BFF">
        <w:rPr>
          <w:b/>
          <w:bCs/>
          <w:lang w:val="en-AU"/>
        </w:rPr>
        <w:t>$53.7 million</w:t>
      </w:r>
    </w:p>
    <w:p w14:paraId="78FD6F40" w14:textId="77777777" w:rsidR="000C3DAF" w:rsidRDefault="008436DF" w:rsidP="000F46F4">
      <w:pPr>
        <w:pStyle w:val="Heading2"/>
        <w:rPr>
          <w:lang w:val="en-AU"/>
        </w:rPr>
      </w:pPr>
      <w:r w:rsidRPr="00D30BFF">
        <w:rPr>
          <w:lang w:val="en-AU"/>
        </w:rPr>
        <w:lastRenderedPageBreak/>
        <w:t>Key initiatives</w:t>
      </w:r>
    </w:p>
    <w:p w14:paraId="3619695E" w14:textId="3FCEBB8A" w:rsidR="008436DF" w:rsidRPr="00D30BFF" w:rsidRDefault="008436DF" w:rsidP="000F46F4">
      <w:pPr>
        <w:pStyle w:val="Heading3"/>
        <w:rPr>
          <w:lang w:val="en-AU"/>
        </w:rPr>
      </w:pPr>
      <w:r w:rsidRPr="00D30BFF">
        <w:rPr>
          <w:lang w:val="en-AU"/>
        </w:rPr>
        <w:t>Victoria’s Critical Minerals Roadmap</w:t>
      </w:r>
    </w:p>
    <w:p w14:paraId="07EBF991" w14:textId="77777777" w:rsidR="008436DF" w:rsidRPr="00D30BFF" w:rsidRDefault="008436DF" w:rsidP="008436DF">
      <w:pPr>
        <w:pStyle w:val="BodyText"/>
        <w:rPr>
          <w:lang w:val="en-AU"/>
        </w:rPr>
      </w:pPr>
      <w:r w:rsidRPr="00D30BFF">
        <w:rPr>
          <w:lang w:val="en-AU"/>
        </w:rPr>
        <w:t>In December 2024, the Victorian Government released the Critical Minerals Roadmap which aims to support the growth of a sustainable critical minerals industry in Victoria. To date there has been underinvestment in Victorian critical minerals development and its full potential has not been realised. However, with demand for critical minerals and energy transition technologies, which they enable, surging worldwide, Victoria is on the cusp of becoming a significant part of the global critical minerals supply chain. The Roadmap outlines the Victorian Government’s commitment to developing a responsible critical minerals industry.</w:t>
      </w:r>
    </w:p>
    <w:p w14:paraId="02D1EEEB" w14:textId="77777777" w:rsidR="008436DF" w:rsidRPr="00D30BFF" w:rsidRDefault="008436DF" w:rsidP="000F46F4">
      <w:pPr>
        <w:pStyle w:val="Heading3"/>
        <w:rPr>
          <w:lang w:val="en-AU"/>
        </w:rPr>
      </w:pPr>
      <w:r w:rsidRPr="00D30BFF">
        <w:rPr>
          <w:lang w:val="en-AU"/>
        </w:rPr>
        <w:t>Secure the supply of quarry materials</w:t>
      </w:r>
    </w:p>
    <w:p w14:paraId="4AC76C89" w14:textId="77777777" w:rsidR="008436DF" w:rsidRPr="00D30BFF" w:rsidRDefault="008436DF" w:rsidP="008436DF">
      <w:pPr>
        <w:pStyle w:val="BodyText"/>
        <w:rPr>
          <w:lang w:val="en-AU"/>
        </w:rPr>
      </w:pPr>
      <w:r w:rsidRPr="00D30BFF">
        <w:rPr>
          <w:lang w:val="en-AU"/>
        </w:rPr>
        <w:t>Victoria’s quarry resources sector supplies the raw construction materials to support the state’s private and public building projects. If the local supply of quarry-based construction materials fails to meet demand, building costs are expected to rise and could lead to major construction delays. To ensure the supply of quarry resources remains in balance with demand, Resources Victoria will implement the Extractive Resources Joint Ministerial Statement 2025. This seeks to unlock in each period more new resources for production than Victorians demand.</w:t>
      </w:r>
    </w:p>
    <w:p w14:paraId="5F9BA254" w14:textId="77777777" w:rsidR="008436DF" w:rsidRPr="00D30BFF" w:rsidRDefault="008436DF" w:rsidP="000F46F4">
      <w:pPr>
        <w:pStyle w:val="Heading3"/>
        <w:rPr>
          <w:lang w:val="en-AU"/>
        </w:rPr>
      </w:pPr>
      <w:r w:rsidRPr="00D30BFF">
        <w:rPr>
          <w:lang w:val="en-AU"/>
        </w:rPr>
        <w:t>Transition to new Duties Model</w:t>
      </w:r>
    </w:p>
    <w:p w14:paraId="4C951BA4" w14:textId="70AF6A32" w:rsidR="008436DF" w:rsidRPr="00D30BFF" w:rsidRDefault="008436DF" w:rsidP="008436DF">
      <w:pPr>
        <w:pStyle w:val="BodyText"/>
        <w:rPr>
          <w:lang w:val="en-AU"/>
        </w:rPr>
      </w:pPr>
      <w:r w:rsidRPr="00D30BFF">
        <w:rPr>
          <w:lang w:val="en-AU"/>
        </w:rPr>
        <w:t xml:space="preserve">The Mineral Resources (Sustainable Development) Act 1990 (MRSDA) is the principal instrument that regulates the resources industry. The framework is overly complex, outdated and out of step with community expectations, industry needs and contemporary risks. The MRSDA Amendment Act 2023, passed in August 2023, provides heads of power for the introduction of a new regulatory framework based on a statutory duty, and to implement works approval reforms by 1 July 2027. The framework will be complemented </w:t>
      </w:r>
      <w:r w:rsidRPr="00D30BFF">
        <w:rPr>
          <w:lang w:val="en-AU"/>
        </w:rPr>
        <w:lastRenderedPageBreak/>
        <w:t>by risk-based compliance obligations to enable a modern, proportionate and fit-for-purpose regulatory framework that is simpler and more transparent.</w:t>
      </w:r>
    </w:p>
    <w:p w14:paraId="0D25E8EF" w14:textId="4A70FACE" w:rsidR="008436DF" w:rsidRPr="00D30BFF" w:rsidRDefault="008436DF" w:rsidP="008436DF">
      <w:pPr>
        <w:pStyle w:val="Heading1"/>
        <w:pageBreakBefore/>
        <w:rPr>
          <w:lang w:val="en-AU"/>
        </w:rPr>
      </w:pPr>
      <w:bookmarkStart w:id="16" w:name="_Toc207621367"/>
      <w:r w:rsidRPr="00D30BFF">
        <w:rPr>
          <w:lang w:val="en-AU"/>
        </w:rPr>
        <w:lastRenderedPageBreak/>
        <w:t>Emergency Management</w:t>
      </w:r>
      <w:bookmarkEnd w:id="16"/>
    </w:p>
    <w:p w14:paraId="03861EDC" w14:textId="77777777" w:rsidR="008436DF" w:rsidRPr="00D30BFF" w:rsidRDefault="008436DF" w:rsidP="000F46F4">
      <w:pPr>
        <w:pStyle w:val="Heading2"/>
        <w:rPr>
          <w:lang w:val="en-AU"/>
        </w:rPr>
      </w:pPr>
      <w:r w:rsidRPr="00D30BFF">
        <w:rPr>
          <w:lang w:val="en-AU"/>
        </w:rPr>
        <w:t>Our goal</w:t>
      </w:r>
    </w:p>
    <w:p w14:paraId="381F30B7" w14:textId="77777777" w:rsidR="000C3DAF" w:rsidRDefault="008436DF" w:rsidP="008436DF">
      <w:pPr>
        <w:pStyle w:val="BodyText"/>
        <w:rPr>
          <w:lang w:val="en-AU"/>
        </w:rPr>
      </w:pPr>
      <w:r w:rsidRPr="00D30BFF">
        <w:rPr>
          <w:lang w:val="en-AU"/>
        </w:rPr>
        <w:t>Reduced impact of major bushfires and other emergencies</w:t>
      </w:r>
    </w:p>
    <w:p w14:paraId="57ECA889" w14:textId="2DA1ED73" w:rsidR="008436DF" w:rsidRPr="00D30BFF" w:rsidRDefault="008436DF" w:rsidP="008436DF">
      <w:pPr>
        <w:pStyle w:val="BodyText"/>
        <w:rPr>
          <w:lang w:val="en-AU"/>
        </w:rPr>
      </w:pPr>
      <w:r w:rsidRPr="00D30BFF">
        <w:rPr>
          <w:lang w:val="en-AU"/>
        </w:rPr>
        <w:t>Plan and deliver integrated bushfire management together with land and fire managers and with the community across public and private land and use world-leading science to manage fire and ecosystems.</w:t>
      </w:r>
    </w:p>
    <w:p w14:paraId="0DA16FBD" w14:textId="77777777" w:rsidR="008436DF" w:rsidRPr="00D30BFF" w:rsidRDefault="008436DF" w:rsidP="000F46F4">
      <w:pPr>
        <w:pStyle w:val="Heading2"/>
        <w:rPr>
          <w:lang w:val="en-AU"/>
        </w:rPr>
      </w:pPr>
      <w:r w:rsidRPr="00D30BFF">
        <w:rPr>
          <w:lang w:val="en-AU"/>
        </w:rPr>
        <w:t>Outcome indicators</w:t>
      </w:r>
    </w:p>
    <w:p w14:paraId="054859BD" w14:textId="77777777" w:rsidR="008436DF" w:rsidRPr="00D30BFF" w:rsidRDefault="008436DF" w:rsidP="000F46F4">
      <w:pPr>
        <w:pStyle w:val="ListBullet"/>
        <w:rPr>
          <w:lang w:val="en-AU"/>
        </w:rPr>
      </w:pPr>
      <w:r w:rsidRPr="00D30BFF">
        <w:rPr>
          <w:lang w:val="en-AU"/>
        </w:rPr>
        <w:t>Increase the level of preparedness for bushfires and other emergencies</w:t>
      </w:r>
    </w:p>
    <w:p w14:paraId="43A7645A" w14:textId="77777777" w:rsidR="008436DF" w:rsidRPr="00D30BFF" w:rsidRDefault="008436DF" w:rsidP="000F46F4">
      <w:pPr>
        <w:pStyle w:val="ListBullet"/>
        <w:rPr>
          <w:lang w:val="en-AU"/>
        </w:rPr>
      </w:pPr>
      <w:r w:rsidRPr="00D30BFF">
        <w:rPr>
          <w:lang w:val="en-AU"/>
        </w:rPr>
        <w:t>Increase community understanding of potential risks and impacts of bushfires and other emergencies</w:t>
      </w:r>
    </w:p>
    <w:p w14:paraId="2C75D2E8" w14:textId="2678057D" w:rsidR="008436DF" w:rsidRPr="00D30BFF" w:rsidRDefault="008436DF" w:rsidP="000F46F4">
      <w:pPr>
        <w:pStyle w:val="ListBullet"/>
        <w:rPr>
          <w:lang w:val="en-AU"/>
        </w:rPr>
      </w:pPr>
      <w:r w:rsidRPr="00D30BFF">
        <w:rPr>
          <w:lang w:val="en-AU"/>
        </w:rPr>
        <w:t>Increase the ability of communities, the environment, local economies and ecosystems to recover from bushfires and other emergencies</w:t>
      </w:r>
    </w:p>
    <w:p w14:paraId="3F28E439" w14:textId="77777777" w:rsidR="008436DF" w:rsidRPr="00D30BFF" w:rsidRDefault="008436DF" w:rsidP="000F46F4">
      <w:pPr>
        <w:pStyle w:val="Heading2"/>
        <w:rPr>
          <w:lang w:val="en-AU"/>
        </w:rPr>
      </w:pPr>
      <w:r w:rsidRPr="00D30BFF">
        <w:rPr>
          <w:lang w:val="en-AU"/>
        </w:rPr>
        <w:t>Success 2025-26</w:t>
      </w:r>
    </w:p>
    <w:p w14:paraId="1EC845A9" w14:textId="77777777" w:rsidR="008436DF" w:rsidRPr="00D30BFF" w:rsidRDefault="008436DF" w:rsidP="000F46F4">
      <w:pPr>
        <w:pStyle w:val="ListBullet"/>
        <w:rPr>
          <w:lang w:val="en-AU"/>
        </w:rPr>
      </w:pPr>
      <w:r w:rsidRPr="00D30BFF">
        <w:rPr>
          <w:lang w:val="en-AU"/>
        </w:rPr>
        <w:t>Statewide bushfire risk is maintained at or below 70%</w:t>
      </w:r>
    </w:p>
    <w:p w14:paraId="04252DE7" w14:textId="77777777" w:rsidR="008436DF" w:rsidRPr="00D30BFF" w:rsidRDefault="008436DF" w:rsidP="000F46F4">
      <w:pPr>
        <w:pStyle w:val="ListBullet"/>
        <w:rPr>
          <w:lang w:val="en-AU"/>
        </w:rPr>
      </w:pPr>
      <w:r w:rsidRPr="00D30BFF">
        <w:rPr>
          <w:lang w:val="en-AU"/>
        </w:rPr>
        <w:t>80% of fires contained at less than 5 hectares/first attack to suppress fires before they become established, minimising impact</w:t>
      </w:r>
    </w:p>
    <w:p w14:paraId="215EB1AA" w14:textId="77777777" w:rsidR="008436DF" w:rsidRPr="00D30BFF" w:rsidRDefault="008436DF" w:rsidP="000F46F4">
      <w:pPr>
        <w:pStyle w:val="ListBullet"/>
        <w:rPr>
          <w:lang w:val="en-AU"/>
        </w:rPr>
      </w:pPr>
      <w:r w:rsidRPr="00D30BFF">
        <w:rPr>
          <w:lang w:val="en-AU"/>
        </w:rPr>
        <w:t>12 stakeholder and community forums on bushfire management and planned burning held</w:t>
      </w:r>
    </w:p>
    <w:p w14:paraId="4FFE0691" w14:textId="565EB5B6" w:rsidR="008436DF" w:rsidRPr="00F07A41" w:rsidRDefault="008436DF" w:rsidP="008436DF">
      <w:pPr>
        <w:pStyle w:val="ListBullet"/>
        <w:rPr>
          <w:lang w:val="en-AU"/>
        </w:rPr>
      </w:pPr>
      <w:r w:rsidRPr="00D30BFF">
        <w:rPr>
          <w:lang w:val="en-AU"/>
        </w:rPr>
        <w:t>All readiness and response plans completed by October 2025, prior to the upcoming fire season</w:t>
      </w:r>
    </w:p>
    <w:p w14:paraId="5F4EDB3D" w14:textId="77777777" w:rsidR="008436DF" w:rsidRPr="00D30BFF" w:rsidRDefault="008436DF" w:rsidP="000F46F4">
      <w:pPr>
        <w:pStyle w:val="Heading2"/>
        <w:rPr>
          <w:lang w:val="en-AU"/>
        </w:rPr>
      </w:pPr>
      <w:r w:rsidRPr="00D30BFF">
        <w:rPr>
          <w:lang w:val="en-AU"/>
        </w:rPr>
        <w:lastRenderedPageBreak/>
        <w:t>Total budget</w:t>
      </w:r>
    </w:p>
    <w:p w14:paraId="6F3DA8F2" w14:textId="77777777" w:rsidR="008436DF" w:rsidRPr="00D30BFF" w:rsidRDefault="008436DF" w:rsidP="008436DF">
      <w:pPr>
        <w:pStyle w:val="BodyText"/>
        <w:rPr>
          <w:b/>
          <w:bCs/>
          <w:lang w:val="en-AU"/>
        </w:rPr>
      </w:pPr>
      <w:r w:rsidRPr="00D30BFF">
        <w:rPr>
          <w:b/>
          <w:bCs/>
          <w:lang w:val="en-AU"/>
        </w:rPr>
        <w:t>$400.6 million</w:t>
      </w:r>
    </w:p>
    <w:p w14:paraId="595061DE" w14:textId="77777777" w:rsidR="000C3DAF" w:rsidRDefault="008436DF" w:rsidP="000F46F4">
      <w:pPr>
        <w:pStyle w:val="Heading2"/>
        <w:rPr>
          <w:lang w:val="en-AU"/>
        </w:rPr>
      </w:pPr>
      <w:r w:rsidRPr="00D30BFF">
        <w:rPr>
          <w:lang w:val="en-AU"/>
        </w:rPr>
        <w:t>Key initiatives</w:t>
      </w:r>
    </w:p>
    <w:p w14:paraId="29E27E06" w14:textId="77777777" w:rsidR="000C3DAF" w:rsidRDefault="008436DF" w:rsidP="000F46F4">
      <w:pPr>
        <w:pStyle w:val="Heading3"/>
        <w:rPr>
          <w:lang w:val="en-AU"/>
        </w:rPr>
      </w:pPr>
      <w:r w:rsidRPr="00D30BFF">
        <w:rPr>
          <w:lang w:val="en-AU"/>
        </w:rPr>
        <w:t>Support delivery of forest and fire land management works through forest contractors</w:t>
      </w:r>
    </w:p>
    <w:p w14:paraId="131CD9E0" w14:textId="77777777" w:rsidR="000C3DAF" w:rsidRDefault="008436DF" w:rsidP="008436DF">
      <w:pPr>
        <w:pStyle w:val="BodyText"/>
        <w:rPr>
          <w:lang w:val="en-AU"/>
        </w:rPr>
      </w:pPr>
      <w:r w:rsidRPr="00D30BFF">
        <w:rPr>
          <w:lang w:val="en-AU"/>
        </w:rPr>
        <w:t xml:space="preserve">The Forest Contractor Works Program manages the engagement of specialist contractors to supply forest and bushfire management services to </w:t>
      </w:r>
      <w:proofErr w:type="gramStart"/>
      <w:r w:rsidRPr="00D30BFF">
        <w:rPr>
          <w:lang w:val="en-AU"/>
        </w:rPr>
        <w:t>a number of</w:t>
      </w:r>
      <w:proofErr w:type="gramEnd"/>
      <w:r w:rsidRPr="00D30BFF">
        <w:rPr>
          <w:lang w:val="en-AU"/>
        </w:rPr>
        <w:t xml:space="preserve"> programs, including maintenance and delivery works across DEECA’s strategic fire road network, Strategic Fuel Breaks network, hazardous tree treatment, storm debris removal on public land, woody weed management and planned burning preparation. Contractors will also undertake works in the delivery of the </w:t>
      </w:r>
      <w:proofErr w:type="spellStart"/>
      <w:r w:rsidRPr="00D30BFF">
        <w:rPr>
          <w:lang w:val="en-AU"/>
        </w:rPr>
        <w:t>Delatite</w:t>
      </w:r>
      <w:proofErr w:type="spellEnd"/>
      <w:r w:rsidRPr="00D30BFF">
        <w:rPr>
          <w:lang w:val="en-AU"/>
        </w:rPr>
        <w:t xml:space="preserve"> Arm Regeneration project.</w:t>
      </w:r>
    </w:p>
    <w:p w14:paraId="6BEFA239" w14:textId="710976BB" w:rsidR="008436DF" w:rsidRPr="00D30BFF" w:rsidRDefault="008436DF" w:rsidP="000F46F4">
      <w:pPr>
        <w:pStyle w:val="Heading3"/>
        <w:rPr>
          <w:lang w:val="en-AU"/>
        </w:rPr>
      </w:pPr>
      <w:r w:rsidRPr="00D30BFF">
        <w:rPr>
          <w:lang w:val="en-AU"/>
        </w:rPr>
        <w:t>Lead the Coordination of the implementation of the Safer Together Program</w:t>
      </w:r>
    </w:p>
    <w:p w14:paraId="632F4A4F" w14:textId="77777777" w:rsidR="008436DF" w:rsidRPr="00D30BFF" w:rsidRDefault="008436DF" w:rsidP="008436DF">
      <w:pPr>
        <w:pStyle w:val="BodyText"/>
        <w:rPr>
          <w:lang w:val="en-AU"/>
        </w:rPr>
      </w:pPr>
      <w:r w:rsidRPr="00D30BFF">
        <w:rPr>
          <w:lang w:val="en-AU"/>
        </w:rPr>
        <w:t>Safer Together is a flagship program through which the bushfire management sector works together with communities to manage bushfire risk. The Safer Together program seeks to improve the way the sector partners operate, communicate, and engage with each other, stakeholders, and communities, to collectively work towards delivery of the shared outcomes of Victoria’s Bushfire Management Strategy.</w:t>
      </w:r>
    </w:p>
    <w:p w14:paraId="0D5FD856" w14:textId="77777777" w:rsidR="000C3DAF" w:rsidRDefault="008436DF" w:rsidP="000F46F4">
      <w:pPr>
        <w:pStyle w:val="Heading3"/>
        <w:rPr>
          <w:lang w:val="en-AU"/>
        </w:rPr>
      </w:pPr>
      <w:r w:rsidRPr="00D30BFF">
        <w:rPr>
          <w:lang w:val="en-AU"/>
        </w:rPr>
        <w:t>Deliver the fuel management program, including planned burning, mechanical treatment and the construction and maintenance of Strategic Fuel Breaks on public land</w:t>
      </w:r>
    </w:p>
    <w:p w14:paraId="1EBCF5A2" w14:textId="54DF161A" w:rsidR="008436DF" w:rsidRPr="00D30BFF" w:rsidRDefault="008436DF" w:rsidP="008436DF">
      <w:pPr>
        <w:pStyle w:val="BodyText"/>
        <w:rPr>
          <w:lang w:val="en-AU"/>
        </w:rPr>
      </w:pPr>
      <w:r w:rsidRPr="00D30BFF">
        <w:rPr>
          <w:lang w:val="en-AU"/>
        </w:rPr>
        <w:t xml:space="preserve">The fuel management program is a state-wide 3 year rolling program that manages fuel on State Forest, National Parks and Protected Public Land to meet the Secretary’s obligations under the Forest Acts 1958 for the prevention of bushfire. Forest Fire Management Victoria (FFMVic) develops the planned work program of fuel treatment activities to be conducted, </w:t>
      </w:r>
      <w:r w:rsidRPr="00D30BFF">
        <w:rPr>
          <w:lang w:val="en-AU"/>
        </w:rPr>
        <w:lastRenderedPageBreak/>
        <w:t>in partnership with Traditional Owners, other fire and land management agencies and community. This is published in the Joint Fuel Management Plan.</w:t>
      </w:r>
    </w:p>
    <w:p w14:paraId="5228042B" w14:textId="77777777" w:rsidR="008436DF" w:rsidRPr="00D30BFF" w:rsidRDefault="008436DF" w:rsidP="000F46F4">
      <w:pPr>
        <w:pStyle w:val="Heading3"/>
        <w:rPr>
          <w:lang w:val="en-AU"/>
        </w:rPr>
      </w:pPr>
      <w:r w:rsidRPr="00D30BFF">
        <w:rPr>
          <w:lang w:val="en-AU"/>
        </w:rPr>
        <w:t>Deliver preparedness and readiness activities for bushfire and emergency response</w:t>
      </w:r>
    </w:p>
    <w:p w14:paraId="2C8162B9" w14:textId="77777777" w:rsidR="000C3DAF" w:rsidRDefault="008436DF" w:rsidP="008436DF">
      <w:pPr>
        <w:pStyle w:val="BodyText"/>
        <w:rPr>
          <w:lang w:val="en-AU"/>
        </w:rPr>
      </w:pPr>
      <w:r w:rsidRPr="00D30BFF">
        <w:rPr>
          <w:lang w:val="en-AU"/>
        </w:rPr>
        <w:t>DEECA will deliver preparedness and response activities to minimise the impacts from bushfires on the community by suppressing fires at first attack. The preparedness program focuses on all actions that need to be delivered ahead of the fire season. DEECA ensures that the first response to fire and other emergencies is fast, determined, safe and thorough. The delivery of preparedness and response activities will ensure that firefighters are in the best possible situation to contain a large percentage of fires to under 5 Ha/and at first attack at or above 80 per cent target, therefore limiting the amount of risk to firefighters and the potential impacts to the community. Furthermore, this will ultimately reduce the significant social and economic cost associated with communities needing to rebuild.</w:t>
      </w:r>
    </w:p>
    <w:p w14:paraId="57E6B4ED" w14:textId="30FB1C82" w:rsidR="008436DF" w:rsidRPr="00D30BFF" w:rsidRDefault="008436DF" w:rsidP="000F46F4">
      <w:pPr>
        <w:pStyle w:val="Heading3"/>
        <w:rPr>
          <w:lang w:val="en-AU"/>
        </w:rPr>
      </w:pPr>
      <w:r w:rsidRPr="00D30BFF">
        <w:rPr>
          <w:lang w:val="en-AU"/>
        </w:rPr>
        <w:t>Deliver DEECA’s strategic state-wide roading program</w:t>
      </w:r>
    </w:p>
    <w:p w14:paraId="48B7BC2B" w14:textId="77777777" w:rsidR="008436DF" w:rsidRPr="00D30BFF" w:rsidRDefault="008436DF" w:rsidP="008436DF">
      <w:pPr>
        <w:pStyle w:val="BodyText"/>
        <w:rPr>
          <w:lang w:val="en-AU"/>
        </w:rPr>
      </w:pPr>
      <w:r w:rsidRPr="00D30BFF">
        <w:rPr>
          <w:lang w:val="en-AU"/>
        </w:rPr>
        <w:t>This program focusses on improving access and egress on the strategic fire access road network which contributes to firefighter safety and, in the process, building contractor capability in the fire sector. The roading program helps achieve bushfire management objectives, as well as access for forest recreation and tourism.</w:t>
      </w:r>
    </w:p>
    <w:p w14:paraId="4BBA8FD1" w14:textId="77777777" w:rsidR="008436DF" w:rsidRPr="00D30BFF" w:rsidRDefault="008436DF" w:rsidP="000F46F4">
      <w:pPr>
        <w:pStyle w:val="Heading3"/>
        <w:rPr>
          <w:lang w:val="en-AU"/>
        </w:rPr>
      </w:pPr>
      <w:r w:rsidRPr="00D30BFF">
        <w:rPr>
          <w:lang w:val="en-AU"/>
        </w:rPr>
        <w:t>Coordinate delivery of recovery services following emergencies, implementing the One-DEECA Recovery Model</w:t>
      </w:r>
    </w:p>
    <w:p w14:paraId="08A83812" w14:textId="4F2C28BB" w:rsidR="008436DF" w:rsidRPr="00D30BFF" w:rsidRDefault="008436DF" w:rsidP="008436DF">
      <w:pPr>
        <w:pStyle w:val="BodyText"/>
        <w:rPr>
          <w:lang w:val="en-AU"/>
        </w:rPr>
      </w:pPr>
      <w:r w:rsidRPr="00D30BFF">
        <w:rPr>
          <w:lang w:val="en-AU"/>
        </w:rPr>
        <w:t xml:space="preserve">This service delivers on emergency recovery responsibilities and builds resilience now and into the future, by maintaining a one-DEECA recovery framework and coordinating recovery services following emergencies. The service also provides high quality, strategic </w:t>
      </w:r>
      <w:r w:rsidRPr="00D30BFF">
        <w:rPr>
          <w:lang w:val="en-AU"/>
        </w:rPr>
        <w:lastRenderedPageBreak/>
        <w:t>evidence-based advice to support recovery preparedness, planning, delivery, investment, policy, and capability building.</w:t>
      </w:r>
    </w:p>
    <w:p w14:paraId="25006C3A" w14:textId="03E8C926" w:rsidR="008436DF" w:rsidRPr="00D30BFF" w:rsidRDefault="008436DF" w:rsidP="008436DF">
      <w:pPr>
        <w:pStyle w:val="BodyText"/>
        <w:rPr>
          <w:i/>
          <w:iCs/>
          <w:lang w:val="en-AU"/>
        </w:rPr>
      </w:pPr>
      <w:r w:rsidRPr="00D30BFF">
        <w:rPr>
          <w:i/>
          <w:iCs/>
          <w:lang w:val="en-AU"/>
        </w:rPr>
        <w:t>‘DEECA ensures that the first response to fire and other emergencies is fast, determined, safe and thorough.’</w:t>
      </w:r>
    </w:p>
    <w:p w14:paraId="0F3471BF" w14:textId="2C918611" w:rsidR="008436DF" w:rsidRPr="00D30BFF" w:rsidRDefault="008436DF" w:rsidP="008436DF">
      <w:pPr>
        <w:pStyle w:val="Heading1"/>
        <w:pageBreakBefore/>
        <w:rPr>
          <w:lang w:val="en-AU"/>
        </w:rPr>
      </w:pPr>
      <w:bookmarkStart w:id="17" w:name="_Toc207621368"/>
      <w:r w:rsidRPr="00D30BFF">
        <w:rPr>
          <w:lang w:val="en-AU"/>
        </w:rPr>
        <w:lastRenderedPageBreak/>
        <w:t>Energy</w:t>
      </w:r>
      <w:bookmarkEnd w:id="17"/>
    </w:p>
    <w:p w14:paraId="66DD1BDB" w14:textId="77777777" w:rsidR="008436DF" w:rsidRPr="00D30BFF" w:rsidRDefault="008436DF" w:rsidP="00932479">
      <w:pPr>
        <w:pStyle w:val="Heading2"/>
        <w:rPr>
          <w:lang w:val="en-AU"/>
        </w:rPr>
      </w:pPr>
      <w:r w:rsidRPr="00D30BFF">
        <w:rPr>
          <w:lang w:val="en-AU"/>
        </w:rPr>
        <w:t>Our goal</w:t>
      </w:r>
    </w:p>
    <w:p w14:paraId="4B828A48" w14:textId="77777777" w:rsidR="008436DF" w:rsidRPr="00D30BFF" w:rsidRDefault="008436DF" w:rsidP="008436DF">
      <w:pPr>
        <w:pStyle w:val="BodyText"/>
        <w:rPr>
          <w:b/>
          <w:bCs/>
          <w:lang w:val="en-AU"/>
        </w:rPr>
      </w:pPr>
      <w:r w:rsidRPr="00D30BFF">
        <w:rPr>
          <w:b/>
          <w:bCs/>
          <w:lang w:val="en-AU"/>
        </w:rPr>
        <w:t>Reliable, sustainable and affordable energy services</w:t>
      </w:r>
    </w:p>
    <w:p w14:paraId="20D450CF" w14:textId="69FFD14F" w:rsidR="008436DF" w:rsidRPr="00D30BFF" w:rsidRDefault="008436DF" w:rsidP="008436DF">
      <w:pPr>
        <w:pStyle w:val="BodyText"/>
        <w:rPr>
          <w:lang w:val="en-AU"/>
        </w:rPr>
      </w:pPr>
      <w:r w:rsidRPr="00D30BFF">
        <w:rPr>
          <w:lang w:val="en-AU"/>
        </w:rPr>
        <w:t>Provide policy advice to government on how to deliver clean, reliable, sustainable and affordable energy services to Victorians and deliver a comprehensive suite of energy programs that improve energy efficiency, electrification, strengthen consumer protections and improve affordability.</w:t>
      </w:r>
    </w:p>
    <w:p w14:paraId="5525F530" w14:textId="77777777" w:rsidR="008436DF" w:rsidRPr="00D30BFF" w:rsidRDefault="008436DF" w:rsidP="00932479">
      <w:pPr>
        <w:pStyle w:val="Heading2"/>
        <w:rPr>
          <w:lang w:val="en-AU"/>
        </w:rPr>
      </w:pPr>
      <w:r w:rsidRPr="00D30BFF">
        <w:rPr>
          <w:lang w:val="en-AU"/>
        </w:rPr>
        <w:t>Outcome indicators</w:t>
      </w:r>
    </w:p>
    <w:p w14:paraId="2C3C06E2" w14:textId="77777777" w:rsidR="008436DF" w:rsidRPr="00D30BFF" w:rsidRDefault="008436DF" w:rsidP="00EF6D90">
      <w:pPr>
        <w:pStyle w:val="ListBullet"/>
        <w:rPr>
          <w:lang w:val="en-AU"/>
        </w:rPr>
      </w:pPr>
      <w:r w:rsidRPr="00D30BFF">
        <w:rPr>
          <w:lang w:val="en-AU"/>
        </w:rPr>
        <w:t>Increase energy affordability, consumer control and access to energy services</w:t>
      </w:r>
    </w:p>
    <w:p w14:paraId="15E0DAC7" w14:textId="77777777" w:rsidR="008436DF" w:rsidRPr="00D30BFF" w:rsidRDefault="008436DF" w:rsidP="00EF6D90">
      <w:pPr>
        <w:pStyle w:val="ListBullet"/>
        <w:rPr>
          <w:lang w:val="en-AU"/>
        </w:rPr>
      </w:pPr>
      <w:r w:rsidRPr="00D30BFF">
        <w:rPr>
          <w:lang w:val="en-AU"/>
        </w:rPr>
        <w:t>Improve the reliability, security and stability of the energy system</w:t>
      </w:r>
    </w:p>
    <w:p w14:paraId="6E35D37D" w14:textId="77777777" w:rsidR="008436DF" w:rsidRPr="00D30BFF" w:rsidRDefault="008436DF" w:rsidP="00EF6D90">
      <w:pPr>
        <w:pStyle w:val="ListBullet"/>
        <w:rPr>
          <w:lang w:val="en-AU"/>
        </w:rPr>
      </w:pPr>
      <w:r w:rsidRPr="00D30BFF">
        <w:rPr>
          <w:lang w:val="en-AU"/>
        </w:rPr>
        <w:t>Reduce emissions from Victoria’s energy system</w:t>
      </w:r>
    </w:p>
    <w:p w14:paraId="21FF6264" w14:textId="77777777" w:rsidR="008436DF" w:rsidRPr="00D30BFF" w:rsidRDefault="008436DF" w:rsidP="00EF6D90">
      <w:pPr>
        <w:pStyle w:val="ListBullet"/>
        <w:rPr>
          <w:lang w:val="en-AU"/>
        </w:rPr>
      </w:pPr>
      <w:r w:rsidRPr="00D30BFF">
        <w:rPr>
          <w:lang w:val="en-AU"/>
        </w:rPr>
        <w:t>Increase jobs and economic development within the renewable energy sector</w:t>
      </w:r>
    </w:p>
    <w:p w14:paraId="5D6E5318" w14:textId="77777777" w:rsidR="008436DF" w:rsidRPr="00D30BFF" w:rsidRDefault="008436DF" w:rsidP="00EF6D90">
      <w:pPr>
        <w:pStyle w:val="ListBullet"/>
        <w:rPr>
          <w:lang w:val="en-AU"/>
        </w:rPr>
      </w:pPr>
      <w:r w:rsidRPr="00D30BFF">
        <w:rPr>
          <w:lang w:val="en-AU"/>
        </w:rPr>
        <w:t>Enabling Aboriginal self-determination in the energy transition sector</w:t>
      </w:r>
    </w:p>
    <w:p w14:paraId="1EB6E010" w14:textId="6F1E99FE" w:rsidR="008436DF" w:rsidRPr="00D30BFF" w:rsidRDefault="008436DF" w:rsidP="00EF6D90">
      <w:pPr>
        <w:pStyle w:val="ListBullet"/>
        <w:rPr>
          <w:lang w:val="en-AU"/>
        </w:rPr>
      </w:pPr>
      <w:r w:rsidRPr="00D30BFF">
        <w:rPr>
          <w:lang w:val="en-AU"/>
        </w:rPr>
        <w:t>Increase access to affordable renewable energy for Victorians and reduce emissions</w:t>
      </w:r>
    </w:p>
    <w:p w14:paraId="68BE75D7" w14:textId="77777777" w:rsidR="008436DF" w:rsidRPr="00D30BFF" w:rsidRDefault="008436DF" w:rsidP="00932479">
      <w:pPr>
        <w:pStyle w:val="Heading2"/>
        <w:rPr>
          <w:lang w:val="en-AU"/>
        </w:rPr>
      </w:pPr>
      <w:r w:rsidRPr="00D30BFF">
        <w:rPr>
          <w:lang w:val="en-AU"/>
        </w:rPr>
        <w:t>Success 2025-26</w:t>
      </w:r>
    </w:p>
    <w:p w14:paraId="6DBBA380" w14:textId="77777777" w:rsidR="008436DF" w:rsidRPr="00D30BFF" w:rsidRDefault="008436DF" w:rsidP="00EF6D90">
      <w:pPr>
        <w:pStyle w:val="ListBullet"/>
        <w:rPr>
          <w:lang w:val="en-AU"/>
        </w:rPr>
      </w:pPr>
      <w:r w:rsidRPr="00D30BFF">
        <w:rPr>
          <w:lang w:val="en-AU"/>
        </w:rPr>
        <w:t>74,700 Solar Homes Program rebates and loans provided to Victorian households</w:t>
      </w:r>
    </w:p>
    <w:p w14:paraId="527C6301" w14:textId="77777777" w:rsidR="008436DF" w:rsidRPr="00D30BFF" w:rsidRDefault="008436DF" w:rsidP="00EF6D90">
      <w:pPr>
        <w:pStyle w:val="ListBullet"/>
        <w:rPr>
          <w:lang w:val="en-AU"/>
        </w:rPr>
      </w:pPr>
      <w:r w:rsidRPr="00D30BFF">
        <w:rPr>
          <w:lang w:val="en-AU"/>
        </w:rPr>
        <w:t>7.3m Victorian Energy Efficiency Certificates surrendered under the Victorian Energy Upgrades program</w:t>
      </w:r>
    </w:p>
    <w:p w14:paraId="08EF00CC" w14:textId="77777777" w:rsidR="008436DF" w:rsidRPr="00D30BFF" w:rsidRDefault="008436DF" w:rsidP="00EF6D90">
      <w:pPr>
        <w:pStyle w:val="ListBullet"/>
        <w:rPr>
          <w:lang w:val="en-AU"/>
        </w:rPr>
      </w:pPr>
      <w:r w:rsidRPr="00D30BFF">
        <w:rPr>
          <w:lang w:val="en-AU"/>
        </w:rPr>
        <w:t>25 neighbourhood batteries installed, including batteries specifically for Traditional Owners and First Peoples communities</w:t>
      </w:r>
    </w:p>
    <w:p w14:paraId="53FE4702" w14:textId="77777777" w:rsidR="008436DF" w:rsidRPr="00D30BFF" w:rsidRDefault="008436DF" w:rsidP="00EF6D90">
      <w:pPr>
        <w:pStyle w:val="ListBullet"/>
        <w:rPr>
          <w:lang w:val="en-AU"/>
        </w:rPr>
      </w:pPr>
      <w:r w:rsidRPr="00D30BFF">
        <w:rPr>
          <w:lang w:val="en-AU"/>
        </w:rPr>
        <w:lastRenderedPageBreak/>
        <w:t>3,000 vulnerable Victorian energy consumers supported to navigate the energy market by the Energy Assistance Program</w:t>
      </w:r>
    </w:p>
    <w:p w14:paraId="5CF6FAB5" w14:textId="77777777" w:rsidR="008436DF" w:rsidRPr="00D30BFF" w:rsidRDefault="008436DF" w:rsidP="00EF6D90">
      <w:pPr>
        <w:pStyle w:val="LastBulletinList"/>
        <w:rPr>
          <w:lang w:val="en-AU"/>
        </w:rPr>
      </w:pPr>
      <w:r w:rsidRPr="00D30BFF">
        <w:rPr>
          <w:lang w:val="en-AU"/>
        </w:rPr>
        <w:t>70% of users of the Victorian Energy Compare website who report they are likely to recommend the website to others</w:t>
      </w:r>
    </w:p>
    <w:p w14:paraId="09FCC993" w14:textId="77777777" w:rsidR="008436DF" w:rsidRPr="00D30BFF" w:rsidRDefault="008436DF" w:rsidP="00932479">
      <w:pPr>
        <w:pStyle w:val="Heading2"/>
        <w:rPr>
          <w:lang w:val="en-AU"/>
        </w:rPr>
      </w:pPr>
      <w:r w:rsidRPr="00D30BFF">
        <w:rPr>
          <w:lang w:val="en-AU"/>
        </w:rPr>
        <w:t>Total budget</w:t>
      </w:r>
    </w:p>
    <w:p w14:paraId="41CDBB62" w14:textId="77777777" w:rsidR="008436DF" w:rsidRPr="00D30BFF" w:rsidRDefault="008436DF" w:rsidP="008436DF">
      <w:pPr>
        <w:pStyle w:val="BodyText"/>
        <w:rPr>
          <w:b/>
          <w:bCs/>
          <w:lang w:val="en-AU"/>
        </w:rPr>
      </w:pPr>
      <w:r w:rsidRPr="00D30BFF">
        <w:rPr>
          <w:b/>
          <w:bCs/>
          <w:lang w:val="en-AU"/>
        </w:rPr>
        <w:t>$306.4 million</w:t>
      </w:r>
    </w:p>
    <w:p w14:paraId="0F15EA82" w14:textId="77777777" w:rsidR="000C3DAF" w:rsidRDefault="008436DF" w:rsidP="00932479">
      <w:pPr>
        <w:pStyle w:val="Heading2"/>
        <w:rPr>
          <w:lang w:val="en-AU"/>
        </w:rPr>
      </w:pPr>
      <w:r w:rsidRPr="00D30BFF">
        <w:rPr>
          <w:lang w:val="en-AU"/>
        </w:rPr>
        <w:t>Key initiatives</w:t>
      </w:r>
    </w:p>
    <w:p w14:paraId="1C678019" w14:textId="7AB50F39" w:rsidR="008436DF" w:rsidRPr="00D30BFF" w:rsidRDefault="008436DF" w:rsidP="00932479">
      <w:pPr>
        <w:pStyle w:val="Heading3"/>
        <w:rPr>
          <w:lang w:val="en-AU"/>
        </w:rPr>
      </w:pPr>
      <w:r w:rsidRPr="00D30BFF">
        <w:rPr>
          <w:lang w:val="en-AU"/>
        </w:rPr>
        <w:t>Deliver the Offshore Wind Energy Program</w:t>
      </w:r>
    </w:p>
    <w:p w14:paraId="49A9F6D4" w14:textId="77777777" w:rsidR="008436DF" w:rsidRPr="00D30BFF" w:rsidRDefault="008436DF" w:rsidP="008436DF">
      <w:pPr>
        <w:pStyle w:val="BodyText"/>
        <w:rPr>
          <w:lang w:val="en-AU"/>
        </w:rPr>
      </w:pPr>
      <w:r w:rsidRPr="00D30BFF">
        <w:rPr>
          <w:lang w:val="en-AU"/>
        </w:rPr>
        <w:t>This is the parent program for the Offshore Wind Energy program of work. Projects that are being delivered under this parent program include Program Governance and Integration, Partnership, Regulatory Frameworks, Investment and Sector Development, and Infrastructure and Supply Chain.  Due to the Port of Hastings referral outcome in January 2024, a priority project was created to identify alternative port options for the State for Victoria's offshore wind program. These projects seek to deliver at least 2 GW of offshore wind generation by 2032, with additional targets of 4 GW by 2035, and 9 GWs by 2040.</w:t>
      </w:r>
    </w:p>
    <w:p w14:paraId="186F0241" w14:textId="77777777" w:rsidR="008436DF" w:rsidRPr="00D30BFF" w:rsidRDefault="008436DF" w:rsidP="00932479">
      <w:pPr>
        <w:pStyle w:val="Heading3"/>
        <w:rPr>
          <w:lang w:val="en-AU"/>
        </w:rPr>
      </w:pPr>
      <w:r w:rsidRPr="00D30BFF">
        <w:rPr>
          <w:lang w:val="en-AU"/>
        </w:rPr>
        <w:t>Gas Supply Security</w:t>
      </w:r>
    </w:p>
    <w:p w14:paraId="75B625EB" w14:textId="77777777" w:rsidR="008436DF" w:rsidRPr="00D30BFF" w:rsidRDefault="008436DF" w:rsidP="008436DF">
      <w:pPr>
        <w:pStyle w:val="BodyText"/>
        <w:rPr>
          <w:lang w:val="en-AU"/>
        </w:rPr>
      </w:pPr>
      <w:r w:rsidRPr="00D30BFF">
        <w:rPr>
          <w:lang w:val="en-AU"/>
        </w:rPr>
        <w:t>This service comprises actions to ensure security of gas supply to Victoria whilst the broader transformation away from gas is underway, promoting an orderly transition. This includes facilitation of investments in supply augmentations; changes to the National Gas Rules; and amendments to Victorian legislation and subordinate instruments where required.</w:t>
      </w:r>
    </w:p>
    <w:p w14:paraId="67D98BF3" w14:textId="77777777" w:rsidR="008436DF" w:rsidRPr="00D30BFF" w:rsidRDefault="008436DF" w:rsidP="00932479">
      <w:pPr>
        <w:pStyle w:val="Heading3"/>
        <w:rPr>
          <w:lang w:val="en-AU"/>
        </w:rPr>
      </w:pPr>
      <w:r w:rsidRPr="00D30BFF">
        <w:rPr>
          <w:lang w:val="en-AU"/>
        </w:rPr>
        <w:lastRenderedPageBreak/>
        <w:t>Driving down gas bills for businesses and households - delivery of the Gas Substitution Roadmap</w:t>
      </w:r>
    </w:p>
    <w:p w14:paraId="1FDAD28E" w14:textId="77777777" w:rsidR="008436DF" w:rsidRPr="00D30BFF" w:rsidRDefault="008436DF" w:rsidP="008436DF">
      <w:pPr>
        <w:pStyle w:val="BodyText"/>
        <w:rPr>
          <w:lang w:val="en-AU"/>
        </w:rPr>
      </w:pPr>
      <w:r w:rsidRPr="00D30BFF">
        <w:rPr>
          <w:lang w:val="en-AU"/>
        </w:rPr>
        <w:t>This project will detail the pathways to deliver net zero emissions associated with the supply of fossil gas in Victoria and to identify the policy and regulatory levers and optimal ways to deploy these mechanisms to facilitate a smooth, well-managed transition of the gas sector. The Gas Substitution Roadmap has laid out a long-term vision for energy efficiency, electrification and renewable gases and the Roadmap is updated annually.</w:t>
      </w:r>
    </w:p>
    <w:p w14:paraId="28CC4CEE" w14:textId="77777777" w:rsidR="008436DF" w:rsidRPr="00D30BFF" w:rsidRDefault="008436DF" w:rsidP="00932479">
      <w:pPr>
        <w:pStyle w:val="Heading3"/>
        <w:rPr>
          <w:lang w:val="en-AU"/>
        </w:rPr>
      </w:pPr>
      <w:r w:rsidRPr="00D30BFF">
        <w:rPr>
          <w:lang w:val="en-AU"/>
        </w:rPr>
        <w:t>Energy Affordability Services Program (including Victoria Energy Compare)</w:t>
      </w:r>
    </w:p>
    <w:p w14:paraId="40B01AE8" w14:textId="77777777" w:rsidR="008436DF" w:rsidRPr="00D30BFF" w:rsidRDefault="008436DF" w:rsidP="008436DF">
      <w:pPr>
        <w:pStyle w:val="BodyText"/>
        <w:rPr>
          <w:lang w:val="en-AU"/>
        </w:rPr>
      </w:pPr>
      <w:r w:rsidRPr="00D30BFF">
        <w:rPr>
          <w:lang w:val="en-AU"/>
        </w:rPr>
        <w:t>Deliver critical energy affordability services to increase consumer awareness and engagement in the Victorian energy market, to support market participants, and to support government agencies and regulators with valuable consumer and energy market insights. Services include the Victorian Retailer Portal, Victorian Energy Data Portal, the public-facing Victorian Energy Compare (VEC) website, and the public-facing Household Energy Subscriber Service.</w:t>
      </w:r>
    </w:p>
    <w:p w14:paraId="3F0504F5" w14:textId="77777777" w:rsidR="008436DF" w:rsidRPr="00D30BFF" w:rsidRDefault="008436DF" w:rsidP="00932479">
      <w:pPr>
        <w:pStyle w:val="Heading3"/>
        <w:rPr>
          <w:lang w:val="en-AU"/>
        </w:rPr>
      </w:pPr>
      <w:r w:rsidRPr="00D30BFF">
        <w:rPr>
          <w:lang w:val="en-AU"/>
        </w:rPr>
        <w:t>100 Neighbourhood Batteries</w:t>
      </w:r>
    </w:p>
    <w:p w14:paraId="3E9BFA34" w14:textId="77777777" w:rsidR="008436DF" w:rsidRPr="00D30BFF" w:rsidRDefault="008436DF" w:rsidP="008436DF">
      <w:pPr>
        <w:pStyle w:val="BodyText"/>
        <w:rPr>
          <w:lang w:val="en-AU"/>
        </w:rPr>
      </w:pPr>
      <w:r w:rsidRPr="00D30BFF">
        <w:rPr>
          <w:lang w:val="en-AU"/>
        </w:rPr>
        <w:t>This initiative seeks to implement 100 neighbourhood-scale batteries across Victoria, including in 15 metropolitan and 14 regional local government areas (LGAs) announced prior to the election. The program will utilise a range of different business models to maximise the breadth of benefits delivered to households and communities ($42.2 million over 4 years).</w:t>
      </w:r>
    </w:p>
    <w:p w14:paraId="00DA7682" w14:textId="77777777" w:rsidR="008436DF" w:rsidRPr="00D30BFF" w:rsidRDefault="008436DF" w:rsidP="00932479">
      <w:pPr>
        <w:pStyle w:val="Heading3"/>
        <w:rPr>
          <w:lang w:val="en-AU"/>
        </w:rPr>
      </w:pPr>
      <w:r w:rsidRPr="00D30BFF">
        <w:rPr>
          <w:lang w:val="en-AU"/>
        </w:rPr>
        <w:t>Solar Homes rebate and loans program for owner occupiers and rentals</w:t>
      </w:r>
    </w:p>
    <w:p w14:paraId="580115FE" w14:textId="77777777" w:rsidR="008436DF" w:rsidRPr="00D30BFF" w:rsidRDefault="008436DF" w:rsidP="008436DF">
      <w:pPr>
        <w:pStyle w:val="BodyText"/>
        <w:rPr>
          <w:lang w:val="en-AU"/>
        </w:rPr>
      </w:pPr>
      <w:r w:rsidRPr="00D30BFF">
        <w:rPr>
          <w:lang w:val="en-AU"/>
        </w:rPr>
        <w:t>Deliver the Solar Homes rebates and loans program to reduce the cost of renewable energy technology installation for renters and owner-occupied households, boosting access to affordable and renewable energy for Victorians.</w:t>
      </w:r>
    </w:p>
    <w:p w14:paraId="3CB59707" w14:textId="77777777" w:rsidR="008436DF" w:rsidRPr="00D30BFF" w:rsidRDefault="008436DF" w:rsidP="008436DF">
      <w:pPr>
        <w:pStyle w:val="BodyText"/>
        <w:rPr>
          <w:lang w:val="en-AU"/>
        </w:rPr>
      </w:pPr>
      <w:r w:rsidRPr="00D30BFF">
        <w:rPr>
          <w:lang w:val="en-AU"/>
        </w:rPr>
        <w:lastRenderedPageBreak/>
        <w:t>Governance oversight of the Victorian Energy Upgrades (VEU) program and strategic planning for the future of the VEU program (including setting of targets for 2026-2030)</w:t>
      </w:r>
    </w:p>
    <w:p w14:paraId="288C338B" w14:textId="1D6FC01C" w:rsidR="008436DF" w:rsidRPr="00D30BFF" w:rsidRDefault="008436DF" w:rsidP="008436DF">
      <w:pPr>
        <w:pStyle w:val="BodyText"/>
        <w:rPr>
          <w:lang w:val="en-AU"/>
        </w:rPr>
      </w:pPr>
      <w:r w:rsidRPr="00D30BFF">
        <w:rPr>
          <w:lang w:val="en-AU"/>
        </w:rPr>
        <w:t>Deliver the Victorian Energy Upgrades (VEU) Program, including the launch of the insulation activity and findings from the VEU Strategic Review, to help reduce household and business energy bills by providing incentives on energy saving products.</w:t>
      </w:r>
    </w:p>
    <w:p w14:paraId="53C9B4AD" w14:textId="6DC457E0" w:rsidR="008436DF" w:rsidRPr="00D30BFF" w:rsidRDefault="008436DF" w:rsidP="008436DF">
      <w:pPr>
        <w:pStyle w:val="BodyText"/>
        <w:rPr>
          <w:i/>
          <w:iCs/>
          <w:lang w:val="en-AU"/>
        </w:rPr>
      </w:pPr>
      <w:r w:rsidRPr="00D30BFF">
        <w:rPr>
          <w:i/>
          <w:iCs/>
          <w:lang w:val="en-AU"/>
        </w:rPr>
        <w:t xml:space="preserve">“The 100 </w:t>
      </w:r>
      <w:proofErr w:type="spellStart"/>
      <w:r w:rsidRPr="00D30BFF">
        <w:rPr>
          <w:i/>
          <w:iCs/>
          <w:lang w:val="en-AU"/>
        </w:rPr>
        <w:t>Neighborhood</w:t>
      </w:r>
      <w:proofErr w:type="spellEnd"/>
      <w:r w:rsidRPr="00D30BFF">
        <w:rPr>
          <w:i/>
          <w:iCs/>
          <w:lang w:val="en-AU"/>
        </w:rPr>
        <w:t xml:space="preserve"> Batteries program will utilise a range of different business models to maximise the breadth of benefits delivered to households and communities”</w:t>
      </w:r>
    </w:p>
    <w:p w14:paraId="6CEC2A11" w14:textId="579DA3E7" w:rsidR="008436DF" w:rsidRPr="00D30BFF" w:rsidRDefault="008436DF" w:rsidP="00932479">
      <w:pPr>
        <w:pStyle w:val="Heading1"/>
        <w:pageBreakBefore/>
        <w:rPr>
          <w:lang w:val="en-AU"/>
        </w:rPr>
      </w:pPr>
      <w:bookmarkStart w:id="18" w:name="_Toc207621369"/>
      <w:r w:rsidRPr="00D30BFF">
        <w:rPr>
          <w:lang w:val="en-AU"/>
        </w:rPr>
        <w:lastRenderedPageBreak/>
        <w:t>Environment and Circular Economy</w:t>
      </w:r>
      <w:bookmarkEnd w:id="18"/>
    </w:p>
    <w:p w14:paraId="43C16A62" w14:textId="77777777" w:rsidR="008436DF" w:rsidRPr="00D30BFF" w:rsidRDefault="008436DF" w:rsidP="00015679">
      <w:pPr>
        <w:pStyle w:val="Heading2"/>
        <w:rPr>
          <w:lang w:val="en-AU"/>
        </w:rPr>
      </w:pPr>
      <w:r w:rsidRPr="00D30BFF">
        <w:rPr>
          <w:lang w:val="en-AU"/>
        </w:rPr>
        <w:t>Our goal</w:t>
      </w:r>
    </w:p>
    <w:p w14:paraId="6E1B15B4" w14:textId="77777777" w:rsidR="008436DF" w:rsidRPr="00D30BFF" w:rsidRDefault="008436DF" w:rsidP="008436DF">
      <w:pPr>
        <w:pStyle w:val="BodyText"/>
        <w:rPr>
          <w:b/>
          <w:bCs/>
          <w:lang w:val="en-AU"/>
        </w:rPr>
      </w:pPr>
      <w:r w:rsidRPr="00D30BFF">
        <w:rPr>
          <w:b/>
          <w:bCs/>
          <w:lang w:val="en-AU"/>
        </w:rPr>
        <w:t>Healthy, resilient and biodiverse environment</w:t>
      </w:r>
    </w:p>
    <w:p w14:paraId="50C9532A" w14:textId="201C8E02" w:rsidR="008436DF" w:rsidRPr="00D30BFF" w:rsidRDefault="008436DF" w:rsidP="008436DF">
      <w:pPr>
        <w:pStyle w:val="BodyText"/>
        <w:rPr>
          <w:lang w:val="en-AU"/>
        </w:rPr>
      </w:pPr>
      <w:r w:rsidRPr="00D30BFF">
        <w:rPr>
          <w:lang w:val="en-AU"/>
        </w:rPr>
        <w:t>Develop policies, programs and regulatory responses for environment protection, waste, resource recovery and recycling, ecosystem resilience, native vegetation management, and threatened species together with portfolio partners, local communities and external stakeholders.</w:t>
      </w:r>
    </w:p>
    <w:p w14:paraId="0C051BBD" w14:textId="77777777" w:rsidR="008436DF" w:rsidRPr="00D30BFF" w:rsidRDefault="008436DF" w:rsidP="00015679">
      <w:pPr>
        <w:pStyle w:val="Heading2"/>
        <w:rPr>
          <w:lang w:val="en-AU"/>
        </w:rPr>
      </w:pPr>
      <w:r w:rsidRPr="00D30BFF">
        <w:rPr>
          <w:lang w:val="en-AU"/>
        </w:rPr>
        <w:t>Outcome indicators</w:t>
      </w:r>
    </w:p>
    <w:p w14:paraId="3B05D3CA" w14:textId="77777777" w:rsidR="008436DF" w:rsidRPr="00D30BFF" w:rsidRDefault="008436DF" w:rsidP="00015679">
      <w:pPr>
        <w:pStyle w:val="ListBullet"/>
        <w:ind w:right="-143"/>
        <w:rPr>
          <w:lang w:val="en-AU"/>
        </w:rPr>
      </w:pPr>
      <w:r w:rsidRPr="00D30BFF">
        <w:rPr>
          <w:lang w:val="en-AU"/>
        </w:rPr>
        <w:t>Reduce the harmful effects of pollution and waste on human health and the environment</w:t>
      </w:r>
    </w:p>
    <w:p w14:paraId="699AB3B6" w14:textId="77777777" w:rsidR="008436DF" w:rsidRPr="00D30BFF" w:rsidRDefault="008436DF" w:rsidP="00015679">
      <w:pPr>
        <w:pStyle w:val="ListBullet"/>
        <w:rPr>
          <w:lang w:val="en-AU"/>
        </w:rPr>
      </w:pPr>
      <w:r w:rsidRPr="00D30BFF">
        <w:rPr>
          <w:lang w:val="en-AU"/>
        </w:rPr>
        <w:t>Improve Victoria’s native species populations and their habitat through targeted management</w:t>
      </w:r>
    </w:p>
    <w:p w14:paraId="5727CC22" w14:textId="77777777" w:rsidR="000C3DAF" w:rsidRDefault="008436DF" w:rsidP="00015679">
      <w:pPr>
        <w:pStyle w:val="ListBullet"/>
        <w:rPr>
          <w:lang w:val="en-AU"/>
        </w:rPr>
      </w:pPr>
      <w:r w:rsidRPr="00D30BFF">
        <w:rPr>
          <w:lang w:val="en-AU"/>
        </w:rPr>
        <w:t>Increase Victorians valuing nature</w:t>
      </w:r>
    </w:p>
    <w:p w14:paraId="5A1C3BC4" w14:textId="77777777" w:rsidR="000C3DAF" w:rsidRDefault="008436DF" w:rsidP="00015679">
      <w:pPr>
        <w:pStyle w:val="ListBullet"/>
        <w:rPr>
          <w:lang w:val="en-AU"/>
        </w:rPr>
      </w:pPr>
      <w:r w:rsidRPr="00D30BFF">
        <w:rPr>
          <w:lang w:val="en-AU"/>
        </w:rPr>
        <w:t>Reduce waste and increase circularity of resources in the Victorian economy</w:t>
      </w:r>
    </w:p>
    <w:p w14:paraId="2F6940A2" w14:textId="30842F6D" w:rsidR="008436DF" w:rsidRPr="00D30BFF" w:rsidRDefault="008436DF" w:rsidP="00015679">
      <w:pPr>
        <w:pStyle w:val="ListBullet"/>
        <w:rPr>
          <w:lang w:val="en-AU"/>
        </w:rPr>
      </w:pPr>
      <w:r w:rsidRPr="00D30BFF">
        <w:rPr>
          <w:lang w:val="en-AU"/>
        </w:rPr>
        <w:t>Regulate public land use, biodiversity and fire prevention to support equitable and safe access to public land and natural resources, while protecting biodiversity and heritage values</w:t>
      </w:r>
    </w:p>
    <w:p w14:paraId="73E14617" w14:textId="77777777" w:rsidR="008436DF" w:rsidRPr="00D30BFF" w:rsidRDefault="008436DF" w:rsidP="00015679">
      <w:pPr>
        <w:pStyle w:val="ListBullet"/>
        <w:rPr>
          <w:lang w:val="en-AU"/>
        </w:rPr>
      </w:pPr>
      <w:r w:rsidRPr="00D30BFF">
        <w:rPr>
          <w:lang w:val="en-AU"/>
        </w:rPr>
        <w:t>Restoring our native forests following the end of native timber harvesting, including regeneration works and seed collection programs</w:t>
      </w:r>
    </w:p>
    <w:p w14:paraId="244AC5E3" w14:textId="77777777" w:rsidR="008436DF" w:rsidRPr="00D30BFF" w:rsidRDefault="008436DF" w:rsidP="00015679">
      <w:pPr>
        <w:pStyle w:val="Heading2"/>
        <w:rPr>
          <w:lang w:val="en-AU"/>
        </w:rPr>
      </w:pPr>
      <w:r w:rsidRPr="00D30BFF">
        <w:rPr>
          <w:lang w:val="en-AU"/>
        </w:rPr>
        <w:t>Success 2025-26</w:t>
      </w:r>
    </w:p>
    <w:p w14:paraId="63964DBC" w14:textId="77777777" w:rsidR="008436DF" w:rsidRPr="00D30BFF" w:rsidRDefault="008436DF" w:rsidP="00015679">
      <w:pPr>
        <w:pStyle w:val="ListBullet"/>
        <w:rPr>
          <w:lang w:val="en-AU"/>
        </w:rPr>
      </w:pPr>
      <w:r w:rsidRPr="00D30BFF">
        <w:rPr>
          <w:lang w:val="en-AU"/>
        </w:rPr>
        <w:t>72% of municipal and industrial waste diverted from landfill by 2025</w:t>
      </w:r>
    </w:p>
    <w:p w14:paraId="18310EF3" w14:textId="77777777" w:rsidR="008436DF" w:rsidRPr="00D30BFF" w:rsidRDefault="008436DF" w:rsidP="00015679">
      <w:pPr>
        <w:pStyle w:val="ListBullet"/>
        <w:rPr>
          <w:lang w:val="en-AU"/>
        </w:rPr>
      </w:pPr>
      <w:r w:rsidRPr="00D30BFF">
        <w:rPr>
          <w:lang w:val="en-AU"/>
        </w:rPr>
        <w:t>1 billion drink containers collected during the year</w:t>
      </w:r>
    </w:p>
    <w:p w14:paraId="2D17381A" w14:textId="77777777" w:rsidR="008436DF" w:rsidRPr="00D30BFF" w:rsidRDefault="008436DF" w:rsidP="00015679">
      <w:pPr>
        <w:pStyle w:val="ListBullet"/>
        <w:ind w:right="-285"/>
        <w:rPr>
          <w:lang w:val="en-AU"/>
        </w:rPr>
      </w:pPr>
      <w:r w:rsidRPr="00D30BFF">
        <w:rPr>
          <w:lang w:val="en-AU"/>
        </w:rPr>
        <w:lastRenderedPageBreak/>
        <w:t>400,000 environmental volunteer hours contributing to the health of Victoria’s biodiversity</w:t>
      </w:r>
    </w:p>
    <w:p w14:paraId="3C34AA11" w14:textId="1AF895D4" w:rsidR="008436DF" w:rsidRPr="00D30BFF" w:rsidRDefault="008436DF" w:rsidP="00015679">
      <w:pPr>
        <w:pStyle w:val="ListBullet"/>
        <w:rPr>
          <w:lang w:val="en-AU"/>
        </w:rPr>
      </w:pPr>
      <w:r w:rsidRPr="00D30BFF">
        <w:rPr>
          <w:lang w:val="en-AU"/>
        </w:rPr>
        <w:t>70% of weed and pest animal control targeted towards priority locations to improve native species populations and habitats</w:t>
      </w:r>
    </w:p>
    <w:p w14:paraId="1354BC00" w14:textId="77777777" w:rsidR="000C3DAF" w:rsidRDefault="008436DF" w:rsidP="00015679">
      <w:pPr>
        <w:pStyle w:val="Heading2"/>
        <w:rPr>
          <w:lang w:val="en-AU"/>
        </w:rPr>
      </w:pPr>
      <w:r w:rsidRPr="00D30BFF">
        <w:rPr>
          <w:lang w:val="en-AU"/>
        </w:rPr>
        <w:t>Total budget</w:t>
      </w:r>
    </w:p>
    <w:p w14:paraId="29782D25" w14:textId="791770F1" w:rsidR="008436DF" w:rsidRPr="00D30BFF" w:rsidRDefault="008436DF" w:rsidP="008436DF">
      <w:pPr>
        <w:pStyle w:val="BodyText"/>
        <w:rPr>
          <w:b/>
          <w:bCs/>
          <w:lang w:val="en-AU"/>
        </w:rPr>
      </w:pPr>
      <w:r w:rsidRPr="00D30BFF">
        <w:rPr>
          <w:b/>
          <w:bCs/>
          <w:lang w:val="en-AU"/>
        </w:rPr>
        <w:t>$128.3 million</w:t>
      </w:r>
    </w:p>
    <w:p w14:paraId="50208E52" w14:textId="77777777" w:rsidR="000C3DAF" w:rsidRDefault="008436DF" w:rsidP="00015679">
      <w:pPr>
        <w:pStyle w:val="Heading2"/>
        <w:rPr>
          <w:lang w:val="en-AU"/>
        </w:rPr>
      </w:pPr>
      <w:r w:rsidRPr="00D30BFF">
        <w:rPr>
          <w:lang w:val="en-AU"/>
        </w:rPr>
        <w:t>Key initiatives</w:t>
      </w:r>
    </w:p>
    <w:p w14:paraId="077E0027" w14:textId="34BCF570" w:rsidR="008436DF" w:rsidRPr="00D30BFF" w:rsidRDefault="008436DF" w:rsidP="00015679">
      <w:pPr>
        <w:pStyle w:val="Heading3"/>
        <w:rPr>
          <w:lang w:val="en-AU"/>
        </w:rPr>
      </w:pPr>
      <w:r w:rsidRPr="00D30BFF">
        <w:rPr>
          <w:lang w:val="en-AU"/>
        </w:rPr>
        <w:t xml:space="preserve">Restore nature for carbon storage through the </w:t>
      </w:r>
      <w:proofErr w:type="spellStart"/>
      <w:r w:rsidRPr="00D30BFF">
        <w:rPr>
          <w:lang w:val="en-AU"/>
        </w:rPr>
        <w:t>BushBank</w:t>
      </w:r>
      <w:proofErr w:type="spellEnd"/>
      <w:r w:rsidRPr="00D30BFF">
        <w:rPr>
          <w:lang w:val="en-AU"/>
        </w:rPr>
        <w:t xml:space="preserve"> Program</w:t>
      </w:r>
    </w:p>
    <w:p w14:paraId="07D87BFD" w14:textId="77777777" w:rsidR="008436DF" w:rsidRPr="00D30BFF" w:rsidRDefault="008436DF" w:rsidP="008436DF">
      <w:pPr>
        <w:pStyle w:val="BodyText"/>
        <w:rPr>
          <w:lang w:val="en-AU"/>
        </w:rPr>
      </w:pPr>
      <w:r w:rsidRPr="00D30BFF">
        <w:rPr>
          <w:lang w:val="en-AU"/>
        </w:rPr>
        <w:t xml:space="preserve">Design and deliver funding programs to achieve biodiversity and carbon policy outcomes. The </w:t>
      </w:r>
      <w:proofErr w:type="spellStart"/>
      <w:r w:rsidRPr="00D30BFF">
        <w:rPr>
          <w:lang w:val="en-AU"/>
        </w:rPr>
        <w:t>BushBank</w:t>
      </w:r>
      <w:proofErr w:type="spellEnd"/>
      <w:r w:rsidRPr="00D30BFF">
        <w:rPr>
          <w:lang w:val="en-AU"/>
        </w:rPr>
        <w:t xml:space="preserve"> program will revegetate and restore native vegetation across more than 20,000 hectares of public and private land over a 16-year period (2020-21 to 2035-36). </w:t>
      </w:r>
      <w:proofErr w:type="spellStart"/>
      <w:r w:rsidRPr="00D30BFF">
        <w:rPr>
          <w:lang w:val="en-AU"/>
        </w:rPr>
        <w:t>BushBank</w:t>
      </w:r>
      <w:proofErr w:type="spellEnd"/>
      <w:r w:rsidRPr="00D30BFF">
        <w:rPr>
          <w:lang w:val="en-AU"/>
        </w:rPr>
        <w:t xml:space="preserve"> develops strong collaboration and partnership with Traditional Owners and other entities and is delivered in several grant streams. This includes grants for public land managers, grants for Traditional Owner Corporations, and grants for private land restoration and protection where the program seeks to leverage significant co-funding to achieve 20,000 hectares of restored and protected land (a step up from the government funded target of 4,000 hectares). The program also supports Victoria’s Climate Change Strategy, specifically being responsible for developing and reporting on actions in the Land Use, Land Use Change and Forestry (LULUCF) sector emissions reduction pledge, developing a LULUCF Roadmap showing how the sector can support net zero in 2045 and developing the 5-yearly LULUCF sector pledge.</w:t>
      </w:r>
    </w:p>
    <w:p w14:paraId="17195CA4" w14:textId="77777777" w:rsidR="008436DF" w:rsidRPr="00D30BFF" w:rsidRDefault="008436DF" w:rsidP="00015679">
      <w:pPr>
        <w:pStyle w:val="Heading3"/>
        <w:rPr>
          <w:lang w:val="en-AU"/>
        </w:rPr>
      </w:pPr>
      <w:r w:rsidRPr="00D30BFF">
        <w:rPr>
          <w:lang w:val="en-AU"/>
        </w:rPr>
        <w:t>Reform Household Recycling</w:t>
      </w:r>
    </w:p>
    <w:p w14:paraId="15118DD1" w14:textId="77777777" w:rsidR="000C3DAF" w:rsidRDefault="008436DF" w:rsidP="00015679">
      <w:pPr>
        <w:pStyle w:val="Normalbeforebullets"/>
      </w:pPr>
      <w:r w:rsidRPr="00D30BFF">
        <w:t xml:space="preserve">Victoria’s Circular Economy Policy will reform the household waste and recycling system with the implementation of standardised services. This includes the introduction of </w:t>
      </w:r>
      <w:r w:rsidRPr="00D30BFF">
        <w:lastRenderedPageBreak/>
        <w:t>separated glass collection and food organics and garden organics services. To achieve this DEECA will:</w:t>
      </w:r>
    </w:p>
    <w:p w14:paraId="35570B7D" w14:textId="77777777" w:rsidR="000C3DAF" w:rsidRDefault="008436DF" w:rsidP="00015679">
      <w:pPr>
        <w:pStyle w:val="ListBullet"/>
        <w:rPr>
          <w:lang w:val="en-AU"/>
        </w:rPr>
      </w:pPr>
      <w:r w:rsidRPr="00D30BFF">
        <w:rPr>
          <w:lang w:val="en-AU"/>
        </w:rPr>
        <w:t>oversee the rollout of the four-stream system</w:t>
      </w:r>
    </w:p>
    <w:p w14:paraId="5E26968A" w14:textId="77777777" w:rsidR="000C3DAF" w:rsidRDefault="008436DF" w:rsidP="00015679">
      <w:pPr>
        <w:pStyle w:val="ListBullet"/>
        <w:rPr>
          <w:lang w:val="en-AU"/>
        </w:rPr>
      </w:pPr>
      <w:r w:rsidRPr="00D30BFF">
        <w:rPr>
          <w:lang w:val="en-AU"/>
        </w:rPr>
        <w:t>provide transition support for councils</w:t>
      </w:r>
    </w:p>
    <w:p w14:paraId="7AE2C1E8" w14:textId="082DBFE0" w:rsidR="008436DF" w:rsidRPr="00D30BFF" w:rsidRDefault="008436DF" w:rsidP="00015679">
      <w:pPr>
        <w:pStyle w:val="LastBulletinList"/>
        <w:rPr>
          <w:lang w:val="en-AU"/>
        </w:rPr>
      </w:pPr>
      <w:r w:rsidRPr="00D30BFF">
        <w:rPr>
          <w:lang w:val="en-AU"/>
        </w:rPr>
        <w:t>work with stakeholders to improve recycling and resource recovery collection systems in multi-unit developments.</w:t>
      </w:r>
    </w:p>
    <w:p w14:paraId="6835D904" w14:textId="77777777" w:rsidR="008436DF" w:rsidRPr="00D30BFF" w:rsidRDefault="008436DF" w:rsidP="00015679">
      <w:pPr>
        <w:pStyle w:val="Heading3"/>
        <w:rPr>
          <w:lang w:val="en-AU"/>
        </w:rPr>
      </w:pPr>
      <w:r w:rsidRPr="00D30BFF">
        <w:rPr>
          <w:lang w:val="en-AU"/>
        </w:rPr>
        <w:t>Accelerate Victoria’s transition to a circular economy</w:t>
      </w:r>
    </w:p>
    <w:p w14:paraId="20C87B9E" w14:textId="77777777" w:rsidR="000C3DAF" w:rsidRDefault="008436DF" w:rsidP="00015679">
      <w:pPr>
        <w:pStyle w:val="Normalbeforebullets"/>
      </w:pPr>
      <w:r w:rsidRPr="00D30BFF">
        <w:t>Provide evidence-informed analysis and advice to government to enable decisions that maintain Victoria’s position as a national leader in circular economy reform and guide strategic delivery of the government’s 10-year circular economy policy and targets. To achieve this, DEECA will:</w:t>
      </w:r>
    </w:p>
    <w:p w14:paraId="6A0A6596" w14:textId="6740173D" w:rsidR="008436DF" w:rsidRPr="00D30BFF" w:rsidRDefault="008436DF" w:rsidP="00015679">
      <w:pPr>
        <w:pStyle w:val="ListBullet"/>
        <w:rPr>
          <w:lang w:val="en-AU"/>
        </w:rPr>
      </w:pPr>
      <w:r w:rsidRPr="00D30BFF">
        <w:rPr>
          <w:lang w:val="en-AU"/>
        </w:rPr>
        <w:t>Provide policy advice to government and agencies across government on circular economy risks, issues and opportunities to identify and remove barriers to investment in the circular economy and increase Victoria’s economic productivity</w:t>
      </w:r>
    </w:p>
    <w:p w14:paraId="66EA875C" w14:textId="77777777" w:rsidR="000C3DAF" w:rsidRDefault="008436DF" w:rsidP="00015679">
      <w:pPr>
        <w:pStyle w:val="ListBullet"/>
        <w:rPr>
          <w:lang w:val="en-AU"/>
        </w:rPr>
      </w:pPr>
      <w:r w:rsidRPr="00D30BFF">
        <w:rPr>
          <w:lang w:val="en-AU"/>
        </w:rPr>
        <w:t>Deliver priority legislative and regulatory reforms</w:t>
      </w:r>
    </w:p>
    <w:p w14:paraId="15F8A42D" w14:textId="77777777" w:rsidR="000C3DAF" w:rsidRDefault="008436DF" w:rsidP="00015679">
      <w:pPr>
        <w:pStyle w:val="ListBullet"/>
        <w:rPr>
          <w:lang w:val="en-AU"/>
        </w:rPr>
      </w:pPr>
      <w:r w:rsidRPr="00D30BFF">
        <w:rPr>
          <w:lang w:val="en-AU"/>
        </w:rPr>
        <w:t>Investigate future reforms to further circular economy, reduce risk to government and reduce regulatory burden</w:t>
      </w:r>
    </w:p>
    <w:p w14:paraId="0426809C" w14:textId="77777777" w:rsidR="000C3DAF" w:rsidRDefault="008436DF" w:rsidP="00015679">
      <w:pPr>
        <w:pStyle w:val="ListBullet"/>
        <w:rPr>
          <w:lang w:val="en-AU"/>
        </w:rPr>
      </w:pPr>
      <w:r w:rsidRPr="00D30BFF">
        <w:rPr>
          <w:lang w:val="en-AU"/>
        </w:rPr>
        <w:t>Influence significant national and federal reforms to ensure they align with and enhance Victoria’s transition to a circular economy.</w:t>
      </w:r>
    </w:p>
    <w:p w14:paraId="418DFBE7" w14:textId="7EBF18C7" w:rsidR="008436DF" w:rsidRPr="00D30BFF" w:rsidRDefault="008436DF" w:rsidP="00015679">
      <w:pPr>
        <w:pStyle w:val="ListBullet"/>
        <w:rPr>
          <w:lang w:val="en-AU"/>
        </w:rPr>
      </w:pPr>
      <w:r w:rsidRPr="00D30BFF">
        <w:rPr>
          <w:lang w:val="en-AU"/>
        </w:rPr>
        <w:t>Build expertise across the Victorian Government and industry to mainstream circular economy practices and demonstrate leadership in the use of reusables</w:t>
      </w:r>
    </w:p>
    <w:p w14:paraId="7F05B344" w14:textId="77777777" w:rsidR="008436DF" w:rsidRPr="00D30BFF" w:rsidRDefault="008436DF" w:rsidP="00015679">
      <w:pPr>
        <w:pStyle w:val="ListBullet"/>
        <w:rPr>
          <w:lang w:val="en-AU"/>
        </w:rPr>
      </w:pPr>
      <w:r w:rsidRPr="00D30BFF">
        <w:rPr>
          <w:lang w:val="en-AU"/>
        </w:rPr>
        <w:t>Support charitable recyclers by providing waste levy relief</w:t>
      </w:r>
    </w:p>
    <w:p w14:paraId="18BB3C8E" w14:textId="77777777" w:rsidR="008436DF" w:rsidRPr="00D30BFF" w:rsidRDefault="008436DF" w:rsidP="00015679">
      <w:pPr>
        <w:pStyle w:val="ListBullet"/>
        <w:rPr>
          <w:lang w:val="en-AU"/>
        </w:rPr>
      </w:pPr>
      <w:r w:rsidRPr="00D30BFF">
        <w:rPr>
          <w:lang w:val="en-AU"/>
        </w:rPr>
        <w:t>Support emissions reductions in the waste sector.</w:t>
      </w:r>
    </w:p>
    <w:p w14:paraId="620EC902" w14:textId="77777777" w:rsidR="008436DF" w:rsidRPr="00D30BFF" w:rsidRDefault="008436DF" w:rsidP="00015679">
      <w:pPr>
        <w:pStyle w:val="Heading3"/>
        <w:rPr>
          <w:lang w:val="en-AU"/>
        </w:rPr>
      </w:pPr>
      <w:r w:rsidRPr="00D30BFF">
        <w:rPr>
          <w:lang w:val="en-AU"/>
        </w:rPr>
        <w:lastRenderedPageBreak/>
        <w:t>Deliver technical planning and environmental assessment advice to support the Economic Growth Statement and delivery of infrastructure priorities</w:t>
      </w:r>
    </w:p>
    <w:p w14:paraId="6C423F1F" w14:textId="77777777" w:rsidR="008436DF" w:rsidRPr="00D30BFF" w:rsidRDefault="008436DF" w:rsidP="008436DF">
      <w:pPr>
        <w:pStyle w:val="BodyText"/>
        <w:rPr>
          <w:lang w:val="en-AU"/>
        </w:rPr>
      </w:pPr>
      <w:r w:rsidRPr="00D30BFF">
        <w:rPr>
          <w:lang w:val="en-AU"/>
        </w:rPr>
        <w:t>Deliver timely, high-quality and complex land use planning and biodiversity advice including advice related to native vegetation removal and biodiversity impacts for major infrastructure, renewable energy, extractive industry, land use and development proposals. Provide high quality, clear and consistent advice on environmental matters for which the Minister for Environment and Secretary to DEECA are responsible, as critical inputs to regulatory processes, approvals and consents under various legislation, to support economic development and renewable energy transition objectives.</w:t>
      </w:r>
    </w:p>
    <w:p w14:paraId="7FCC53E3" w14:textId="77777777" w:rsidR="000C3DAF" w:rsidRDefault="008436DF" w:rsidP="00015679">
      <w:pPr>
        <w:pStyle w:val="Heading3"/>
        <w:rPr>
          <w:lang w:val="en-AU"/>
        </w:rPr>
      </w:pPr>
      <w:r w:rsidRPr="00D30BFF">
        <w:rPr>
          <w:lang w:val="en-AU"/>
        </w:rPr>
        <w:t>Household Waste and Recycling Service Standard</w:t>
      </w:r>
    </w:p>
    <w:p w14:paraId="73EBC442" w14:textId="54208CF4" w:rsidR="008436DF" w:rsidRPr="00D30BFF" w:rsidRDefault="008436DF" w:rsidP="008436DF">
      <w:pPr>
        <w:pStyle w:val="BodyText"/>
        <w:rPr>
          <w:lang w:val="en-AU"/>
        </w:rPr>
      </w:pPr>
      <w:r w:rsidRPr="00D30BFF">
        <w:rPr>
          <w:lang w:val="en-AU"/>
        </w:rPr>
        <w:t>This project involves the preparation and implementation of the Household Waste and Recycling Service Standard 2025. The Service Standard works alongside regulations that require councils and Alpine Resorts Victoria (ARV) to provide standardised waste and recycling services to households under Section 60 of the Circular Economy (Waste Reduction and Recycling) Act 2021. Recycling Victoria is responsible for supporting and overseeing compliance of councils and ARV with the service standard.</w:t>
      </w:r>
    </w:p>
    <w:p w14:paraId="36D5023A" w14:textId="77777777" w:rsidR="008436DF" w:rsidRPr="00D30BFF" w:rsidRDefault="008436DF" w:rsidP="00015679">
      <w:pPr>
        <w:pStyle w:val="Heading3"/>
        <w:rPr>
          <w:lang w:val="en-AU"/>
        </w:rPr>
      </w:pPr>
      <w:r w:rsidRPr="00D30BFF">
        <w:rPr>
          <w:lang w:val="en-AU"/>
        </w:rPr>
        <w:t>Enable strategic, place-based action to improve Victoria’s biodiversity (including Protecting Biodiversity Program, implementation of Deer Control Strategy)</w:t>
      </w:r>
    </w:p>
    <w:p w14:paraId="24C33447" w14:textId="77777777" w:rsidR="008436DF" w:rsidRPr="00D30BFF" w:rsidRDefault="008436DF" w:rsidP="00015679">
      <w:pPr>
        <w:pStyle w:val="Normalbeforebullets"/>
      </w:pPr>
      <w:r w:rsidRPr="00D30BFF">
        <w:t xml:space="preserve">This project includes the design and delivery of </w:t>
      </w:r>
      <w:proofErr w:type="gramStart"/>
      <w:r w:rsidRPr="00D30BFF">
        <w:t>a number of</w:t>
      </w:r>
      <w:proofErr w:type="gramEnd"/>
      <w:r w:rsidRPr="00D30BFF">
        <w:t xml:space="preserve"> investment programs to achieve biodiversity policy outcomes through targeted place-based action, including:</w:t>
      </w:r>
    </w:p>
    <w:p w14:paraId="6FB94D06" w14:textId="77777777" w:rsidR="008436DF" w:rsidRPr="00D30BFF" w:rsidRDefault="008436DF" w:rsidP="00015679">
      <w:pPr>
        <w:pStyle w:val="ListBullet"/>
        <w:rPr>
          <w:lang w:val="en-AU"/>
        </w:rPr>
      </w:pPr>
      <w:r w:rsidRPr="00D30BFF">
        <w:rPr>
          <w:lang w:val="en-AU"/>
        </w:rPr>
        <w:t>The Protecting Biodiversity Program</w:t>
      </w:r>
    </w:p>
    <w:p w14:paraId="32CCD917" w14:textId="77777777" w:rsidR="008436DF" w:rsidRPr="00D30BFF" w:rsidRDefault="008436DF" w:rsidP="00015679">
      <w:pPr>
        <w:pStyle w:val="ListBullet"/>
        <w:rPr>
          <w:lang w:val="en-AU"/>
        </w:rPr>
      </w:pPr>
      <w:r w:rsidRPr="00D30BFF">
        <w:rPr>
          <w:lang w:val="en-AU"/>
        </w:rPr>
        <w:t>The Weeds and Pests on Public Land Programs</w:t>
      </w:r>
    </w:p>
    <w:p w14:paraId="77B10F35" w14:textId="77777777" w:rsidR="008436DF" w:rsidRPr="00D30BFF" w:rsidRDefault="008436DF" w:rsidP="00015679">
      <w:pPr>
        <w:pStyle w:val="ListBullet"/>
        <w:rPr>
          <w:lang w:val="en-AU"/>
        </w:rPr>
      </w:pPr>
      <w:r w:rsidRPr="00D30BFF">
        <w:rPr>
          <w:lang w:val="en-AU"/>
        </w:rPr>
        <w:t>The Peri Urban Weeds Management Partnership Program</w:t>
      </w:r>
    </w:p>
    <w:p w14:paraId="1541BCF4" w14:textId="77777777" w:rsidR="000C3DAF" w:rsidRDefault="008436DF" w:rsidP="00015679">
      <w:pPr>
        <w:pStyle w:val="ListBullet"/>
        <w:rPr>
          <w:lang w:val="en-AU"/>
        </w:rPr>
      </w:pPr>
      <w:r w:rsidRPr="00D30BFF">
        <w:rPr>
          <w:lang w:val="en-AU"/>
        </w:rPr>
        <w:lastRenderedPageBreak/>
        <w:t>The Deer Control Program</w:t>
      </w:r>
    </w:p>
    <w:p w14:paraId="71B4415F" w14:textId="5CBB3734" w:rsidR="008436DF" w:rsidRPr="00D30BFF" w:rsidRDefault="008436DF" w:rsidP="00015679">
      <w:pPr>
        <w:pStyle w:val="ListBullet"/>
        <w:rPr>
          <w:lang w:val="en-AU"/>
        </w:rPr>
      </w:pPr>
      <w:r w:rsidRPr="00D30BFF">
        <w:rPr>
          <w:lang w:val="en-AU"/>
        </w:rPr>
        <w:t>Icon Species Program</w:t>
      </w:r>
    </w:p>
    <w:p w14:paraId="2B3CC0EA" w14:textId="77777777" w:rsidR="008436DF" w:rsidRPr="00D30BFF" w:rsidRDefault="008436DF" w:rsidP="00015679">
      <w:pPr>
        <w:pStyle w:val="ListBullet"/>
        <w:rPr>
          <w:lang w:val="en-AU"/>
        </w:rPr>
      </w:pPr>
      <w:r w:rsidRPr="00D30BFF">
        <w:rPr>
          <w:lang w:val="en-AU"/>
        </w:rPr>
        <w:t>Recovering Forest Biodiversity</w:t>
      </w:r>
    </w:p>
    <w:p w14:paraId="54C19DF5" w14:textId="77777777" w:rsidR="008436DF" w:rsidRPr="00D30BFF" w:rsidRDefault="008436DF" w:rsidP="00015679">
      <w:pPr>
        <w:pStyle w:val="LastBulletinList"/>
        <w:rPr>
          <w:lang w:val="en-AU"/>
        </w:rPr>
      </w:pPr>
      <w:r w:rsidRPr="00D30BFF">
        <w:rPr>
          <w:lang w:val="en-AU"/>
        </w:rPr>
        <w:t>Strengthening Country Program (pooled biodiversity funding for Traditional Owners)</w:t>
      </w:r>
    </w:p>
    <w:p w14:paraId="1BA18876" w14:textId="22D5AEC0" w:rsidR="008436DF" w:rsidRPr="00D30BFF" w:rsidRDefault="008436DF" w:rsidP="008436DF">
      <w:pPr>
        <w:pStyle w:val="BodyText"/>
        <w:rPr>
          <w:lang w:val="en-AU"/>
        </w:rPr>
      </w:pPr>
      <w:r w:rsidRPr="00D30BFF">
        <w:rPr>
          <w:lang w:val="en-AU"/>
        </w:rPr>
        <w:t>Combined, these programs deliver sustained landscape-scale predator, pest herbivore and weed control as well as complementary and bespoke threatened species actions aligned to the goals and targets of Biodiversity 2037.</w:t>
      </w:r>
    </w:p>
    <w:p w14:paraId="110436F7" w14:textId="07F147A7" w:rsidR="008436DF" w:rsidRPr="00D30BFF" w:rsidRDefault="008436DF" w:rsidP="000025D7">
      <w:pPr>
        <w:pStyle w:val="Heading1"/>
        <w:pageBreakBefore/>
        <w:rPr>
          <w:lang w:val="en-AU"/>
        </w:rPr>
      </w:pPr>
      <w:bookmarkStart w:id="19" w:name="_Toc207621370"/>
      <w:r w:rsidRPr="00D30BFF">
        <w:rPr>
          <w:lang w:val="en-AU"/>
        </w:rPr>
        <w:lastRenderedPageBreak/>
        <w:t>Land Management</w:t>
      </w:r>
      <w:bookmarkEnd w:id="19"/>
    </w:p>
    <w:p w14:paraId="64375E2B" w14:textId="77777777" w:rsidR="006D78FD" w:rsidRPr="00D30BFF" w:rsidRDefault="006D78FD" w:rsidP="000025D7">
      <w:pPr>
        <w:pStyle w:val="Heading2"/>
        <w:rPr>
          <w:lang w:val="en-AU"/>
        </w:rPr>
      </w:pPr>
      <w:r w:rsidRPr="00D30BFF">
        <w:rPr>
          <w:lang w:val="en-AU"/>
        </w:rPr>
        <w:t>Our goal</w:t>
      </w:r>
    </w:p>
    <w:p w14:paraId="3B2478F4" w14:textId="77777777" w:rsidR="006D78FD" w:rsidRPr="00D30BFF" w:rsidRDefault="006D78FD" w:rsidP="006D78FD">
      <w:pPr>
        <w:pStyle w:val="BodyText"/>
        <w:rPr>
          <w:b/>
          <w:bCs/>
          <w:lang w:val="en-AU"/>
        </w:rPr>
      </w:pPr>
      <w:r w:rsidRPr="00D30BFF">
        <w:rPr>
          <w:b/>
          <w:bCs/>
          <w:lang w:val="en-AU"/>
        </w:rPr>
        <w:t>Productive and effective land management</w:t>
      </w:r>
    </w:p>
    <w:p w14:paraId="690AC4EE" w14:textId="0141009C" w:rsidR="008436DF" w:rsidRPr="00D30BFF" w:rsidRDefault="006D78FD" w:rsidP="006D78FD">
      <w:pPr>
        <w:pStyle w:val="BodyText"/>
        <w:rPr>
          <w:lang w:val="en-AU"/>
        </w:rPr>
      </w:pPr>
      <w:r w:rsidRPr="00D30BFF">
        <w:rPr>
          <w:lang w:val="en-AU"/>
        </w:rPr>
        <w:t>Deliver effective management and governance of Victoria’s public land to protect its social, economic and environmental values and maximise its use by all Victorians together with Traditional Owners, statutory agencies, committees of management, local governments.</w:t>
      </w:r>
    </w:p>
    <w:p w14:paraId="237C5650" w14:textId="77777777" w:rsidR="006D78FD" w:rsidRPr="00D30BFF" w:rsidRDefault="006D78FD" w:rsidP="000025D7">
      <w:pPr>
        <w:pStyle w:val="Heading2"/>
        <w:rPr>
          <w:lang w:val="en-AU"/>
        </w:rPr>
      </w:pPr>
      <w:r w:rsidRPr="00D30BFF">
        <w:rPr>
          <w:lang w:val="en-AU"/>
        </w:rPr>
        <w:t>Outcome indicators</w:t>
      </w:r>
    </w:p>
    <w:p w14:paraId="7407F342" w14:textId="77777777" w:rsidR="006D78FD" w:rsidRPr="00D30BFF" w:rsidRDefault="006D78FD" w:rsidP="000025D7">
      <w:pPr>
        <w:pStyle w:val="ListBullet"/>
        <w:rPr>
          <w:lang w:val="en-AU"/>
        </w:rPr>
      </w:pPr>
      <w:r w:rsidRPr="00D30BFF">
        <w:rPr>
          <w:lang w:val="en-AU"/>
        </w:rPr>
        <w:t>Increase the sustainable management of public land</w:t>
      </w:r>
    </w:p>
    <w:p w14:paraId="4C12570E" w14:textId="77777777" w:rsidR="000C3DAF" w:rsidRDefault="006D78FD" w:rsidP="000025D7">
      <w:pPr>
        <w:pStyle w:val="ListBullet"/>
        <w:rPr>
          <w:lang w:val="en-AU"/>
        </w:rPr>
      </w:pPr>
      <w:r w:rsidRPr="00D30BFF">
        <w:rPr>
          <w:lang w:val="en-AU"/>
        </w:rPr>
        <w:t>Increase self-determination of Traditional Owners in land management decision-making and practices</w:t>
      </w:r>
    </w:p>
    <w:p w14:paraId="30395104" w14:textId="15FAA82C" w:rsidR="006D78FD" w:rsidRPr="00D30BFF" w:rsidRDefault="006D78FD" w:rsidP="000025D7">
      <w:pPr>
        <w:pStyle w:val="ListBullet"/>
        <w:rPr>
          <w:lang w:val="en-AU"/>
        </w:rPr>
      </w:pPr>
      <w:r w:rsidRPr="00D30BFF">
        <w:rPr>
          <w:lang w:val="en-AU"/>
        </w:rPr>
        <w:t>Increase public value benefits from government land</w:t>
      </w:r>
    </w:p>
    <w:p w14:paraId="21E5DD5F" w14:textId="77777777" w:rsidR="006D78FD" w:rsidRPr="00D30BFF" w:rsidRDefault="006D78FD" w:rsidP="000025D7">
      <w:pPr>
        <w:pStyle w:val="Heading2"/>
        <w:rPr>
          <w:lang w:val="en-AU"/>
        </w:rPr>
      </w:pPr>
      <w:r w:rsidRPr="00D30BFF">
        <w:rPr>
          <w:lang w:val="en-AU"/>
        </w:rPr>
        <w:t>Success 2025-26</w:t>
      </w:r>
    </w:p>
    <w:p w14:paraId="0A6A53F7" w14:textId="77777777" w:rsidR="006D78FD" w:rsidRPr="00D30BFF" w:rsidRDefault="006D78FD" w:rsidP="000025D7">
      <w:pPr>
        <w:pStyle w:val="ListBullet"/>
        <w:rPr>
          <w:lang w:val="en-AU"/>
        </w:rPr>
      </w:pPr>
      <w:r w:rsidRPr="00D30BFF">
        <w:rPr>
          <w:lang w:val="en-AU"/>
        </w:rPr>
        <w:t>22 local parks, playgrounds and dog parks completed</w:t>
      </w:r>
    </w:p>
    <w:p w14:paraId="2C23E507" w14:textId="77777777" w:rsidR="006D78FD" w:rsidRPr="00D30BFF" w:rsidRDefault="006D78FD" w:rsidP="000025D7">
      <w:pPr>
        <w:pStyle w:val="ListBullet"/>
        <w:rPr>
          <w:lang w:val="en-AU"/>
        </w:rPr>
      </w:pPr>
      <w:r w:rsidRPr="00D30BFF">
        <w:rPr>
          <w:lang w:val="en-AU"/>
        </w:rPr>
        <w:t>70% Traditional Owner satisfaction with DEECA’s progress in enabling self-determination</w:t>
      </w:r>
    </w:p>
    <w:p w14:paraId="7E9DC989" w14:textId="64997A97" w:rsidR="006D78FD" w:rsidRPr="00D30BFF" w:rsidRDefault="006D78FD" w:rsidP="000025D7">
      <w:pPr>
        <w:pStyle w:val="ListBullet"/>
        <w:rPr>
          <w:lang w:val="en-AU"/>
        </w:rPr>
      </w:pPr>
      <w:r w:rsidRPr="00D30BFF">
        <w:rPr>
          <w:lang w:val="en-AU"/>
        </w:rPr>
        <w:t>75% of recreational facilities in state forests maintained to have a life expectancy greater than five years</w:t>
      </w:r>
    </w:p>
    <w:p w14:paraId="06497D17" w14:textId="77777777" w:rsidR="006D78FD" w:rsidRPr="00D30BFF" w:rsidRDefault="006D78FD" w:rsidP="000025D7">
      <w:pPr>
        <w:pStyle w:val="Heading2"/>
        <w:rPr>
          <w:lang w:val="en-AU"/>
        </w:rPr>
      </w:pPr>
      <w:r w:rsidRPr="00D30BFF">
        <w:rPr>
          <w:lang w:val="en-AU"/>
        </w:rPr>
        <w:t>Total budget</w:t>
      </w:r>
    </w:p>
    <w:p w14:paraId="4B22406D" w14:textId="0A6DF45E" w:rsidR="006D78FD" w:rsidRPr="00F07A41" w:rsidRDefault="006D78FD" w:rsidP="006D78FD">
      <w:pPr>
        <w:pStyle w:val="BodyText"/>
        <w:rPr>
          <w:b/>
          <w:bCs/>
          <w:lang w:val="en-AU"/>
        </w:rPr>
      </w:pPr>
      <w:r w:rsidRPr="00D30BFF">
        <w:rPr>
          <w:b/>
          <w:bCs/>
          <w:lang w:val="en-AU"/>
        </w:rPr>
        <w:t>$313.8 million</w:t>
      </w:r>
    </w:p>
    <w:p w14:paraId="58140D46" w14:textId="77777777" w:rsidR="000C3DAF" w:rsidRDefault="006D78FD" w:rsidP="000025D7">
      <w:pPr>
        <w:pStyle w:val="Heading2"/>
        <w:rPr>
          <w:lang w:val="en-AU"/>
        </w:rPr>
      </w:pPr>
      <w:r w:rsidRPr="00D30BFF">
        <w:rPr>
          <w:lang w:val="en-AU"/>
        </w:rPr>
        <w:lastRenderedPageBreak/>
        <w:t>Key initiatives</w:t>
      </w:r>
    </w:p>
    <w:p w14:paraId="53D28AF5" w14:textId="76A2A154" w:rsidR="006D78FD" w:rsidRPr="00D30BFF" w:rsidRDefault="006D78FD" w:rsidP="000025D7">
      <w:pPr>
        <w:pStyle w:val="Heading3"/>
        <w:rPr>
          <w:lang w:val="en-AU"/>
        </w:rPr>
      </w:pPr>
      <w:r w:rsidRPr="00D30BFF">
        <w:rPr>
          <w:lang w:val="en-AU"/>
        </w:rPr>
        <w:t>Future Forests Program</w:t>
      </w:r>
    </w:p>
    <w:p w14:paraId="10203EBA" w14:textId="0E3572C7" w:rsidR="006D78FD" w:rsidRPr="00D30BFF" w:rsidRDefault="006D78FD" w:rsidP="006D78FD">
      <w:pPr>
        <w:pStyle w:val="BodyText"/>
        <w:rPr>
          <w:lang w:val="en-AU"/>
        </w:rPr>
      </w:pPr>
      <w:r w:rsidRPr="00D30BFF">
        <w:rPr>
          <w:lang w:val="en-AU"/>
        </w:rPr>
        <w:t>The Future Forests Program includes funds forest management activities, covering policy, planning and operational initiatives to reset forest management following the end of native timber harvesting on 1 January 2024. This includes work to restore and enhance native forests, promote biodiversity, and maintain forest access roads. The program supports the work of the Great Outdoors Taskforce and the government response, which will provide a blueprint for future uses and management of our state forests, including the 1.8 million hectares of state forests previously subject to the timber harvesting allocation order. It is critical that our investment in the future of these forests ensures they are climate-resilient, healthy, deliver affordable tourism and recreation, and create environmentally sensitive economic and employment opportunities. The Future Forests Program also includes investment in data and monitoring, to be able to report back to the community that forests are being managed responsibly and sustainably.</w:t>
      </w:r>
    </w:p>
    <w:p w14:paraId="4013214A" w14:textId="77777777" w:rsidR="006D78FD" w:rsidRPr="00D30BFF" w:rsidRDefault="006D78FD" w:rsidP="000025D7">
      <w:pPr>
        <w:pStyle w:val="Heading3"/>
        <w:rPr>
          <w:lang w:val="en-AU"/>
        </w:rPr>
      </w:pPr>
      <w:r w:rsidRPr="00D30BFF">
        <w:rPr>
          <w:lang w:val="en-AU"/>
        </w:rPr>
        <w:t>Deliver the regulatory operations program including investigations, monitoring and strategic operations and enforcement</w:t>
      </w:r>
    </w:p>
    <w:p w14:paraId="0C869346" w14:textId="3744672E" w:rsidR="006D78FD" w:rsidRPr="00D30BFF" w:rsidRDefault="006D78FD" w:rsidP="006D78FD">
      <w:pPr>
        <w:pStyle w:val="BodyText"/>
        <w:rPr>
          <w:lang w:val="en-AU"/>
        </w:rPr>
      </w:pPr>
      <w:r w:rsidRPr="00D30BFF">
        <w:rPr>
          <w:lang w:val="en-AU"/>
        </w:rPr>
        <w:t>The Conservation Regulator leads and coordinates state-wide regulatory service delivery. Its staff conduct complex risk assessments, harm prevention campaigns, audits, inspections and investigations, as well as intelligence functions and assessment and regulation of permissions, operating at the highest level of integrity and accountability. The 2025-27 regulatory priorities (illegal fires on public land, illegal take of firewood, cruelty to wildlife, protection of threatened species and illegal vehicle use) support the Conservation Regulator to focus efforts on the greatest environmental risk and what is most important to the Victorian community.</w:t>
      </w:r>
    </w:p>
    <w:p w14:paraId="21CC8F24" w14:textId="77777777" w:rsidR="006D78FD" w:rsidRPr="00D30BFF" w:rsidRDefault="006D78FD" w:rsidP="000025D7">
      <w:pPr>
        <w:pStyle w:val="Heading3"/>
        <w:rPr>
          <w:lang w:val="en-AU"/>
        </w:rPr>
      </w:pPr>
      <w:r w:rsidRPr="00D30BFF">
        <w:rPr>
          <w:lang w:val="en-AU"/>
        </w:rPr>
        <w:lastRenderedPageBreak/>
        <w:t>Deliver the Great Ocean Road Coastal Trail (Fairhaven to Grey River) Project</w:t>
      </w:r>
    </w:p>
    <w:p w14:paraId="3F9C2016" w14:textId="77777777" w:rsidR="006D78FD" w:rsidRPr="00D30BFF" w:rsidRDefault="006D78FD" w:rsidP="006D78FD">
      <w:pPr>
        <w:pStyle w:val="BodyText"/>
        <w:rPr>
          <w:lang w:val="en-AU"/>
        </w:rPr>
      </w:pPr>
      <w:r w:rsidRPr="00D30BFF">
        <w:rPr>
          <w:lang w:val="en-AU"/>
        </w:rPr>
        <w:t>The Great Ocean Road Coastal Trail will be a nationally significant multi-day walk, allowing visitors to experience sweeping coastal views, towering eucalypt forest, waterfalls, and hidden gorges. The Trail traverses Gadubanud Country along the Otway coast, and will boast views from suspension bridges and lookouts, as well as a new camp site, boardwalks, river crossings, and day visitor areas. Consisting of both new and existing trails, the proposed route covers coastal locations from Fairhaven through to Grey River. This project is the first stage of developing this experience. It will help diversify the tourism offer in the region.</w:t>
      </w:r>
    </w:p>
    <w:p w14:paraId="6387B4D2" w14:textId="77777777" w:rsidR="006D78FD" w:rsidRPr="00D30BFF" w:rsidRDefault="006D78FD" w:rsidP="000025D7">
      <w:pPr>
        <w:pStyle w:val="Heading3"/>
        <w:rPr>
          <w:lang w:val="en-AU"/>
        </w:rPr>
      </w:pPr>
      <w:r w:rsidRPr="00D30BFF">
        <w:rPr>
          <w:lang w:val="en-AU"/>
        </w:rPr>
        <w:t>Develop local parks, playgrounds and dog parks</w:t>
      </w:r>
    </w:p>
    <w:p w14:paraId="6830CB68" w14:textId="77777777" w:rsidR="006D78FD" w:rsidRPr="00D30BFF" w:rsidRDefault="006D78FD" w:rsidP="006D78FD">
      <w:pPr>
        <w:pStyle w:val="BodyText"/>
        <w:rPr>
          <w:lang w:val="en-AU"/>
        </w:rPr>
      </w:pPr>
      <w:r w:rsidRPr="00D30BFF">
        <w:rPr>
          <w:lang w:val="en-AU"/>
        </w:rPr>
        <w:t>The New and Upgraded Dog Parks program seeks to improve the state's open space network by committing $13.4 million to ensure that Victorians have easy access to much needed green open space to exercise, relax or enjoy the outdoors with their dogs. This program will see delivery of new and optimised purpose-built off leash areas across Victoria over two funding rounds. Round 1 will see delivery of 19 new and upgraded projects in targeted locations. Round 2 was a competitive process based on community need, with 26 projects receiving funding. This program also supports the continued implementation of the Victorian Government’s Open Space for Everyone Strategy 2021.</w:t>
      </w:r>
    </w:p>
    <w:p w14:paraId="32F83CEF" w14:textId="77777777" w:rsidR="006D78FD" w:rsidRPr="00D30BFF" w:rsidRDefault="006D78FD" w:rsidP="000025D7">
      <w:pPr>
        <w:pStyle w:val="Normalbeforebullets"/>
      </w:pPr>
      <w:r w:rsidRPr="00D30BFF">
        <w:t>The Better Parks and Playgrounds Program invests $7.4 million to deliver 11 new or upgraded parks in designated locations across Victoria. This program aims to:</w:t>
      </w:r>
    </w:p>
    <w:p w14:paraId="784662BB" w14:textId="77777777" w:rsidR="006D78FD" w:rsidRPr="00D30BFF" w:rsidRDefault="006D78FD" w:rsidP="000025D7">
      <w:pPr>
        <w:pStyle w:val="ListBullet"/>
        <w:rPr>
          <w:lang w:val="en-AU"/>
        </w:rPr>
      </w:pPr>
      <w:r w:rsidRPr="00D30BFF">
        <w:rPr>
          <w:lang w:val="en-AU"/>
        </w:rPr>
        <w:t>Provide funding for projects to cater for increased demand for open space for recreational use arising from population growth and higher population density.</w:t>
      </w:r>
    </w:p>
    <w:p w14:paraId="3F468BD5" w14:textId="77777777" w:rsidR="006D78FD" w:rsidRPr="00D30BFF" w:rsidRDefault="006D78FD" w:rsidP="000025D7">
      <w:pPr>
        <w:pStyle w:val="ListBullet"/>
        <w:rPr>
          <w:lang w:val="en-AU"/>
        </w:rPr>
      </w:pPr>
      <w:r w:rsidRPr="00D30BFF">
        <w:rPr>
          <w:lang w:val="en-AU"/>
        </w:rPr>
        <w:t>Invest in projects that will optimise and revitalise the quality, safety, amenity, shared use, accessibility and function of the existing open space network in targeted locations.</w:t>
      </w:r>
    </w:p>
    <w:p w14:paraId="151506FD" w14:textId="77777777" w:rsidR="006D78FD" w:rsidRPr="00D30BFF" w:rsidRDefault="006D78FD" w:rsidP="000025D7">
      <w:pPr>
        <w:pStyle w:val="Heading3"/>
        <w:rPr>
          <w:lang w:val="en-AU"/>
        </w:rPr>
      </w:pPr>
      <w:r w:rsidRPr="00D30BFF">
        <w:rPr>
          <w:lang w:val="en-AU"/>
        </w:rPr>
        <w:lastRenderedPageBreak/>
        <w:t>Deliver the Great Ocean Road Management Reform</w:t>
      </w:r>
    </w:p>
    <w:p w14:paraId="62B9CD55" w14:textId="77777777" w:rsidR="006D78FD" w:rsidRPr="00D30BFF" w:rsidRDefault="006D78FD" w:rsidP="000025D7">
      <w:pPr>
        <w:pStyle w:val="Normalbeforebullets"/>
      </w:pPr>
      <w:r w:rsidRPr="00D30BFF">
        <w:t>The Great Ocean Road Management Reform will deliver:</w:t>
      </w:r>
    </w:p>
    <w:p w14:paraId="12CA2D9F" w14:textId="77777777" w:rsidR="000C3DAF" w:rsidRDefault="006D78FD" w:rsidP="000025D7">
      <w:pPr>
        <w:pStyle w:val="ListBullet"/>
        <w:rPr>
          <w:lang w:val="en-AU"/>
        </w:rPr>
      </w:pPr>
      <w:r w:rsidRPr="00D30BFF">
        <w:rPr>
          <w:lang w:val="en-AU"/>
        </w:rPr>
        <w:t>The Government's Great Ocean Road Action Plan (legislation for protection of the Great Ocean Road coast and parks, establishing a new dedicated parks manager, an overarching regional planning framework, a better planning approvals process and supporting projects).</w:t>
      </w:r>
    </w:p>
    <w:p w14:paraId="65E115C2" w14:textId="144E16B7" w:rsidR="006D78FD" w:rsidRPr="00D30BFF" w:rsidRDefault="006D78FD" w:rsidP="000025D7">
      <w:pPr>
        <w:pStyle w:val="ListBullet"/>
        <w:rPr>
          <w:lang w:val="en-AU"/>
        </w:rPr>
      </w:pPr>
      <w:r w:rsidRPr="00D30BFF">
        <w:rPr>
          <w:lang w:val="en-AU"/>
        </w:rPr>
        <w:t>Visitor facilities and infrastructure improvements (installation of smart nodes at key locations along the Great Ocean Road to provide free public Wi-Fi, access to interpretative information and travel guidance, improvements to public toilets and amenity facilities, enhanced visitor accommodation offering and enhanced cultural experiences offering (improvements to be delivered by the Great Ocean Road Coast and Parks Authority).</w:t>
      </w:r>
    </w:p>
    <w:p w14:paraId="070CB1CF" w14:textId="77777777" w:rsidR="006D78FD" w:rsidRPr="00D30BFF" w:rsidRDefault="006D78FD" w:rsidP="000025D7">
      <w:pPr>
        <w:pStyle w:val="LastBulletinList"/>
        <w:rPr>
          <w:lang w:val="en-AU"/>
        </w:rPr>
      </w:pPr>
      <w:r w:rsidRPr="00D30BFF">
        <w:rPr>
          <w:lang w:val="en-AU"/>
        </w:rPr>
        <w:t>The Great Ocean Road Coast and Parks erosion preparedness for managing 355 kilometres of coastline.</w:t>
      </w:r>
    </w:p>
    <w:p w14:paraId="0D0E0F1F" w14:textId="77777777" w:rsidR="006D78FD" w:rsidRPr="00D30BFF" w:rsidRDefault="006D78FD" w:rsidP="000025D7">
      <w:pPr>
        <w:pStyle w:val="Heading3"/>
        <w:rPr>
          <w:lang w:val="en-AU"/>
        </w:rPr>
      </w:pPr>
      <w:r w:rsidRPr="00D30BFF">
        <w:rPr>
          <w:lang w:val="en-AU"/>
        </w:rPr>
        <w:t>Implement the Suburban Parks Program</w:t>
      </w:r>
    </w:p>
    <w:p w14:paraId="78EB6662" w14:textId="77777777" w:rsidR="000C3DAF" w:rsidRDefault="006D78FD" w:rsidP="000025D7">
      <w:pPr>
        <w:pStyle w:val="Normalbeforebullets"/>
      </w:pPr>
      <w:r w:rsidRPr="00D30BFF">
        <w:t>A 2018 election commitment to create, upgrade and plan for parks and trails across metropolitan Melbourne. The program is being delivered by:</w:t>
      </w:r>
    </w:p>
    <w:p w14:paraId="63D42AE9" w14:textId="77777777" w:rsidR="000C3DAF" w:rsidRDefault="006D78FD" w:rsidP="000025D7">
      <w:pPr>
        <w:pStyle w:val="ListBullet"/>
        <w:rPr>
          <w:lang w:val="en-AU"/>
        </w:rPr>
      </w:pPr>
      <w:r w:rsidRPr="00D30BFF">
        <w:rPr>
          <w:lang w:val="en-AU"/>
        </w:rPr>
        <w:t>Acquiring land to expand existing and create new parks</w:t>
      </w:r>
    </w:p>
    <w:p w14:paraId="706A2F36" w14:textId="77777777" w:rsidR="000C3DAF" w:rsidRDefault="006D78FD" w:rsidP="000025D7">
      <w:pPr>
        <w:pStyle w:val="ListBullet"/>
        <w:rPr>
          <w:lang w:val="en-AU"/>
        </w:rPr>
      </w:pPr>
      <w:r w:rsidRPr="00D30BFF">
        <w:rPr>
          <w:lang w:val="en-AU"/>
        </w:rPr>
        <w:t>Managing former landfill sites to make them safe to become new public spaces</w:t>
      </w:r>
    </w:p>
    <w:p w14:paraId="4B6016E6" w14:textId="77777777" w:rsidR="000C3DAF" w:rsidRDefault="006D78FD" w:rsidP="000025D7">
      <w:pPr>
        <w:pStyle w:val="ListBullet"/>
        <w:rPr>
          <w:lang w:val="en-AU"/>
        </w:rPr>
      </w:pPr>
      <w:r w:rsidRPr="00D30BFF">
        <w:rPr>
          <w:lang w:val="en-AU"/>
        </w:rPr>
        <w:t>Upgrading existing walking and cycling paths, play equipment, planting trees and delivering other park infrastructure</w:t>
      </w:r>
    </w:p>
    <w:p w14:paraId="0B1E3A90" w14:textId="77777777" w:rsidR="000C3DAF" w:rsidRDefault="006D78FD" w:rsidP="000025D7">
      <w:pPr>
        <w:pStyle w:val="ListBullet"/>
        <w:rPr>
          <w:lang w:val="en-AU"/>
        </w:rPr>
      </w:pPr>
      <w:r w:rsidRPr="00D30BFF">
        <w:rPr>
          <w:lang w:val="en-AU"/>
        </w:rPr>
        <w:t>Creating new pocket parks and off-leash dog parks in areas lacking open space</w:t>
      </w:r>
    </w:p>
    <w:p w14:paraId="3D3209E1" w14:textId="405B56D0" w:rsidR="006D78FD" w:rsidRPr="00D30BFF" w:rsidRDefault="006D78FD" w:rsidP="000025D7">
      <w:pPr>
        <w:pStyle w:val="ListBullet"/>
        <w:rPr>
          <w:lang w:val="en-AU"/>
        </w:rPr>
      </w:pPr>
      <w:r w:rsidRPr="00D30BFF">
        <w:rPr>
          <w:lang w:val="en-AU"/>
        </w:rPr>
        <w:t>Creating and updating parkland plans to guide future investment</w:t>
      </w:r>
    </w:p>
    <w:p w14:paraId="43B1DB26" w14:textId="77777777" w:rsidR="006D78FD" w:rsidRPr="00D30BFF" w:rsidRDefault="006D78FD" w:rsidP="000025D7">
      <w:pPr>
        <w:pStyle w:val="Heading3"/>
        <w:rPr>
          <w:lang w:val="en-AU"/>
        </w:rPr>
      </w:pPr>
      <w:r w:rsidRPr="00D30BFF">
        <w:rPr>
          <w:lang w:val="en-AU"/>
        </w:rPr>
        <w:lastRenderedPageBreak/>
        <w:t>Renewing Victoria’s Public Land Legislation</w:t>
      </w:r>
    </w:p>
    <w:p w14:paraId="4836BC4B" w14:textId="77777777" w:rsidR="000C3DAF" w:rsidRDefault="006D78FD" w:rsidP="006D78FD">
      <w:pPr>
        <w:pStyle w:val="BodyText"/>
        <w:rPr>
          <w:lang w:val="en-AU"/>
        </w:rPr>
      </w:pPr>
      <w:r w:rsidRPr="00D30BFF">
        <w:rPr>
          <w:lang w:val="en-AU"/>
        </w:rPr>
        <w:t>DEECA will implement the Government's commitment to renew Victoria's public land legislation to be a simplified and enabling legislative framework, including the creation of a new Public Land Act, refinement of the National Parks Act 1975 and expansion of the Conservation Forests and Lands Act 1987.</w:t>
      </w:r>
    </w:p>
    <w:p w14:paraId="0B148669" w14:textId="096A25BF" w:rsidR="006D78FD" w:rsidRPr="00D30BFF" w:rsidRDefault="006D78FD" w:rsidP="00152A02">
      <w:pPr>
        <w:pStyle w:val="Heading3"/>
        <w:rPr>
          <w:lang w:val="en-AU"/>
        </w:rPr>
      </w:pPr>
      <w:r w:rsidRPr="00D30BFF">
        <w:rPr>
          <w:lang w:val="en-AU"/>
        </w:rPr>
        <w:t>Activate public land through technical and place-based regulatory advice, and services, project delivery and land manager support</w:t>
      </w:r>
    </w:p>
    <w:p w14:paraId="4C98F72F" w14:textId="2D7528DC" w:rsidR="006D78FD" w:rsidRPr="00D30BFF" w:rsidRDefault="006D78FD" w:rsidP="006D78FD">
      <w:pPr>
        <w:pStyle w:val="BodyText"/>
        <w:rPr>
          <w:lang w:val="en-AU"/>
        </w:rPr>
      </w:pPr>
      <w:r w:rsidRPr="00D30BFF">
        <w:rPr>
          <w:lang w:val="en-AU"/>
        </w:rPr>
        <w:t>DEECA will deliver core function of public land management and administration, including providing technical, place-based advice and regulatory and statutory approvals. This will support effective environmental protection and management and use of natural and built assets on Crown land.</w:t>
      </w:r>
    </w:p>
    <w:p w14:paraId="4F8A3D50" w14:textId="477C7441" w:rsidR="006D78FD" w:rsidRPr="00D30BFF" w:rsidRDefault="006D78FD" w:rsidP="00152A02">
      <w:pPr>
        <w:pStyle w:val="Heading1"/>
        <w:pageBreakBefore/>
        <w:rPr>
          <w:lang w:val="en-AU"/>
        </w:rPr>
      </w:pPr>
      <w:bookmarkStart w:id="20" w:name="_Toc207621371"/>
      <w:r w:rsidRPr="00D30BFF">
        <w:rPr>
          <w:lang w:val="en-AU"/>
        </w:rPr>
        <w:lastRenderedPageBreak/>
        <w:t>Water</w:t>
      </w:r>
      <w:bookmarkEnd w:id="20"/>
    </w:p>
    <w:p w14:paraId="50E4A16D" w14:textId="77777777" w:rsidR="006D78FD" w:rsidRPr="00D30BFF" w:rsidRDefault="006D78FD" w:rsidP="00152A02">
      <w:pPr>
        <w:pStyle w:val="Heading2"/>
        <w:rPr>
          <w:lang w:val="en-AU"/>
        </w:rPr>
      </w:pPr>
      <w:r w:rsidRPr="00D30BFF">
        <w:rPr>
          <w:lang w:val="en-AU"/>
        </w:rPr>
        <w:t>Our goal</w:t>
      </w:r>
    </w:p>
    <w:p w14:paraId="6E11C097" w14:textId="77777777" w:rsidR="006D78FD" w:rsidRPr="00D30BFF" w:rsidRDefault="006D78FD" w:rsidP="006D78FD">
      <w:pPr>
        <w:pStyle w:val="BodyText"/>
        <w:rPr>
          <w:b/>
          <w:bCs/>
          <w:lang w:val="en-AU"/>
        </w:rPr>
      </w:pPr>
      <w:r w:rsidRPr="00D30BFF">
        <w:rPr>
          <w:b/>
          <w:bCs/>
          <w:lang w:val="en-AU"/>
        </w:rPr>
        <w:t>Safe, sustainable and productive water resources</w:t>
      </w:r>
    </w:p>
    <w:p w14:paraId="595A96DB" w14:textId="3A165392" w:rsidR="006D78FD" w:rsidRPr="00D30BFF" w:rsidRDefault="006D78FD" w:rsidP="006D78FD">
      <w:pPr>
        <w:pStyle w:val="BodyText"/>
        <w:rPr>
          <w:lang w:val="en-AU"/>
        </w:rPr>
      </w:pPr>
      <w:r w:rsidRPr="00D30BFF">
        <w:rPr>
          <w:lang w:val="en-AU"/>
        </w:rPr>
        <w:t>Increase the security of supply and the efficient use of water in cities and towns and improve the environmental condition of waterways to ensure Victoria has safe and sustainable water resources to meet future urban, rural and environmental needs.</w:t>
      </w:r>
    </w:p>
    <w:p w14:paraId="0F24DAF8" w14:textId="77777777" w:rsidR="006D78FD" w:rsidRPr="00D30BFF" w:rsidRDefault="006D78FD" w:rsidP="00152A02">
      <w:pPr>
        <w:pStyle w:val="Heading2"/>
        <w:rPr>
          <w:lang w:val="en-AU"/>
        </w:rPr>
      </w:pPr>
      <w:r w:rsidRPr="00D30BFF">
        <w:rPr>
          <w:lang w:val="en-AU"/>
        </w:rPr>
        <w:t>Outcome indicators</w:t>
      </w:r>
    </w:p>
    <w:p w14:paraId="13F120E2" w14:textId="77777777" w:rsidR="006D78FD" w:rsidRPr="00D30BFF" w:rsidRDefault="006D78FD" w:rsidP="00152A02">
      <w:pPr>
        <w:pStyle w:val="ListBullet"/>
        <w:ind w:right="-285"/>
        <w:rPr>
          <w:lang w:val="en-AU"/>
        </w:rPr>
      </w:pPr>
      <w:r w:rsidRPr="00D30BFF">
        <w:rPr>
          <w:lang w:val="en-AU"/>
        </w:rPr>
        <w:t>Increase security and resilience of Victoria’s water systems</w:t>
      </w:r>
    </w:p>
    <w:p w14:paraId="248727D7" w14:textId="77777777" w:rsidR="006D78FD" w:rsidRPr="00D30BFF" w:rsidRDefault="006D78FD" w:rsidP="00152A02">
      <w:pPr>
        <w:pStyle w:val="ListBullet"/>
        <w:ind w:right="-285"/>
        <w:rPr>
          <w:lang w:val="en-AU"/>
        </w:rPr>
      </w:pPr>
      <w:r w:rsidRPr="00D30BFF">
        <w:rPr>
          <w:lang w:val="en-AU"/>
        </w:rPr>
        <w:t>Increase implementation of Traditional Owner determined priorities for water management</w:t>
      </w:r>
    </w:p>
    <w:p w14:paraId="70101D3F" w14:textId="77777777" w:rsidR="006D78FD" w:rsidRPr="00D30BFF" w:rsidRDefault="006D78FD" w:rsidP="00152A02">
      <w:pPr>
        <w:pStyle w:val="ListBullet"/>
        <w:ind w:right="-285"/>
        <w:rPr>
          <w:lang w:val="en-AU"/>
        </w:rPr>
      </w:pPr>
      <w:r w:rsidRPr="00D30BFF">
        <w:rPr>
          <w:lang w:val="en-AU"/>
        </w:rPr>
        <w:t>Improve the environmental condition of Victoria’s waterways and catchments</w:t>
      </w:r>
    </w:p>
    <w:p w14:paraId="353EF84B" w14:textId="77777777" w:rsidR="006D78FD" w:rsidRPr="00D30BFF" w:rsidRDefault="006D78FD" w:rsidP="00152A02">
      <w:pPr>
        <w:pStyle w:val="ListBullet"/>
        <w:ind w:right="-285"/>
        <w:rPr>
          <w:lang w:val="en-AU"/>
        </w:rPr>
      </w:pPr>
      <w:r w:rsidRPr="00D30BFF">
        <w:rPr>
          <w:lang w:val="en-AU"/>
        </w:rPr>
        <w:t>Increase inclusion of social and community values in water management</w:t>
      </w:r>
    </w:p>
    <w:p w14:paraId="4BC81935" w14:textId="77777777" w:rsidR="006D78FD" w:rsidRPr="00D30BFF" w:rsidRDefault="006D78FD" w:rsidP="00152A02">
      <w:pPr>
        <w:pStyle w:val="ListBullet"/>
        <w:ind w:right="-285"/>
        <w:rPr>
          <w:lang w:val="en-AU"/>
        </w:rPr>
      </w:pPr>
      <w:r w:rsidRPr="00D30BFF">
        <w:rPr>
          <w:lang w:val="en-AU"/>
        </w:rPr>
        <w:t>Increase efficiency of water use</w:t>
      </w:r>
    </w:p>
    <w:p w14:paraId="567BD66D" w14:textId="77777777" w:rsidR="006D78FD" w:rsidRPr="00D30BFF" w:rsidRDefault="006D78FD" w:rsidP="00152A02">
      <w:pPr>
        <w:pStyle w:val="ListBullet"/>
        <w:ind w:right="-285"/>
        <w:rPr>
          <w:lang w:val="en-AU"/>
        </w:rPr>
      </w:pPr>
      <w:r w:rsidRPr="00D30BFF">
        <w:rPr>
          <w:lang w:val="en-AU"/>
        </w:rPr>
        <w:t>Improve water sector governance, systems integration and water emergency management</w:t>
      </w:r>
    </w:p>
    <w:p w14:paraId="67DDFB12" w14:textId="77777777" w:rsidR="006D78FD" w:rsidRPr="00D30BFF" w:rsidRDefault="006D78FD" w:rsidP="00152A02">
      <w:pPr>
        <w:pStyle w:val="Heading2"/>
        <w:rPr>
          <w:lang w:val="en-AU"/>
        </w:rPr>
      </w:pPr>
      <w:r w:rsidRPr="00D30BFF">
        <w:rPr>
          <w:lang w:val="en-AU"/>
        </w:rPr>
        <w:t>Success 2025-26</w:t>
      </w:r>
    </w:p>
    <w:p w14:paraId="49F5DBD2" w14:textId="77777777" w:rsidR="006D78FD" w:rsidRPr="00D30BFF" w:rsidRDefault="006D78FD" w:rsidP="00152A02">
      <w:pPr>
        <w:pStyle w:val="ListBullet"/>
        <w:rPr>
          <w:lang w:val="en-AU"/>
        </w:rPr>
      </w:pPr>
      <w:r w:rsidRPr="00D30BFF">
        <w:rPr>
          <w:lang w:val="en-AU"/>
        </w:rPr>
        <w:t>6 new flood studies funded to ensure communities understand flood risk and to inform investment in flood warning and mitigation measures</w:t>
      </w:r>
    </w:p>
    <w:p w14:paraId="77FEF1E9" w14:textId="77777777" w:rsidR="006D78FD" w:rsidRPr="00D30BFF" w:rsidRDefault="006D78FD" w:rsidP="00152A02">
      <w:pPr>
        <w:pStyle w:val="ListBullet"/>
        <w:rPr>
          <w:lang w:val="en-AU"/>
        </w:rPr>
      </w:pPr>
      <w:r w:rsidRPr="00D30BFF">
        <w:rPr>
          <w:lang w:val="en-AU"/>
        </w:rPr>
        <w:t>900 households or community housing assisted in the Community Rebate and housing Retrofit Program</w:t>
      </w:r>
    </w:p>
    <w:p w14:paraId="0A9363B2" w14:textId="77777777" w:rsidR="006D78FD" w:rsidRPr="00D30BFF" w:rsidRDefault="006D78FD" w:rsidP="00152A02">
      <w:pPr>
        <w:pStyle w:val="ListBullet"/>
        <w:rPr>
          <w:lang w:val="en-AU"/>
        </w:rPr>
      </w:pPr>
      <w:r w:rsidRPr="00D30BFF">
        <w:rPr>
          <w:lang w:val="en-AU"/>
        </w:rPr>
        <w:t>8,000 hectares of waterway vegetation works undertaken to improve the health and resilience of waterways</w:t>
      </w:r>
    </w:p>
    <w:p w14:paraId="1B648140" w14:textId="77777777" w:rsidR="000C3DAF" w:rsidRDefault="006D78FD" w:rsidP="00152A02">
      <w:pPr>
        <w:pStyle w:val="Heading2"/>
        <w:rPr>
          <w:lang w:val="en-AU"/>
        </w:rPr>
      </w:pPr>
      <w:r w:rsidRPr="00D30BFF">
        <w:rPr>
          <w:lang w:val="en-AU"/>
        </w:rPr>
        <w:lastRenderedPageBreak/>
        <w:t>Total budget</w:t>
      </w:r>
    </w:p>
    <w:p w14:paraId="357DBB14" w14:textId="77777777" w:rsidR="000C3DAF" w:rsidRDefault="006D78FD" w:rsidP="006D78FD">
      <w:pPr>
        <w:pStyle w:val="BodyText"/>
        <w:rPr>
          <w:b/>
          <w:bCs/>
          <w:lang w:val="en-AU"/>
        </w:rPr>
      </w:pPr>
      <w:r w:rsidRPr="00D30BFF">
        <w:rPr>
          <w:b/>
          <w:bCs/>
          <w:lang w:val="en-AU"/>
        </w:rPr>
        <w:t>$296.2 million</w:t>
      </w:r>
    </w:p>
    <w:p w14:paraId="21F203EE" w14:textId="77777777" w:rsidR="000C3DAF" w:rsidRDefault="006D78FD" w:rsidP="00152A02">
      <w:pPr>
        <w:pStyle w:val="Heading2"/>
        <w:rPr>
          <w:lang w:val="en-AU"/>
        </w:rPr>
      </w:pPr>
      <w:r w:rsidRPr="00D30BFF">
        <w:rPr>
          <w:lang w:val="en-AU"/>
        </w:rPr>
        <w:t>Key initiatives</w:t>
      </w:r>
    </w:p>
    <w:p w14:paraId="3DD0FE90" w14:textId="77777777" w:rsidR="000C3DAF" w:rsidRDefault="006D78FD" w:rsidP="00152A02">
      <w:pPr>
        <w:pStyle w:val="Heading3"/>
        <w:rPr>
          <w:lang w:val="en-AU"/>
        </w:rPr>
      </w:pPr>
      <w:r w:rsidRPr="00D30BFF">
        <w:rPr>
          <w:lang w:val="en-AU"/>
        </w:rPr>
        <w:t>Water Security Plan</w:t>
      </w:r>
    </w:p>
    <w:p w14:paraId="080C44E5" w14:textId="5C8D8FC2" w:rsidR="006D78FD" w:rsidRPr="00D30BFF" w:rsidRDefault="006D78FD" w:rsidP="006D78FD">
      <w:pPr>
        <w:pStyle w:val="BodyText"/>
        <w:rPr>
          <w:lang w:val="en-AU"/>
        </w:rPr>
      </w:pPr>
      <w:r w:rsidRPr="00D30BFF">
        <w:rPr>
          <w:lang w:val="en-AU"/>
        </w:rPr>
        <w:t>The Victorian water grid comprises networks of natural and built infrastructure responsible for producing and supplying water across geographical boundaries. The grid oversight function leads policy decisions that impact how the water grid is used. It ensures changes do not adversely affect entitlements and identifies augmentation and usage options across the grid to enable better water security decisions. The function delivers strategic assessments, stress testing of the water grid and identifies options to extend the grid. This will deliver the annually updated Water Grid Plan, providing the community with a forward view of water availability, demands, and risks to water security, whilst identifying and tracking implementation of feasible grid augmentation options to meet the identified future water supply shortfalls.</w:t>
      </w:r>
    </w:p>
    <w:p w14:paraId="59BBC448" w14:textId="77777777" w:rsidR="006D78FD" w:rsidRPr="00D30BFF" w:rsidRDefault="006D78FD" w:rsidP="00152A02">
      <w:pPr>
        <w:pStyle w:val="Heading3"/>
        <w:rPr>
          <w:lang w:val="en-AU"/>
        </w:rPr>
      </w:pPr>
      <w:r w:rsidRPr="00D30BFF">
        <w:rPr>
          <w:lang w:val="en-AU"/>
        </w:rPr>
        <w:t>Increased Traditional Owner access to water and decision-making in water management</w:t>
      </w:r>
    </w:p>
    <w:p w14:paraId="1365D5C0" w14:textId="77777777" w:rsidR="006D78FD" w:rsidRPr="00D30BFF" w:rsidRDefault="006D78FD" w:rsidP="006D78FD">
      <w:pPr>
        <w:pStyle w:val="BodyText"/>
        <w:rPr>
          <w:lang w:val="en-AU"/>
        </w:rPr>
      </w:pPr>
      <w:r w:rsidRPr="00D30BFF">
        <w:rPr>
          <w:lang w:val="en-AU"/>
        </w:rPr>
        <w:t>DEECA is working with Traditional Owners and the water sector to implement Water is Life: Traditional Owner Access to Water Roadmap (Water is Life). Water is Life proposes a series of actions the government will take in partnership with the water sector, existing water users, and Traditional Owners to increase Traditional Owner access to water and participation in the management of water landscapes.</w:t>
      </w:r>
    </w:p>
    <w:p w14:paraId="44C5E730" w14:textId="77777777" w:rsidR="006D78FD" w:rsidRPr="00D30BFF" w:rsidRDefault="006D78FD" w:rsidP="006D78FD">
      <w:pPr>
        <w:pStyle w:val="BodyText"/>
        <w:rPr>
          <w:lang w:val="en-AU"/>
        </w:rPr>
      </w:pPr>
      <w:r w:rsidRPr="00D30BFF">
        <w:rPr>
          <w:lang w:val="en-AU"/>
        </w:rPr>
        <w:t xml:space="preserve">This program will invest in Traditional Owner water related priorities and oversee </w:t>
      </w:r>
      <w:proofErr w:type="gramStart"/>
      <w:r w:rsidRPr="00D30BFF">
        <w:rPr>
          <w:lang w:val="en-AU"/>
        </w:rPr>
        <w:t>grant  governance</w:t>
      </w:r>
      <w:proofErr w:type="gramEnd"/>
      <w:r w:rsidRPr="00D30BFF">
        <w:rPr>
          <w:lang w:val="en-AU"/>
        </w:rPr>
        <w:t xml:space="preserve"> for funded activities including employment for Aboriginal Water Officers, the Aboriginal Water Officer Network, and self-determined projects.</w:t>
      </w:r>
    </w:p>
    <w:p w14:paraId="6025457F" w14:textId="342C5B45" w:rsidR="006D78FD" w:rsidRPr="00D30BFF" w:rsidRDefault="006D78FD" w:rsidP="006D78FD">
      <w:pPr>
        <w:pStyle w:val="BodyText"/>
        <w:rPr>
          <w:lang w:val="en-AU"/>
        </w:rPr>
      </w:pPr>
      <w:r w:rsidRPr="00D30BFF">
        <w:rPr>
          <w:lang w:val="en-AU"/>
        </w:rPr>
        <w:lastRenderedPageBreak/>
        <w:t>This program will support the water sector to move towards self-determination, particularly to coordinate the water sector response to Yoorrook Justice Commission recommendations, water portfolio preparation for Treaty, and support Victoria’s Closing the Gap water commitments.</w:t>
      </w:r>
    </w:p>
    <w:p w14:paraId="66D42CE0" w14:textId="77777777" w:rsidR="000C3DAF" w:rsidRDefault="006D78FD" w:rsidP="00152A02">
      <w:pPr>
        <w:pStyle w:val="Heading3"/>
        <w:rPr>
          <w:lang w:val="en-AU"/>
        </w:rPr>
      </w:pPr>
      <w:r w:rsidRPr="00D30BFF">
        <w:rPr>
          <w:lang w:val="en-AU"/>
        </w:rPr>
        <w:t>Reducing the risks of floods in a changing climate</w:t>
      </w:r>
    </w:p>
    <w:p w14:paraId="2F9A58E3" w14:textId="15C2A22C" w:rsidR="006D78FD" w:rsidRPr="00D30BFF" w:rsidRDefault="006D78FD" w:rsidP="006D78FD">
      <w:pPr>
        <w:pStyle w:val="BodyText"/>
        <w:rPr>
          <w:lang w:val="en-AU"/>
        </w:rPr>
      </w:pPr>
      <w:r w:rsidRPr="00D30BFF">
        <w:rPr>
          <w:lang w:val="en-AU"/>
        </w:rPr>
        <w:t>Preparing, planning for, and responding to a flood event is key to reducing damage and protecting livelihoods. To support this aim, DEECA oversees the investment in detailed flood studies for flood prone communities, designs for construction of flood mitigation infrastructure and improved flood warning systems. Flood studies will provide maps and other data to assist Catchment Management Authorities (CMAs) and Local Government Authorities (LGAs) to avoid building homes and businesses on land that will flood in the future.</w:t>
      </w:r>
    </w:p>
    <w:p w14:paraId="699C52A1" w14:textId="24B62934" w:rsidR="006D78FD" w:rsidRPr="00D30BFF" w:rsidRDefault="006D78FD" w:rsidP="006D78FD">
      <w:pPr>
        <w:pStyle w:val="BodyText"/>
        <w:rPr>
          <w:lang w:val="en-AU"/>
        </w:rPr>
      </w:pPr>
      <w:r w:rsidRPr="00D30BFF">
        <w:rPr>
          <w:lang w:val="en-AU"/>
        </w:rPr>
        <w:t xml:space="preserve">DEECA will partner with the Bureau of Meteorology to implement new and improved flood warnings, support CMAs with funding to implement regional floodplain management strategies, and continue to improve our online </w:t>
      </w:r>
      <w:proofErr w:type="spellStart"/>
      <w:r w:rsidRPr="00D30BFF">
        <w:rPr>
          <w:lang w:val="en-AU"/>
        </w:rPr>
        <w:t>FloodZoom</w:t>
      </w:r>
      <w:proofErr w:type="spellEnd"/>
      <w:r w:rsidRPr="00D30BFF">
        <w:rPr>
          <w:lang w:val="en-AU"/>
        </w:rPr>
        <w:t xml:space="preserve"> platform, thereby meeting our obligations to support Victoria State Emergency Service (VICSES) in responding to floods.</w:t>
      </w:r>
    </w:p>
    <w:p w14:paraId="185307B3" w14:textId="77777777" w:rsidR="000C3DAF" w:rsidRDefault="006D78FD" w:rsidP="00152A02">
      <w:pPr>
        <w:pStyle w:val="Heading3"/>
        <w:rPr>
          <w:lang w:val="en-AU"/>
        </w:rPr>
      </w:pPr>
      <w:r w:rsidRPr="00D30BFF">
        <w:rPr>
          <w:lang w:val="en-AU"/>
        </w:rPr>
        <w:t>Maintaining the health, resilience and enjoyment of Victoria waterways, catchments, and country</w:t>
      </w:r>
    </w:p>
    <w:p w14:paraId="798B3DEC" w14:textId="74CA84BC" w:rsidR="006D78FD" w:rsidRPr="00D30BFF" w:rsidRDefault="006D78FD" w:rsidP="006D78FD">
      <w:pPr>
        <w:pStyle w:val="BodyText"/>
        <w:rPr>
          <w:lang w:val="en-AU"/>
        </w:rPr>
      </w:pPr>
      <w:r w:rsidRPr="00D30BFF">
        <w:rPr>
          <w:lang w:val="en-AU"/>
        </w:rPr>
        <w:t>DEECA is delivering an integrated, long-term and sustained set of programs to continue to protect and restore Victoria’s regional waterways and catchments, which are severely degraded from over 160 years of development and are subject to escalating pressures. Major components are delivered by the 9 regional CMAs, Melbourne Water, the Victorian Environmental Water Holder and Traditional Owner Partners.</w:t>
      </w:r>
    </w:p>
    <w:p w14:paraId="788CA790" w14:textId="77777777" w:rsidR="000C3DAF" w:rsidRDefault="006D78FD" w:rsidP="00152A02">
      <w:pPr>
        <w:pStyle w:val="Heading3"/>
        <w:rPr>
          <w:lang w:val="en-AU"/>
        </w:rPr>
      </w:pPr>
      <w:r w:rsidRPr="00D30BFF">
        <w:rPr>
          <w:lang w:val="en-AU"/>
        </w:rPr>
        <w:lastRenderedPageBreak/>
        <w:t>Murray-Darling Basin Inter-jurisdictional strategy and negotiations and Monitoring and Evaluation</w:t>
      </w:r>
    </w:p>
    <w:p w14:paraId="661200C3" w14:textId="445B2AFB" w:rsidR="006D78FD" w:rsidRPr="00D30BFF" w:rsidRDefault="006D78FD" w:rsidP="006D78FD">
      <w:pPr>
        <w:pStyle w:val="BodyText"/>
        <w:rPr>
          <w:lang w:val="en-AU"/>
        </w:rPr>
      </w:pPr>
      <w:r w:rsidRPr="00D30BFF">
        <w:rPr>
          <w:lang w:val="en-AU"/>
        </w:rPr>
        <w:t>The objective of this service is to provide leadership, coordination and guidance in pursuing Victoria’s interests and negotiating the best possible outcomes for Victoria in delivering the Murray-Darling Basin Plan.</w:t>
      </w:r>
    </w:p>
    <w:p w14:paraId="5BB41F91" w14:textId="77777777" w:rsidR="006D78FD" w:rsidRPr="00D30BFF" w:rsidRDefault="006D78FD" w:rsidP="00152A02">
      <w:pPr>
        <w:pStyle w:val="Normalbeforebullets"/>
      </w:pPr>
      <w:r w:rsidRPr="00D30BFF">
        <w:t>This service delivers:</w:t>
      </w:r>
    </w:p>
    <w:p w14:paraId="2C4EE023" w14:textId="77777777" w:rsidR="000C3DAF" w:rsidRDefault="006D78FD" w:rsidP="00152A02">
      <w:pPr>
        <w:pStyle w:val="ListBullet"/>
        <w:rPr>
          <w:lang w:val="en-AU"/>
        </w:rPr>
      </w:pPr>
      <w:r w:rsidRPr="00D30BFF">
        <w:rPr>
          <w:lang w:val="en-AU"/>
        </w:rPr>
        <w:t>An overarching strategy for each inter-jurisdictional meeting and the long-term strategy for Victoria’s position on the Murray-Darling Basin Plan</w:t>
      </w:r>
    </w:p>
    <w:p w14:paraId="3522D2B0" w14:textId="47052AFC" w:rsidR="006D78FD" w:rsidRPr="00D30BFF" w:rsidRDefault="006D78FD" w:rsidP="00152A02">
      <w:pPr>
        <w:pStyle w:val="ListBullet"/>
        <w:rPr>
          <w:lang w:val="en-AU"/>
        </w:rPr>
      </w:pPr>
      <w:r w:rsidRPr="00D30BFF">
        <w:rPr>
          <w:lang w:val="en-AU"/>
        </w:rPr>
        <w:t>Oversight of Victoria’s obligations in the Murray-Darling Basin including monitoring, evaluation and reporting.</w:t>
      </w:r>
    </w:p>
    <w:p w14:paraId="13F96BE1" w14:textId="77777777" w:rsidR="006D78FD" w:rsidRPr="00D30BFF" w:rsidRDefault="006D78FD" w:rsidP="00152A02">
      <w:pPr>
        <w:pStyle w:val="ListBullet"/>
        <w:rPr>
          <w:lang w:val="en-AU"/>
        </w:rPr>
      </w:pPr>
      <w:r w:rsidRPr="00D30BFF">
        <w:rPr>
          <w:lang w:val="en-AU"/>
        </w:rPr>
        <w:t>Provision of advice to the Minister and executive on policy, risks and opportunities.</w:t>
      </w:r>
    </w:p>
    <w:p w14:paraId="215AE82B" w14:textId="62AC4438" w:rsidR="006D78FD" w:rsidRPr="00D30BFF" w:rsidRDefault="006D78FD" w:rsidP="00152A02">
      <w:pPr>
        <w:pStyle w:val="LastBulletinList"/>
        <w:rPr>
          <w:lang w:val="en-AU"/>
        </w:rPr>
      </w:pPr>
      <w:r w:rsidRPr="00D30BFF">
        <w:rPr>
          <w:lang w:val="en-AU"/>
        </w:rPr>
        <w:t>Support for Water and Catchments Group in other inter-governmental matters.</w:t>
      </w:r>
    </w:p>
    <w:p w14:paraId="7DED55CD" w14:textId="310A22CC" w:rsidR="006D78FD" w:rsidRPr="00D30BFF" w:rsidRDefault="006D78FD" w:rsidP="006D78FD">
      <w:pPr>
        <w:pStyle w:val="BodyText"/>
        <w:rPr>
          <w:i/>
          <w:iCs/>
          <w:lang w:val="en-AU"/>
        </w:rPr>
      </w:pPr>
      <w:r w:rsidRPr="00D30BFF">
        <w:rPr>
          <w:i/>
          <w:iCs/>
          <w:lang w:val="en-AU"/>
        </w:rPr>
        <w:t>“Preparing, planning for, and responding to a flood event is key to reducing damage and protecting livelihoods.”</w:t>
      </w:r>
    </w:p>
    <w:p w14:paraId="431C0D27" w14:textId="4582557D" w:rsidR="006D78FD" w:rsidRPr="00D30BFF" w:rsidRDefault="006D78FD" w:rsidP="006D78FD">
      <w:pPr>
        <w:pStyle w:val="Heading1"/>
        <w:pageBreakBefore/>
        <w:rPr>
          <w:lang w:val="en-AU"/>
        </w:rPr>
      </w:pPr>
      <w:bookmarkStart w:id="21" w:name="_Toc207621372"/>
      <w:r w:rsidRPr="00D30BFF">
        <w:rPr>
          <w:lang w:val="en-AU"/>
        </w:rPr>
        <w:lastRenderedPageBreak/>
        <w:t>Financial, asset and workforce outlook</w:t>
      </w:r>
      <w:bookmarkEnd w:id="21"/>
    </w:p>
    <w:p w14:paraId="1FC4DCD0" w14:textId="77777777" w:rsidR="006D78FD" w:rsidRPr="00D30BFF" w:rsidRDefault="006D78FD" w:rsidP="006D78FD">
      <w:pPr>
        <w:pStyle w:val="BodyText"/>
        <w:rPr>
          <w:b/>
          <w:bCs/>
          <w:lang w:val="en-AU"/>
        </w:rPr>
      </w:pPr>
      <w:r w:rsidRPr="00D30BFF">
        <w:rPr>
          <w:b/>
          <w:bCs/>
          <w:lang w:val="en-AU"/>
        </w:rPr>
        <w:t>The 2025 – 26 Victorian State Budget Paper 3 sets out the department’s outputs and funding. For the 2025 – 26 financial year, the department’s output budget totals $2.6 billion.</w:t>
      </w:r>
    </w:p>
    <w:p w14:paraId="5E57EDF4" w14:textId="77777777" w:rsidR="006D78FD" w:rsidRPr="00D30BFF" w:rsidRDefault="006D78FD" w:rsidP="00152A02">
      <w:pPr>
        <w:pStyle w:val="Heading2"/>
        <w:rPr>
          <w:lang w:val="en-AU"/>
        </w:rPr>
      </w:pPr>
      <w:r w:rsidRPr="00D30BFF">
        <w:rPr>
          <w:lang w:val="en-AU"/>
        </w:rPr>
        <w:t>Workforce outlook</w:t>
      </w:r>
    </w:p>
    <w:p w14:paraId="6E509409" w14:textId="77777777" w:rsidR="006D78FD" w:rsidRPr="00D30BFF" w:rsidRDefault="006D78FD" w:rsidP="006D78FD">
      <w:pPr>
        <w:pStyle w:val="BodyText"/>
        <w:rPr>
          <w:lang w:val="en-AU"/>
        </w:rPr>
      </w:pPr>
      <w:r w:rsidRPr="00D30BFF">
        <w:rPr>
          <w:lang w:val="en-AU"/>
        </w:rPr>
        <w:t>At DEECA, our aspiration is to have a workforce that reflects the communities that we serve and live in. We recognise that our people are our greatest asset and that they are central to delivering our plan. Building our workforce capability and capacity will be key to achieving success. We will be a workplace that is inclusive, diverse and culturally safe and protects the physical and psychological safety of our people.</w:t>
      </w:r>
    </w:p>
    <w:p w14:paraId="244C1AC7" w14:textId="77777777" w:rsidR="006D78FD" w:rsidRPr="00D30BFF" w:rsidRDefault="006D78FD" w:rsidP="006D78FD">
      <w:pPr>
        <w:pStyle w:val="BodyText"/>
        <w:rPr>
          <w:lang w:val="en-AU"/>
        </w:rPr>
      </w:pPr>
      <w:r w:rsidRPr="00D30BFF">
        <w:rPr>
          <w:lang w:val="en-AU"/>
        </w:rPr>
        <w:t xml:space="preserve"> To achieve this aim, we will target, employ and retain the best people through various workforce programs. These programs will foster a culture where our employees are provided with opportunities to develop, are valued for their contribution, and can work flexibly and safely to deliver great value and services to Victorian communities and stakeholders.</w:t>
      </w:r>
    </w:p>
    <w:p w14:paraId="16AC015D" w14:textId="77777777" w:rsidR="006D78FD" w:rsidRPr="00D30BFF" w:rsidRDefault="006D78FD" w:rsidP="006D78FD">
      <w:pPr>
        <w:pStyle w:val="BodyText"/>
        <w:rPr>
          <w:lang w:val="en-AU"/>
        </w:rPr>
      </w:pPr>
      <w:r w:rsidRPr="00D30BFF">
        <w:rPr>
          <w:lang w:val="en-AU"/>
        </w:rPr>
        <w:t>Examples of our progress include implementing the DEECA Leadership model, launching our gender affirmation policy and guidelines, uplifting the capability of hiring managers through the Navigating Recruitment eLearn and developing the psychologically healthy and safe workplaces toolkit and video series. We aim to be an employer of choice, where people have a sense of belonging, feel valued, embrace flexibility, are safe and gain professional satisfaction in their role.</w:t>
      </w:r>
    </w:p>
    <w:p w14:paraId="5FBD01AF" w14:textId="77777777" w:rsidR="006D78FD" w:rsidRPr="00D30BFF" w:rsidRDefault="006D78FD" w:rsidP="006D78FD">
      <w:pPr>
        <w:pStyle w:val="BodyText"/>
        <w:rPr>
          <w:lang w:val="en-AU"/>
        </w:rPr>
      </w:pPr>
      <w:r w:rsidRPr="00D30BFF">
        <w:rPr>
          <w:lang w:val="en-AU"/>
        </w:rPr>
        <w:t>We will support our people to be diverse, inclusive and practice cultural safety through various complementary initiatives and programs including:</w:t>
      </w:r>
    </w:p>
    <w:p w14:paraId="70F6798D" w14:textId="77777777" w:rsidR="006D78FD" w:rsidRPr="00D30BFF" w:rsidRDefault="006D78FD" w:rsidP="006D78FD">
      <w:pPr>
        <w:pStyle w:val="ListBullet"/>
        <w:rPr>
          <w:lang w:val="en-AU"/>
        </w:rPr>
      </w:pPr>
      <w:r w:rsidRPr="00D30BFF">
        <w:rPr>
          <w:lang w:val="en-AU"/>
        </w:rPr>
        <w:lastRenderedPageBreak/>
        <w:t>Early career talent programs</w:t>
      </w:r>
    </w:p>
    <w:p w14:paraId="3AA21467" w14:textId="77777777" w:rsidR="006D78FD" w:rsidRPr="00D30BFF" w:rsidRDefault="006D78FD" w:rsidP="006D78FD">
      <w:pPr>
        <w:pStyle w:val="ListBullet"/>
        <w:rPr>
          <w:lang w:val="en-AU"/>
        </w:rPr>
      </w:pPr>
      <w:r w:rsidRPr="00D30BFF">
        <w:rPr>
          <w:lang w:val="en-AU"/>
        </w:rPr>
        <w:t>Access and Inclusion Plan</w:t>
      </w:r>
    </w:p>
    <w:p w14:paraId="76F588C2" w14:textId="77777777" w:rsidR="006D78FD" w:rsidRPr="00D30BFF" w:rsidRDefault="006D78FD" w:rsidP="006D78FD">
      <w:pPr>
        <w:pStyle w:val="ListBullet"/>
        <w:rPr>
          <w:lang w:val="en-AU"/>
        </w:rPr>
      </w:pPr>
      <w:r w:rsidRPr="00D30BFF">
        <w:rPr>
          <w:lang w:val="en-AU"/>
        </w:rPr>
        <w:t>Gender Equality Action Plan</w:t>
      </w:r>
    </w:p>
    <w:p w14:paraId="448C7668" w14:textId="77777777" w:rsidR="006D78FD" w:rsidRPr="00D30BFF" w:rsidRDefault="006D78FD" w:rsidP="006D78FD">
      <w:pPr>
        <w:pStyle w:val="ListBullet"/>
        <w:rPr>
          <w:lang w:val="en-AU"/>
        </w:rPr>
      </w:pPr>
      <w:r w:rsidRPr="00D30BFF">
        <w:rPr>
          <w:lang w:val="en-AU"/>
        </w:rPr>
        <w:t>LGBTIQA+ Action Plan</w:t>
      </w:r>
    </w:p>
    <w:p w14:paraId="5BA75E41" w14:textId="77777777" w:rsidR="006D78FD" w:rsidRPr="00D30BFF" w:rsidRDefault="006D78FD" w:rsidP="006D78FD">
      <w:pPr>
        <w:pStyle w:val="ListBullet"/>
        <w:rPr>
          <w:lang w:val="en-AU"/>
        </w:rPr>
      </w:pPr>
      <w:r w:rsidRPr="00D30BFF">
        <w:rPr>
          <w:lang w:val="en-AU"/>
        </w:rPr>
        <w:t>Safety and wellbeing policy</w:t>
      </w:r>
    </w:p>
    <w:p w14:paraId="3ED7C1B9" w14:textId="77777777" w:rsidR="006D78FD" w:rsidRPr="00D30BFF" w:rsidRDefault="006D78FD" w:rsidP="006D78FD">
      <w:pPr>
        <w:pStyle w:val="ListBullet"/>
        <w:rPr>
          <w:lang w:val="en-AU"/>
        </w:rPr>
      </w:pPr>
      <w:r w:rsidRPr="00D30BFF">
        <w:rPr>
          <w:lang w:val="en-AU"/>
        </w:rPr>
        <w:t>Staff Led Networks</w:t>
      </w:r>
    </w:p>
    <w:p w14:paraId="762FB570" w14:textId="77777777" w:rsidR="006D78FD" w:rsidRPr="00D30BFF" w:rsidRDefault="006D78FD" w:rsidP="006D78FD">
      <w:pPr>
        <w:pStyle w:val="LastBulletinList"/>
        <w:rPr>
          <w:lang w:val="en-AU"/>
        </w:rPr>
      </w:pPr>
      <w:r w:rsidRPr="00D30BFF">
        <w:rPr>
          <w:lang w:val="en-AU"/>
        </w:rPr>
        <w:t>DEECA Leadership Development Program.</w:t>
      </w:r>
    </w:p>
    <w:p w14:paraId="249DBA95" w14:textId="0569C361" w:rsidR="008436DF" w:rsidRPr="00D30BFF" w:rsidRDefault="006D78FD" w:rsidP="00404D6D">
      <w:pPr>
        <w:pStyle w:val="Heading2"/>
        <w:pageBreakBefore/>
        <w:spacing w:after="360"/>
        <w:rPr>
          <w:lang w:val="en-AU"/>
        </w:rPr>
      </w:pPr>
      <w:r w:rsidRPr="00D30BFF">
        <w:rPr>
          <w:lang w:val="en-AU"/>
        </w:rPr>
        <w:lastRenderedPageBreak/>
        <w:t>Financial and Asset outlook</w:t>
      </w:r>
    </w:p>
    <w:p w14:paraId="6A933EC7" w14:textId="29A50BE8" w:rsidR="00404D6D" w:rsidRPr="00D30BFF" w:rsidRDefault="00404D6D" w:rsidP="00404D6D">
      <w:pPr>
        <w:pStyle w:val="Heading3"/>
        <w:spacing w:after="120"/>
        <w:rPr>
          <w:lang w:val="en-AU"/>
        </w:rPr>
      </w:pPr>
      <w:r w:rsidRPr="00D30BFF">
        <w:rPr>
          <w:lang w:val="en-AU"/>
        </w:rPr>
        <w:t>2025-26 budget ($ million)</w:t>
      </w:r>
    </w:p>
    <w:p w14:paraId="5842C3B8" w14:textId="1AC3F4CE" w:rsidR="00DC24DD" w:rsidRPr="00D30BFF" w:rsidRDefault="00DC24DD" w:rsidP="00404D6D">
      <w:pPr>
        <w:pStyle w:val="Caption"/>
        <w:keepNext/>
        <w:spacing w:after="40"/>
      </w:pPr>
      <w:r w:rsidRPr="00D30BFF">
        <w:t xml:space="preserve">Table </w:t>
      </w:r>
      <w:r w:rsidR="00E56263">
        <w:fldChar w:fldCharType="begin"/>
      </w:r>
      <w:r w:rsidR="00E56263">
        <w:instrText xml:space="preserve"> SEQ Table \* ARABIC </w:instrText>
      </w:r>
      <w:r w:rsidR="00E56263">
        <w:fldChar w:fldCharType="separate"/>
      </w:r>
      <w:r w:rsidR="00E56263" w:rsidRPr="00D30BFF">
        <w:rPr>
          <w:noProof/>
        </w:rPr>
        <w:t>2</w:t>
      </w:r>
      <w:r w:rsidR="00E56263">
        <w:rPr>
          <w:noProof/>
        </w:rPr>
        <w:fldChar w:fldCharType="end"/>
      </w:r>
      <w:r w:rsidRPr="00D30BFF">
        <w:t>: Financial and Asset outlook</w:t>
      </w:r>
    </w:p>
    <w:tbl>
      <w:tblPr>
        <w:tblStyle w:val="Style2"/>
        <w:tblW w:w="5000" w:type="pct"/>
        <w:tblLook w:val="0020" w:firstRow="1" w:lastRow="0" w:firstColumn="0" w:lastColumn="0" w:noHBand="0" w:noVBand="0"/>
        <w:tblCaption w:val="Table 2: Financial and Asset outlook"/>
        <w:tblDescription w:val="Table 2: Financial and Asset outlook"/>
      </w:tblPr>
      <w:tblGrid>
        <w:gridCol w:w="7644"/>
        <w:gridCol w:w="1974"/>
      </w:tblGrid>
      <w:tr w:rsidR="006D78FD" w:rsidRPr="006D78FD" w14:paraId="3330BD47" w14:textId="77777777" w:rsidTr="00404D6D">
        <w:trPr>
          <w:cnfStyle w:val="100000000000" w:firstRow="1" w:lastRow="0" w:firstColumn="0" w:lastColumn="0" w:oddVBand="0" w:evenVBand="0" w:oddHBand="0" w:evenHBand="0" w:firstRowFirstColumn="0" w:firstRowLastColumn="0" w:lastRowFirstColumn="0" w:lastRowLastColumn="0"/>
          <w:trHeight w:val="60"/>
        </w:trPr>
        <w:tc>
          <w:tcPr>
            <w:tcW w:w="3974" w:type="pct"/>
          </w:tcPr>
          <w:p w14:paraId="2A7D555C" w14:textId="77777777" w:rsidR="006D78FD" w:rsidRPr="00D30BFF" w:rsidRDefault="006D78FD" w:rsidP="00152A02">
            <w:pPr>
              <w:pStyle w:val="Tabletext"/>
              <w:spacing w:after="80" w:line="276" w:lineRule="auto"/>
              <w:rPr>
                <w:lang w:val="en-AU"/>
              </w:rPr>
            </w:pPr>
            <w:r w:rsidRPr="00D30BFF">
              <w:rPr>
                <w:lang w:val="en-AU"/>
              </w:rPr>
              <w:t>The department’s objectives and outputs</w:t>
            </w:r>
          </w:p>
        </w:tc>
        <w:tc>
          <w:tcPr>
            <w:tcW w:w="1026" w:type="pct"/>
          </w:tcPr>
          <w:p w14:paraId="25406A0A" w14:textId="77777777" w:rsidR="006D78FD" w:rsidRPr="00D30BFF" w:rsidRDefault="006D78FD" w:rsidP="004D502A">
            <w:pPr>
              <w:pStyle w:val="Tabletext"/>
              <w:spacing w:after="80" w:line="276" w:lineRule="auto"/>
              <w:jc w:val="right"/>
              <w:rPr>
                <w:lang w:val="en-AU"/>
              </w:rPr>
            </w:pPr>
            <w:r w:rsidRPr="00D30BFF">
              <w:rPr>
                <w:lang w:val="en-AU"/>
              </w:rPr>
              <w:t>2025-26</w:t>
            </w:r>
          </w:p>
        </w:tc>
      </w:tr>
      <w:tr w:rsidR="006D78FD" w:rsidRPr="006D78FD" w14:paraId="0E1D48D2" w14:textId="77777777" w:rsidTr="00404D6D">
        <w:trPr>
          <w:trHeight w:val="60"/>
        </w:trPr>
        <w:tc>
          <w:tcPr>
            <w:tcW w:w="3974" w:type="pct"/>
            <w:shd w:val="clear" w:color="auto" w:fill="F2F2F2" w:themeFill="background1" w:themeFillShade="F2"/>
          </w:tcPr>
          <w:p w14:paraId="27F221C8" w14:textId="77777777" w:rsidR="006D78FD" w:rsidRPr="00D30BFF" w:rsidRDefault="006D78FD" w:rsidP="00152A02">
            <w:pPr>
              <w:pStyle w:val="Tabletext"/>
              <w:spacing w:after="80" w:line="276" w:lineRule="auto"/>
              <w:rPr>
                <w:b/>
                <w:bCs/>
                <w:lang w:val="en-AU"/>
              </w:rPr>
            </w:pPr>
            <w:r w:rsidRPr="00D30BFF">
              <w:rPr>
                <w:b/>
                <w:bCs/>
                <w:lang w:val="en-AU"/>
              </w:rPr>
              <w:t>Net zero emissions, climate-ready economy and community</w:t>
            </w:r>
          </w:p>
        </w:tc>
        <w:tc>
          <w:tcPr>
            <w:tcW w:w="1026" w:type="pct"/>
            <w:shd w:val="clear" w:color="auto" w:fill="F2F2F2" w:themeFill="background1" w:themeFillShade="F2"/>
          </w:tcPr>
          <w:p w14:paraId="0F06ACBB" w14:textId="77777777" w:rsidR="006D78FD" w:rsidRPr="00D30BFF" w:rsidRDefault="006D78FD" w:rsidP="004D502A">
            <w:pPr>
              <w:pStyle w:val="Tabletext"/>
              <w:spacing w:after="80" w:line="276" w:lineRule="auto"/>
              <w:jc w:val="right"/>
              <w:rPr>
                <w:lang w:val="en-AU"/>
              </w:rPr>
            </w:pPr>
          </w:p>
        </w:tc>
      </w:tr>
      <w:tr w:rsidR="006D78FD" w:rsidRPr="006D78FD" w14:paraId="3639732B" w14:textId="77777777" w:rsidTr="00404D6D">
        <w:trPr>
          <w:trHeight w:val="60"/>
        </w:trPr>
        <w:tc>
          <w:tcPr>
            <w:tcW w:w="3974" w:type="pct"/>
          </w:tcPr>
          <w:p w14:paraId="147F4D53" w14:textId="77777777" w:rsidR="006D78FD" w:rsidRPr="00D30BFF" w:rsidRDefault="006D78FD" w:rsidP="00152A02">
            <w:pPr>
              <w:pStyle w:val="Tabletext"/>
              <w:spacing w:after="80" w:line="276" w:lineRule="auto"/>
              <w:rPr>
                <w:lang w:val="en-AU"/>
              </w:rPr>
            </w:pPr>
            <w:r w:rsidRPr="00D30BFF">
              <w:rPr>
                <w:lang w:val="en-AU"/>
              </w:rPr>
              <w:t>Climate Action</w:t>
            </w:r>
          </w:p>
        </w:tc>
        <w:tc>
          <w:tcPr>
            <w:tcW w:w="1026" w:type="pct"/>
          </w:tcPr>
          <w:p w14:paraId="72C622FF" w14:textId="77777777" w:rsidR="006D78FD" w:rsidRPr="00D30BFF" w:rsidRDefault="006D78FD" w:rsidP="004D502A">
            <w:pPr>
              <w:pStyle w:val="Tabletext"/>
              <w:spacing w:after="80" w:line="276" w:lineRule="auto"/>
              <w:jc w:val="right"/>
              <w:rPr>
                <w:lang w:val="en-AU"/>
              </w:rPr>
            </w:pPr>
            <w:r w:rsidRPr="00D30BFF">
              <w:rPr>
                <w:lang w:val="en-AU"/>
              </w:rPr>
              <w:t>18.4</w:t>
            </w:r>
          </w:p>
        </w:tc>
      </w:tr>
      <w:tr w:rsidR="006D78FD" w:rsidRPr="006D78FD" w14:paraId="27E46165" w14:textId="77777777" w:rsidTr="00404D6D">
        <w:trPr>
          <w:trHeight w:val="60"/>
        </w:trPr>
        <w:tc>
          <w:tcPr>
            <w:tcW w:w="3974" w:type="pct"/>
            <w:shd w:val="clear" w:color="auto" w:fill="F2F2F2" w:themeFill="background1" w:themeFillShade="F2"/>
          </w:tcPr>
          <w:p w14:paraId="55040D10" w14:textId="77777777" w:rsidR="006D78FD" w:rsidRPr="00D30BFF" w:rsidRDefault="006D78FD" w:rsidP="00152A02">
            <w:pPr>
              <w:pStyle w:val="Tabletext"/>
              <w:spacing w:after="80" w:line="276" w:lineRule="auto"/>
              <w:rPr>
                <w:b/>
                <w:bCs/>
                <w:lang w:val="en-AU"/>
              </w:rPr>
            </w:pPr>
            <w:r w:rsidRPr="00D30BFF">
              <w:rPr>
                <w:b/>
                <w:bCs/>
                <w:lang w:val="en-AU"/>
              </w:rPr>
              <w:t>Healthy, resilient and biodiverse environment</w:t>
            </w:r>
          </w:p>
        </w:tc>
        <w:tc>
          <w:tcPr>
            <w:tcW w:w="1026" w:type="pct"/>
            <w:shd w:val="clear" w:color="auto" w:fill="F2F2F2" w:themeFill="background1" w:themeFillShade="F2"/>
          </w:tcPr>
          <w:p w14:paraId="177613DA" w14:textId="77777777" w:rsidR="006D78FD" w:rsidRPr="00D30BFF" w:rsidRDefault="006D78FD" w:rsidP="004D502A">
            <w:pPr>
              <w:pStyle w:val="Tabletext"/>
              <w:spacing w:after="80" w:line="276" w:lineRule="auto"/>
              <w:jc w:val="right"/>
              <w:rPr>
                <w:lang w:val="en-AU"/>
              </w:rPr>
            </w:pPr>
            <w:r w:rsidRPr="00D30BFF">
              <w:rPr>
                <w:lang w:val="en-AU"/>
              </w:rPr>
              <w:t xml:space="preserve"> </w:t>
            </w:r>
          </w:p>
        </w:tc>
      </w:tr>
      <w:tr w:rsidR="006D78FD" w:rsidRPr="006D78FD" w14:paraId="3520E30F" w14:textId="77777777" w:rsidTr="00404D6D">
        <w:trPr>
          <w:trHeight w:val="60"/>
        </w:trPr>
        <w:tc>
          <w:tcPr>
            <w:tcW w:w="3974" w:type="pct"/>
          </w:tcPr>
          <w:p w14:paraId="7F79394D" w14:textId="77777777" w:rsidR="006D78FD" w:rsidRPr="00D30BFF" w:rsidRDefault="006D78FD" w:rsidP="00152A02">
            <w:pPr>
              <w:pStyle w:val="Tabletext"/>
              <w:spacing w:after="80" w:line="276" w:lineRule="auto"/>
              <w:rPr>
                <w:lang w:val="en-AU"/>
              </w:rPr>
            </w:pPr>
            <w:r w:rsidRPr="00D30BFF">
              <w:rPr>
                <w:lang w:val="en-AU"/>
              </w:rPr>
              <w:t>Environment and Biodiversity</w:t>
            </w:r>
          </w:p>
        </w:tc>
        <w:tc>
          <w:tcPr>
            <w:tcW w:w="1026" w:type="pct"/>
          </w:tcPr>
          <w:p w14:paraId="68984877" w14:textId="77777777" w:rsidR="006D78FD" w:rsidRPr="00D30BFF" w:rsidRDefault="006D78FD" w:rsidP="004D502A">
            <w:pPr>
              <w:pStyle w:val="Tabletext"/>
              <w:spacing w:after="80" w:line="276" w:lineRule="auto"/>
              <w:jc w:val="right"/>
              <w:rPr>
                <w:lang w:val="en-AU"/>
              </w:rPr>
            </w:pPr>
            <w:r w:rsidRPr="00D30BFF">
              <w:rPr>
                <w:lang w:val="en-AU"/>
              </w:rPr>
              <w:t>128.3</w:t>
            </w:r>
          </w:p>
        </w:tc>
      </w:tr>
      <w:tr w:rsidR="006D78FD" w:rsidRPr="006D78FD" w14:paraId="335F9F65" w14:textId="77777777" w:rsidTr="00404D6D">
        <w:trPr>
          <w:trHeight w:val="60"/>
        </w:trPr>
        <w:tc>
          <w:tcPr>
            <w:tcW w:w="3974" w:type="pct"/>
          </w:tcPr>
          <w:p w14:paraId="49B38A85" w14:textId="77777777" w:rsidR="006D78FD" w:rsidRPr="00D30BFF" w:rsidRDefault="006D78FD" w:rsidP="00152A02">
            <w:pPr>
              <w:pStyle w:val="Tabletext"/>
              <w:spacing w:after="80" w:line="276" w:lineRule="auto"/>
              <w:rPr>
                <w:lang w:val="en-AU"/>
              </w:rPr>
            </w:pPr>
            <w:r w:rsidRPr="00D30BFF">
              <w:rPr>
                <w:lang w:val="en-AU"/>
              </w:rPr>
              <w:t>Statutory Activities and Environment Protection</w:t>
            </w:r>
          </w:p>
        </w:tc>
        <w:tc>
          <w:tcPr>
            <w:tcW w:w="1026" w:type="pct"/>
          </w:tcPr>
          <w:p w14:paraId="07D5E284" w14:textId="77777777" w:rsidR="006D78FD" w:rsidRPr="00D30BFF" w:rsidRDefault="006D78FD" w:rsidP="004D502A">
            <w:pPr>
              <w:pStyle w:val="Tabletext"/>
              <w:spacing w:after="80" w:line="276" w:lineRule="auto"/>
              <w:jc w:val="right"/>
              <w:rPr>
                <w:lang w:val="en-AU"/>
              </w:rPr>
            </w:pPr>
            <w:r w:rsidRPr="00D30BFF">
              <w:rPr>
                <w:lang w:val="en-AU"/>
              </w:rPr>
              <w:t>158.0</w:t>
            </w:r>
          </w:p>
        </w:tc>
      </w:tr>
      <w:tr w:rsidR="006D78FD" w:rsidRPr="006D78FD" w14:paraId="0C18C1B8" w14:textId="77777777" w:rsidTr="00404D6D">
        <w:trPr>
          <w:trHeight w:val="60"/>
        </w:trPr>
        <w:tc>
          <w:tcPr>
            <w:tcW w:w="3974" w:type="pct"/>
          </w:tcPr>
          <w:p w14:paraId="7672BD6E" w14:textId="77777777" w:rsidR="006D78FD" w:rsidRPr="00D30BFF" w:rsidRDefault="006D78FD" w:rsidP="00152A02">
            <w:pPr>
              <w:pStyle w:val="Tabletext"/>
              <w:spacing w:after="80" w:line="276" w:lineRule="auto"/>
              <w:rPr>
                <w:lang w:val="en-AU"/>
              </w:rPr>
            </w:pPr>
            <w:r w:rsidRPr="00D30BFF">
              <w:rPr>
                <w:lang w:val="en-AU"/>
              </w:rPr>
              <w:t>Circular Economy</w:t>
            </w:r>
          </w:p>
        </w:tc>
        <w:tc>
          <w:tcPr>
            <w:tcW w:w="1026" w:type="pct"/>
          </w:tcPr>
          <w:p w14:paraId="2ADA19B3" w14:textId="77777777" w:rsidR="006D78FD" w:rsidRPr="00D30BFF" w:rsidRDefault="006D78FD" w:rsidP="004D502A">
            <w:pPr>
              <w:pStyle w:val="Tabletext"/>
              <w:spacing w:after="80" w:line="276" w:lineRule="auto"/>
              <w:jc w:val="right"/>
              <w:rPr>
                <w:lang w:val="en-AU"/>
              </w:rPr>
            </w:pPr>
            <w:r w:rsidRPr="00D30BFF">
              <w:rPr>
                <w:lang w:val="en-AU"/>
              </w:rPr>
              <w:t>108.0</w:t>
            </w:r>
          </w:p>
        </w:tc>
      </w:tr>
      <w:tr w:rsidR="006D78FD" w:rsidRPr="006D78FD" w14:paraId="157FD489" w14:textId="77777777" w:rsidTr="00404D6D">
        <w:trPr>
          <w:trHeight w:val="60"/>
        </w:trPr>
        <w:tc>
          <w:tcPr>
            <w:tcW w:w="3974" w:type="pct"/>
            <w:shd w:val="clear" w:color="auto" w:fill="F2F2F2" w:themeFill="background1" w:themeFillShade="F2"/>
          </w:tcPr>
          <w:p w14:paraId="2CCC7395" w14:textId="77777777" w:rsidR="006D78FD" w:rsidRPr="00D30BFF" w:rsidRDefault="006D78FD" w:rsidP="00152A02">
            <w:pPr>
              <w:pStyle w:val="Tabletext"/>
              <w:spacing w:after="80" w:line="276" w:lineRule="auto"/>
              <w:rPr>
                <w:b/>
                <w:bCs/>
                <w:lang w:val="en-AU"/>
              </w:rPr>
            </w:pPr>
            <w:r w:rsidRPr="00D30BFF">
              <w:rPr>
                <w:b/>
                <w:bCs/>
                <w:lang w:val="en-AU"/>
              </w:rPr>
              <w:t>Reliable, sustainable and affordable energy services</w:t>
            </w:r>
          </w:p>
        </w:tc>
        <w:tc>
          <w:tcPr>
            <w:tcW w:w="1026" w:type="pct"/>
            <w:shd w:val="clear" w:color="auto" w:fill="F2F2F2" w:themeFill="background1" w:themeFillShade="F2"/>
          </w:tcPr>
          <w:p w14:paraId="3A7AD666" w14:textId="77777777" w:rsidR="006D78FD" w:rsidRPr="00D30BFF" w:rsidRDefault="006D78FD" w:rsidP="004D502A">
            <w:pPr>
              <w:pStyle w:val="Tabletext"/>
              <w:spacing w:after="80" w:line="276" w:lineRule="auto"/>
              <w:jc w:val="right"/>
              <w:rPr>
                <w:lang w:val="en-AU"/>
              </w:rPr>
            </w:pPr>
            <w:r w:rsidRPr="00D30BFF">
              <w:rPr>
                <w:lang w:val="en-AU"/>
              </w:rPr>
              <w:t xml:space="preserve"> </w:t>
            </w:r>
          </w:p>
        </w:tc>
      </w:tr>
      <w:tr w:rsidR="006D78FD" w:rsidRPr="006D78FD" w14:paraId="21EED69E" w14:textId="77777777" w:rsidTr="00404D6D">
        <w:trPr>
          <w:trHeight w:val="60"/>
        </w:trPr>
        <w:tc>
          <w:tcPr>
            <w:tcW w:w="3974" w:type="pct"/>
          </w:tcPr>
          <w:p w14:paraId="64093833" w14:textId="77777777" w:rsidR="006D78FD" w:rsidRPr="00D30BFF" w:rsidRDefault="006D78FD" w:rsidP="00152A02">
            <w:pPr>
              <w:pStyle w:val="Tabletext"/>
              <w:spacing w:after="80" w:line="276" w:lineRule="auto"/>
              <w:rPr>
                <w:lang w:val="en-AU"/>
              </w:rPr>
            </w:pPr>
            <w:r w:rsidRPr="00D30BFF">
              <w:rPr>
                <w:lang w:val="en-AU"/>
              </w:rPr>
              <w:t>Energy</w:t>
            </w:r>
          </w:p>
        </w:tc>
        <w:tc>
          <w:tcPr>
            <w:tcW w:w="1026" w:type="pct"/>
          </w:tcPr>
          <w:p w14:paraId="50BDF1B7" w14:textId="77777777" w:rsidR="006D78FD" w:rsidRPr="00D30BFF" w:rsidRDefault="006D78FD" w:rsidP="004D502A">
            <w:pPr>
              <w:pStyle w:val="Tabletext"/>
              <w:spacing w:after="80" w:line="276" w:lineRule="auto"/>
              <w:jc w:val="right"/>
              <w:rPr>
                <w:lang w:val="en-AU"/>
              </w:rPr>
            </w:pPr>
            <w:r w:rsidRPr="00D30BFF">
              <w:rPr>
                <w:lang w:val="en-AU"/>
              </w:rPr>
              <w:t>306.4</w:t>
            </w:r>
          </w:p>
        </w:tc>
      </w:tr>
      <w:tr w:rsidR="006D78FD" w:rsidRPr="006D78FD" w14:paraId="2AA33520" w14:textId="77777777" w:rsidTr="00404D6D">
        <w:trPr>
          <w:trHeight w:val="60"/>
        </w:trPr>
        <w:tc>
          <w:tcPr>
            <w:tcW w:w="3974" w:type="pct"/>
          </w:tcPr>
          <w:p w14:paraId="62AC3CC5" w14:textId="77777777" w:rsidR="006D78FD" w:rsidRPr="00D30BFF" w:rsidRDefault="006D78FD" w:rsidP="00152A02">
            <w:pPr>
              <w:pStyle w:val="Tabletext"/>
              <w:spacing w:after="80" w:line="276" w:lineRule="auto"/>
              <w:rPr>
                <w:lang w:val="en-AU"/>
              </w:rPr>
            </w:pPr>
            <w:r w:rsidRPr="00D30BFF">
              <w:rPr>
                <w:lang w:val="en-AU"/>
              </w:rPr>
              <w:t>Solar Victoria</w:t>
            </w:r>
          </w:p>
        </w:tc>
        <w:tc>
          <w:tcPr>
            <w:tcW w:w="1026" w:type="pct"/>
          </w:tcPr>
          <w:p w14:paraId="04A43573" w14:textId="77777777" w:rsidR="006D78FD" w:rsidRPr="00D30BFF" w:rsidRDefault="006D78FD" w:rsidP="004D502A">
            <w:pPr>
              <w:pStyle w:val="Tabletext"/>
              <w:spacing w:after="80" w:line="276" w:lineRule="auto"/>
              <w:jc w:val="right"/>
              <w:rPr>
                <w:lang w:val="en-AU"/>
              </w:rPr>
            </w:pPr>
            <w:r w:rsidRPr="00D30BFF">
              <w:rPr>
                <w:lang w:val="en-AU"/>
              </w:rPr>
              <w:t>142.3</w:t>
            </w:r>
          </w:p>
        </w:tc>
      </w:tr>
      <w:tr w:rsidR="006D78FD" w:rsidRPr="006D78FD" w14:paraId="5103520C" w14:textId="77777777" w:rsidTr="00404D6D">
        <w:trPr>
          <w:trHeight w:val="60"/>
        </w:trPr>
        <w:tc>
          <w:tcPr>
            <w:tcW w:w="3974" w:type="pct"/>
            <w:shd w:val="clear" w:color="auto" w:fill="F2F2F2" w:themeFill="background1" w:themeFillShade="F2"/>
          </w:tcPr>
          <w:p w14:paraId="5239D6E1" w14:textId="77777777" w:rsidR="006D78FD" w:rsidRPr="00D30BFF" w:rsidRDefault="006D78FD" w:rsidP="00152A02">
            <w:pPr>
              <w:pStyle w:val="Tabletext"/>
              <w:spacing w:after="80" w:line="276" w:lineRule="auto"/>
              <w:rPr>
                <w:b/>
                <w:bCs/>
                <w:lang w:val="en-AU"/>
              </w:rPr>
            </w:pPr>
            <w:r w:rsidRPr="00D30BFF">
              <w:rPr>
                <w:b/>
                <w:bCs/>
                <w:lang w:val="en-AU"/>
              </w:rPr>
              <w:t>Productive and effective land management</w:t>
            </w:r>
          </w:p>
        </w:tc>
        <w:tc>
          <w:tcPr>
            <w:tcW w:w="1026" w:type="pct"/>
            <w:shd w:val="clear" w:color="auto" w:fill="F2F2F2" w:themeFill="background1" w:themeFillShade="F2"/>
          </w:tcPr>
          <w:p w14:paraId="0FF54FCE" w14:textId="77777777" w:rsidR="006D78FD" w:rsidRPr="00D30BFF" w:rsidRDefault="006D78FD" w:rsidP="004D502A">
            <w:pPr>
              <w:pStyle w:val="Tabletext"/>
              <w:spacing w:after="80" w:line="276" w:lineRule="auto"/>
              <w:jc w:val="right"/>
              <w:rPr>
                <w:lang w:val="en-AU"/>
              </w:rPr>
            </w:pPr>
            <w:r w:rsidRPr="00D30BFF">
              <w:rPr>
                <w:lang w:val="en-AU"/>
              </w:rPr>
              <w:t xml:space="preserve"> </w:t>
            </w:r>
          </w:p>
        </w:tc>
      </w:tr>
      <w:tr w:rsidR="006D78FD" w:rsidRPr="006D78FD" w14:paraId="0B0158A3" w14:textId="77777777" w:rsidTr="00404D6D">
        <w:trPr>
          <w:trHeight w:val="60"/>
        </w:trPr>
        <w:tc>
          <w:tcPr>
            <w:tcW w:w="3974" w:type="pct"/>
          </w:tcPr>
          <w:p w14:paraId="076F89C1" w14:textId="77777777" w:rsidR="006D78FD" w:rsidRPr="00D30BFF" w:rsidRDefault="006D78FD" w:rsidP="00152A02">
            <w:pPr>
              <w:pStyle w:val="Tabletext"/>
              <w:spacing w:after="80" w:line="276" w:lineRule="auto"/>
              <w:rPr>
                <w:lang w:val="en-AU"/>
              </w:rPr>
            </w:pPr>
            <w:r w:rsidRPr="00D30BFF">
              <w:rPr>
                <w:lang w:val="en-AU"/>
              </w:rPr>
              <w:t>Management of Public Land and Forests</w:t>
            </w:r>
          </w:p>
        </w:tc>
        <w:tc>
          <w:tcPr>
            <w:tcW w:w="1026" w:type="pct"/>
          </w:tcPr>
          <w:p w14:paraId="5D045A19" w14:textId="77777777" w:rsidR="006D78FD" w:rsidRPr="00D30BFF" w:rsidRDefault="006D78FD" w:rsidP="004D502A">
            <w:pPr>
              <w:pStyle w:val="Tabletext"/>
              <w:spacing w:after="80" w:line="276" w:lineRule="auto"/>
              <w:jc w:val="right"/>
              <w:rPr>
                <w:lang w:val="en-AU"/>
              </w:rPr>
            </w:pPr>
            <w:r w:rsidRPr="00D30BFF">
              <w:rPr>
                <w:lang w:val="en-AU"/>
              </w:rPr>
              <w:t>313.8</w:t>
            </w:r>
          </w:p>
        </w:tc>
      </w:tr>
      <w:tr w:rsidR="006D78FD" w:rsidRPr="006D78FD" w14:paraId="3BCD6751" w14:textId="77777777" w:rsidTr="00404D6D">
        <w:trPr>
          <w:trHeight w:val="60"/>
        </w:trPr>
        <w:tc>
          <w:tcPr>
            <w:tcW w:w="3974" w:type="pct"/>
          </w:tcPr>
          <w:p w14:paraId="4DB219BD" w14:textId="77777777" w:rsidR="006D78FD" w:rsidRPr="00D30BFF" w:rsidRDefault="006D78FD" w:rsidP="00152A02">
            <w:pPr>
              <w:pStyle w:val="Tabletext"/>
              <w:spacing w:after="80" w:line="276" w:lineRule="auto"/>
              <w:rPr>
                <w:lang w:val="en-AU"/>
              </w:rPr>
            </w:pPr>
            <w:r w:rsidRPr="00D30BFF">
              <w:rPr>
                <w:lang w:val="en-AU"/>
              </w:rPr>
              <w:t>Parks Victoria</w:t>
            </w:r>
          </w:p>
        </w:tc>
        <w:tc>
          <w:tcPr>
            <w:tcW w:w="1026" w:type="pct"/>
          </w:tcPr>
          <w:p w14:paraId="44924E29" w14:textId="77777777" w:rsidR="006D78FD" w:rsidRPr="00D30BFF" w:rsidRDefault="006D78FD" w:rsidP="004D502A">
            <w:pPr>
              <w:pStyle w:val="Tabletext"/>
              <w:spacing w:after="80" w:line="276" w:lineRule="auto"/>
              <w:jc w:val="right"/>
              <w:rPr>
                <w:lang w:val="en-AU"/>
              </w:rPr>
            </w:pPr>
            <w:r w:rsidRPr="00D30BFF">
              <w:rPr>
                <w:lang w:val="en-AU"/>
              </w:rPr>
              <w:t>187.3</w:t>
            </w:r>
          </w:p>
        </w:tc>
      </w:tr>
      <w:tr w:rsidR="006D78FD" w:rsidRPr="006D78FD" w14:paraId="4444758F" w14:textId="77777777" w:rsidTr="00404D6D">
        <w:trPr>
          <w:trHeight w:val="60"/>
        </w:trPr>
        <w:tc>
          <w:tcPr>
            <w:tcW w:w="3974" w:type="pct"/>
            <w:shd w:val="clear" w:color="auto" w:fill="F2F2F2" w:themeFill="background1" w:themeFillShade="F2"/>
          </w:tcPr>
          <w:p w14:paraId="520161E5" w14:textId="77777777" w:rsidR="006D78FD" w:rsidRPr="00D30BFF" w:rsidRDefault="006D78FD" w:rsidP="00152A02">
            <w:pPr>
              <w:pStyle w:val="Tabletext"/>
              <w:spacing w:after="80" w:line="276" w:lineRule="auto"/>
              <w:rPr>
                <w:b/>
                <w:bCs/>
                <w:lang w:val="en-AU"/>
              </w:rPr>
            </w:pPr>
            <w:r w:rsidRPr="00D30BFF">
              <w:rPr>
                <w:b/>
                <w:bCs/>
                <w:lang w:val="en-AU"/>
              </w:rPr>
              <w:t>Safe and sustainable water resources</w:t>
            </w:r>
          </w:p>
        </w:tc>
        <w:tc>
          <w:tcPr>
            <w:tcW w:w="1026" w:type="pct"/>
            <w:shd w:val="clear" w:color="auto" w:fill="F2F2F2" w:themeFill="background1" w:themeFillShade="F2"/>
          </w:tcPr>
          <w:p w14:paraId="1A15755F" w14:textId="77777777" w:rsidR="006D78FD" w:rsidRPr="00D30BFF" w:rsidRDefault="006D78FD" w:rsidP="004D502A">
            <w:pPr>
              <w:pStyle w:val="Tabletext"/>
              <w:spacing w:after="80" w:line="276" w:lineRule="auto"/>
              <w:jc w:val="right"/>
              <w:rPr>
                <w:lang w:val="en-AU"/>
              </w:rPr>
            </w:pPr>
            <w:r w:rsidRPr="00D30BFF">
              <w:rPr>
                <w:lang w:val="en-AU"/>
              </w:rPr>
              <w:t xml:space="preserve"> </w:t>
            </w:r>
          </w:p>
        </w:tc>
      </w:tr>
      <w:tr w:rsidR="006D78FD" w:rsidRPr="006D78FD" w14:paraId="697F34E8" w14:textId="77777777" w:rsidTr="00404D6D">
        <w:trPr>
          <w:trHeight w:val="60"/>
        </w:trPr>
        <w:tc>
          <w:tcPr>
            <w:tcW w:w="3974" w:type="pct"/>
          </w:tcPr>
          <w:p w14:paraId="115EC3B2" w14:textId="77777777" w:rsidR="006D78FD" w:rsidRPr="00D30BFF" w:rsidRDefault="006D78FD" w:rsidP="00152A02">
            <w:pPr>
              <w:pStyle w:val="Tabletext"/>
              <w:spacing w:after="80" w:line="276" w:lineRule="auto"/>
              <w:rPr>
                <w:lang w:val="en-AU"/>
              </w:rPr>
            </w:pPr>
            <w:r w:rsidRPr="00D30BFF">
              <w:rPr>
                <w:lang w:val="en-AU"/>
              </w:rPr>
              <w:t>Effective Water Management and Supply</w:t>
            </w:r>
          </w:p>
        </w:tc>
        <w:tc>
          <w:tcPr>
            <w:tcW w:w="1026" w:type="pct"/>
          </w:tcPr>
          <w:p w14:paraId="7B8647D8" w14:textId="77777777" w:rsidR="006D78FD" w:rsidRPr="00D30BFF" w:rsidRDefault="006D78FD" w:rsidP="004D502A">
            <w:pPr>
              <w:pStyle w:val="Tabletext"/>
              <w:spacing w:after="80" w:line="276" w:lineRule="auto"/>
              <w:jc w:val="right"/>
              <w:rPr>
                <w:lang w:val="en-AU"/>
              </w:rPr>
            </w:pPr>
            <w:r w:rsidRPr="00D30BFF">
              <w:rPr>
                <w:lang w:val="en-AU"/>
              </w:rPr>
              <w:t>296.2</w:t>
            </w:r>
          </w:p>
        </w:tc>
      </w:tr>
      <w:tr w:rsidR="006D78FD" w:rsidRPr="006D78FD" w14:paraId="03F8D445" w14:textId="77777777" w:rsidTr="00404D6D">
        <w:trPr>
          <w:trHeight w:val="60"/>
        </w:trPr>
        <w:tc>
          <w:tcPr>
            <w:tcW w:w="3974" w:type="pct"/>
            <w:shd w:val="clear" w:color="auto" w:fill="F2F2F2" w:themeFill="background1" w:themeFillShade="F2"/>
          </w:tcPr>
          <w:p w14:paraId="501DA9D5" w14:textId="77777777" w:rsidR="006D78FD" w:rsidRPr="00D30BFF" w:rsidRDefault="006D78FD" w:rsidP="00152A02">
            <w:pPr>
              <w:pStyle w:val="Tabletext"/>
              <w:spacing w:after="80" w:line="276" w:lineRule="auto"/>
              <w:rPr>
                <w:b/>
                <w:bCs/>
                <w:lang w:val="en-AU"/>
              </w:rPr>
            </w:pPr>
            <w:r w:rsidRPr="00D30BFF">
              <w:rPr>
                <w:b/>
                <w:bCs/>
                <w:lang w:val="en-AU"/>
              </w:rPr>
              <w:t>Reduced impact of major bushfires and other emergencies on people, property and the environment</w:t>
            </w:r>
          </w:p>
        </w:tc>
        <w:tc>
          <w:tcPr>
            <w:tcW w:w="1026" w:type="pct"/>
            <w:shd w:val="clear" w:color="auto" w:fill="F2F2F2" w:themeFill="background1" w:themeFillShade="F2"/>
          </w:tcPr>
          <w:p w14:paraId="1D092C65" w14:textId="77777777" w:rsidR="006D78FD" w:rsidRPr="00D30BFF" w:rsidRDefault="006D78FD" w:rsidP="004D502A">
            <w:pPr>
              <w:pStyle w:val="Tabletext"/>
              <w:spacing w:after="80" w:line="276" w:lineRule="auto"/>
              <w:jc w:val="right"/>
              <w:rPr>
                <w:lang w:val="en-AU"/>
              </w:rPr>
            </w:pPr>
            <w:r w:rsidRPr="00D30BFF">
              <w:rPr>
                <w:lang w:val="en-AU"/>
              </w:rPr>
              <w:t xml:space="preserve"> </w:t>
            </w:r>
          </w:p>
        </w:tc>
      </w:tr>
      <w:tr w:rsidR="006D78FD" w:rsidRPr="006D78FD" w14:paraId="6804B431" w14:textId="77777777" w:rsidTr="00404D6D">
        <w:trPr>
          <w:trHeight w:val="60"/>
        </w:trPr>
        <w:tc>
          <w:tcPr>
            <w:tcW w:w="3974" w:type="pct"/>
          </w:tcPr>
          <w:p w14:paraId="7BF409AB" w14:textId="77777777" w:rsidR="006D78FD" w:rsidRPr="00D30BFF" w:rsidRDefault="006D78FD" w:rsidP="00152A02">
            <w:pPr>
              <w:pStyle w:val="Tabletext"/>
              <w:spacing w:after="80" w:line="276" w:lineRule="auto"/>
              <w:rPr>
                <w:lang w:val="en-AU"/>
              </w:rPr>
            </w:pPr>
            <w:r w:rsidRPr="00D30BFF">
              <w:rPr>
                <w:lang w:val="en-AU"/>
              </w:rPr>
              <w:t>Fire and Emergency Management</w:t>
            </w:r>
          </w:p>
        </w:tc>
        <w:tc>
          <w:tcPr>
            <w:tcW w:w="1026" w:type="pct"/>
          </w:tcPr>
          <w:p w14:paraId="5C23E493" w14:textId="77777777" w:rsidR="006D78FD" w:rsidRPr="00D30BFF" w:rsidRDefault="006D78FD" w:rsidP="004D502A">
            <w:pPr>
              <w:pStyle w:val="Tabletext"/>
              <w:spacing w:after="80" w:line="276" w:lineRule="auto"/>
              <w:jc w:val="right"/>
              <w:rPr>
                <w:lang w:val="en-AU"/>
              </w:rPr>
            </w:pPr>
            <w:r w:rsidRPr="00D30BFF">
              <w:rPr>
                <w:lang w:val="en-AU"/>
              </w:rPr>
              <w:t>400.6</w:t>
            </w:r>
          </w:p>
        </w:tc>
      </w:tr>
      <w:tr w:rsidR="006D78FD" w:rsidRPr="006D78FD" w14:paraId="27CAD2F9" w14:textId="77777777" w:rsidTr="00404D6D">
        <w:trPr>
          <w:trHeight w:val="60"/>
        </w:trPr>
        <w:tc>
          <w:tcPr>
            <w:tcW w:w="3974" w:type="pct"/>
            <w:shd w:val="clear" w:color="auto" w:fill="F2F2F2" w:themeFill="background1" w:themeFillShade="F2"/>
          </w:tcPr>
          <w:p w14:paraId="17819F02" w14:textId="77777777" w:rsidR="006D78FD" w:rsidRPr="00D30BFF" w:rsidRDefault="006D78FD" w:rsidP="00152A02">
            <w:pPr>
              <w:pStyle w:val="Tabletext"/>
              <w:spacing w:after="80" w:line="276" w:lineRule="auto"/>
              <w:rPr>
                <w:b/>
                <w:bCs/>
                <w:lang w:val="en-AU"/>
              </w:rPr>
            </w:pPr>
            <w:r w:rsidRPr="00D30BFF">
              <w:rPr>
                <w:b/>
                <w:bCs/>
                <w:lang w:val="en-AU"/>
              </w:rPr>
              <w:t>Productive and sustainably used resources</w:t>
            </w:r>
          </w:p>
        </w:tc>
        <w:tc>
          <w:tcPr>
            <w:tcW w:w="1026" w:type="pct"/>
            <w:shd w:val="clear" w:color="auto" w:fill="F2F2F2" w:themeFill="background1" w:themeFillShade="F2"/>
          </w:tcPr>
          <w:p w14:paraId="62BDD615" w14:textId="77777777" w:rsidR="006D78FD" w:rsidRPr="00D30BFF" w:rsidRDefault="006D78FD" w:rsidP="004D502A">
            <w:pPr>
              <w:pStyle w:val="Tabletext"/>
              <w:spacing w:after="80" w:line="276" w:lineRule="auto"/>
              <w:jc w:val="right"/>
              <w:rPr>
                <w:lang w:val="en-AU"/>
              </w:rPr>
            </w:pPr>
            <w:r w:rsidRPr="00D30BFF">
              <w:rPr>
                <w:lang w:val="en-AU"/>
              </w:rPr>
              <w:t xml:space="preserve"> </w:t>
            </w:r>
          </w:p>
        </w:tc>
      </w:tr>
      <w:tr w:rsidR="006D78FD" w:rsidRPr="006D78FD" w14:paraId="7D9E9922" w14:textId="77777777" w:rsidTr="00404D6D">
        <w:trPr>
          <w:trHeight w:val="60"/>
        </w:trPr>
        <w:tc>
          <w:tcPr>
            <w:tcW w:w="3974" w:type="pct"/>
          </w:tcPr>
          <w:p w14:paraId="2B0C7127" w14:textId="77777777" w:rsidR="006D78FD" w:rsidRPr="00D30BFF" w:rsidRDefault="006D78FD" w:rsidP="00152A02">
            <w:pPr>
              <w:pStyle w:val="Tabletext"/>
              <w:spacing w:after="80" w:line="276" w:lineRule="auto"/>
              <w:rPr>
                <w:lang w:val="en-AU"/>
              </w:rPr>
            </w:pPr>
            <w:r w:rsidRPr="00D30BFF">
              <w:rPr>
                <w:lang w:val="en-AU"/>
              </w:rPr>
              <w:t>Agriculture</w:t>
            </w:r>
          </w:p>
        </w:tc>
        <w:tc>
          <w:tcPr>
            <w:tcW w:w="1026" w:type="pct"/>
          </w:tcPr>
          <w:p w14:paraId="175D9EB7" w14:textId="77777777" w:rsidR="006D78FD" w:rsidRPr="00D30BFF" w:rsidRDefault="006D78FD" w:rsidP="004D502A">
            <w:pPr>
              <w:pStyle w:val="Tabletext"/>
              <w:spacing w:after="80" w:line="276" w:lineRule="auto"/>
              <w:jc w:val="right"/>
              <w:rPr>
                <w:lang w:val="en-AU"/>
              </w:rPr>
            </w:pPr>
            <w:r w:rsidRPr="00D30BFF">
              <w:rPr>
                <w:lang w:val="en-AU"/>
              </w:rPr>
              <w:t>537.2</w:t>
            </w:r>
          </w:p>
        </w:tc>
      </w:tr>
      <w:tr w:rsidR="006D78FD" w:rsidRPr="006D78FD" w14:paraId="542C754B" w14:textId="77777777" w:rsidTr="00404D6D">
        <w:trPr>
          <w:trHeight w:val="60"/>
        </w:trPr>
        <w:tc>
          <w:tcPr>
            <w:tcW w:w="3974" w:type="pct"/>
            <w:shd w:val="clear" w:color="auto" w:fill="F2F2F2" w:themeFill="background1" w:themeFillShade="F2"/>
          </w:tcPr>
          <w:p w14:paraId="4865B891" w14:textId="77777777" w:rsidR="006D78FD" w:rsidRPr="00D30BFF" w:rsidRDefault="006D78FD" w:rsidP="00152A02">
            <w:pPr>
              <w:pStyle w:val="Tabletext"/>
              <w:spacing w:after="80" w:line="276" w:lineRule="auto"/>
              <w:rPr>
                <w:b/>
                <w:bCs/>
                <w:lang w:val="en-AU"/>
              </w:rPr>
            </w:pPr>
            <w:r w:rsidRPr="00D30BFF">
              <w:rPr>
                <w:b/>
                <w:bCs/>
                <w:lang w:val="en-AU"/>
              </w:rPr>
              <w:t>Sustainable development of Victoria’s earth resources</w:t>
            </w:r>
          </w:p>
        </w:tc>
        <w:tc>
          <w:tcPr>
            <w:tcW w:w="1026" w:type="pct"/>
            <w:shd w:val="clear" w:color="auto" w:fill="F2F2F2" w:themeFill="background1" w:themeFillShade="F2"/>
          </w:tcPr>
          <w:p w14:paraId="01667F40" w14:textId="77777777" w:rsidR="006D78FD" w:rsidRPr="00D30BFF" w:rsidRDefault="006D78FD" w:rsidP="004D502A">
            <w:pPr>
              <w:pStyle w:val="Tabletext"/>
              <w:spacing w:after="80" w:line="276" w:lineRule="auto"/>
              <w:jc w:val="right"/>
              <w:rPr>
                <w:lang w:val="en-AU"/>
              </w:rPr>
            </w:pPr>
            <w:r w:rsidRPr="00D30BFF">
              <w:rPr>
                <w:lang w:val="en-AU"/>
              </w:rPr>
              <w:t xml:space="preserve"> </w:t>
            </w:r>
          </w:p>
        </w:tc>
      </w:tr>
      <w:tr w:rsidR="006D78FD" w:rsidRPr="006D78FD" w14:paraId="27E620ED" w14:textId="77777777" w:rsidTr="00404D6D">
        <w:trPr>
          <w:trHeight w:val="60"/>
        </w:trPr>
        <w:tc>
          <w:tcPr>
            <w:tcW w:w="3974" w:type="pct"/>
          </w:tcPr>
          <w:p w14:paraId="489C9D2E" w14:textId="77777777" w:rsidR="006D78FD" w:rsidRPr="00D30BFF" w:rsidRDefault="006D78FD" w:rsidP="00152A02">
            <w:pPr>
              <w:pStyle w:val="Tabletext"/>
              <w:spacing w:after="80" w:line="276" w:lineRule="auto"/>
              <w:rPr>
                <w:lang w:val="en-AU"/>
              </w:rPr>
            </w:pPr>
            <w:r w:rsidRPr="00D30BFF">
              <w:rPr>
                <w:lang w:val="en-AU"/>
              </w:rPr>
              <w:t>Resources</w:t>
            </w:r>
          </w:p>
        </w:tc>
        <w:tc>
          <w:tcPr>
            <w:tcW w:w="1026" w:type="pct"/>
          </w:tcPr>
          <w:p w14:paraId="3B46D856" w14:textId="77777777" w:rsidR="006D78FD" w:rsidRPr="00D30BFF" w:rsidRDefault="006D78FD" w:rsidP="004D502A">
            <w:pPr>
              <w:pStyle w:val="Tabletext"/>
              <w:spacing w:after="80" w:line="276" w:lineRule="auto"/>
              <w:jc w:val="right"/>
              <w:rPr>
                <w:lang w:val="en-AU"/>
              </w:rPr>
            </w:pPr>
            <w:r w:rsidRPr="00D30BFF">
              <w:rPr>
                <w:lang w:val="en-AU"/>
              </w:rPr>
              <w:t>53.7</w:t>
            </w:r>
          </w:p>
        </w:tc>
      </w:tr>
      <w:tr w:rsidR="006D78FD" w:rsidRPr="006D78FD" w14:paraId="3C436677" w14:textId="77777777" w:rsidTr="00404D6D">
        <w:trPr>
          <w:trHeight w:val="60"/>
        </w:trPr>
        <w:tc>
          <w:tcPr>
            <w:tcW w:w="3974" w:type="pct"/>
          </w:tcPr>
          <w:p w14:paraId="4289FB17" w14:textId="77777777" w:rsidR="006D78FD" w:rsidRPr="00D30BFF" w:rsidRDefault="006D78FD" w:rsidP="00152A02">
            <w:pPr>
              <w:pStyle w:val="Tabletext"/>
              <w:spacing w:after="80" w:line="276" w:lineRule="auto"/>
              <w:rPr>
                <w:b/>
                <w:bCs/>
                <w:lang w:val="en-AU"/>
              </w:rPr>
            </w:pPr>
            <w:r w:rsidRPr="00D30BFF">
              <w:rPr>
                <w:b/>
                <w:bCs/>
                <w:lang w:val="en-AU"/>
              </w:rPr>
              <w:t>Total</w:t>
            </w:r>
          </w:p>
        </w:tc>
        <w:tc>
          <w:tcPr>
            <w:tcW w:w="1026" w:type="pct"/>
          </w:tcPr>
          <w:p w14:paraId="427276C6" w14:textId="77777777" w:rsidR="006D78FD" w:rsidRPr="00D30BFF" w:rsidRDefault="006D78FD" w:rsidP="004D502A">
            <w:pPr>
              <w:pStyle w:val="Tabletext"/>
              <w:spacing w:after="80" w:line="276" w:lineRule="auto"/>
              <w:jc w:val="right"/>
              <w:rPr>
                <w:b/>
                <w:bCs/>
                <w:lang w:val="en-AU"/>
              </w:rPr>
            </w:pPr>
            <w:r w:rsidRPr="00D30BFF">
              <w:rPr>
                <w:b/>
                <w:bCs/>
                <w:lang w:val="en-AU"/>
              </w:rPr>
              <w:t>2650.2</w:t>
            </w:r>
          </w:p>
        </w:tc>
      </w:tr>
    </w:tbl>
    <w:p w14:paraId="2597058E" w14:textId="77777777" w:rsidR="00741992" w:rsidRPr="00D30BFF" w:rsidRDefault="00741992" w:rsidP="008436DF">
      <w:pPr>
        <w:pStyle w:val="BodyText"/>
        <w:rPr>
          <w:lang w:val="en-AU"/>
        </w:rPr>
        <w:sectPr w:rsidR="00741992" w:rsidRPr="00D30BFF" w:rsidSect="00EB277B">
          <w:pgSz w:w="11906" w:h="16838"/>
          <w:pgMar w:top="1134" w:right="1134" w:bottom="1134" w:left="1134" w:header="720" w:footer="454" w:gutter="0"/>
          <w:cols w:space="720"/>
          <w:noEndnote/>
          <w:docGrid w:linePitch="326"/>
        </w:sectPr>
      </w:pPr>
    </w:p>
    <w:p w14:paraId="3194C206" w14:textId="430A62B0" w:rsidR="00741992" w:rsidRPr="00D30BFF" w:rsidRDefault="00741992" w:rsidP="00404D6D">
      <w:pPr>
        <w:pStyle w:val="Heading3"/>
        <w:rPr>
          <w:lang w:val="en-AU"/>
        </w:rPr>
      </w:pPr>
      <w:r w:rsidRPr="00D30BFF">
        <w:rPr>
          <w:lang w:val="en-AU"/>
        </w:rPr>
        <w:lastRenderedPageBreak/>
        <w:t>Output initiatives ($ million)</w:t>
      </w:r>
    </w:p>
    <w:p w14:paraId="43405F59" w14:textId="6D672706" w:rsidR="007413DF" w:rsidRPr="00D30BFF" w:rsidRDefault="007413DF" w:rsidP="007413DF">
      <w:pPr>
        <w:pStyle w:val="Caption"/>
        <w:keepNext/>
      </w:pPr>
      <w:r w:rsidRPr="00D30BFF">
        <w:t xml:space="preserve">Table </w:t>
      </w:r>
      <w:r w:rsidR="00E56263">
        <w:fldChar w:fldCharType="begin"/>
      </w:r>
      <w:r w:rsidR="00E56263">
        <w:instrText xml:space="preserve"> SEQ Table \* ARABIC </w:instrText>
      </w:r>
      <w:r w:rsidR="00E56263">
        <w:fldChar w:fldCharType="separate"/>
      </w:r>
      <w:r w:rsidR="00E56263" w:rsidRPr="00D30BFF">
        <w:rPr>
          <w:noProof/>
        </w:rPr>
        <w:t>3</w:t>
      </w:r>
      <w:r w:rsidR="00E56263">
        <w:rPr>
          <w:noProof/>
        </w:rPr>
        <w:fldChar w:fldCharType="end"/>
      </w:r>
      <w:r w:rsidRPr="00D30BFF">
        <w:t>: Output initiatives ($ million)</w:t>
      </w:r>
    </w:p>
    <w:tbl>
      <w:tblPr>
        <w:tblStyle w:val="Style2"/>
        <w:tblW w:w="5000" w:type="pct"/>
        <w:tblLook w:val="0020" w:firstRow="1" w:lastRow="0" w:firstColumn="0" w:lastColumn="0" w:noHBand="0" w:noVBand="0"/>
        <w:tblCaption w:val="Table 3: Output initiatives ($ million)"/>
        <w:tblDescription w:val="Table 3: Output initiatives ($ million)"/>
      </w:tblPr>
      <w:tblGrid>
        <w:gridCol w:w="8936"/>
        <w:gridCol w:w="1402"/>
        <w:gridCol w:w="1403"/>
        <w:gridCol w:w="1406"/>
        <w:gridCol w:w="1403"/>
      </w:tblGrid>
      <w:tr w:rsidR="00741992" w:rsidRPr="00D30BFF" w14:paraId="5F84E14E" w14:textId="77777777" w:rsidTr="00741992">
        <w:trPr>
          <w:cnfStyle w:val="100000000000" w:firstRow="1" w:lastRow="0" w:firstColumn="0" w:lastColumn="0" w:oddVBand="0" w:evenVBand="0" w:oddHBand="0" w:evenHBand="0" w:firstRowFirstColumn="0" w:firstRowLastColumn="0" w:lastRowFirstColumn="0" w:lastRowLastColumn="0"/>
          <w:trHeight w:val="60"/>
          <w:tblHeader/>
        </w:trPr>
        <w:tc>
          <w:tcPr>
            <w:tcW w:w="3071" w:type="pct"/>
          </w:tcPr>
          <w:p w14:paraId="78D2601C" w14:textId="77777777" w:rsidR="00741992" w:rsidRPr="00D30BFF" w:rsidRDefault="00741992" w:rsidP="007413DF">
            <w:pPr>
              <w:pStyle w:val="Tabletext"/>
              <w:spacing w:line="276" w:lineRule="auto"/>
              <w:rPr>
                <w:sz w:val="22"/>
                <w:lang w:val="en-AU"/>
              </w:rPr>
            </w:pPr>
            <w:r w:rsidRPr="00D30BFF">
              <w:rPr>
                <w:sz w:val="22"/>
                <w:lang w:val="en-AU"/>
              </w:rPr>
              <w:t>The department’s objectives and outputs</w:t>
            </w:r>
          </w:p>
        </w:tc>
        <w:tc>
          <w:tcPr>
            <w:tcW w:w="482" w:type="pct"/>
            <w:vAlign w:val="center"/>
          </w:tcPr>
          <w:p w14:paraId="39BE08A2" w14:textId="77777777" w:rsidR="00741992" w:rsidRPr="00D30BFF" w:rsidRDefault="00741992" w:rsidP="007413DF">
            <w:pPr>
              <w:pStyle w:val="Tabletext"/>
              <w:spacing w:line="276" w:lineRule="auto"/>
              <w:jc w:val="right"/>
              <w:rPr>
                <w:sz w:val="22"/>
                <w:lang w:val="en-AU"/>
              </w:rPr>
            </w:pPr>
            <w:r w:rsidRPr="00D30BFF">
              <w:rPr>
                <w:sz w:val="22"/>
                <w:lang w:val="en-AU"/>
              </w:rPr>
              <w:t>2025-26</w:t>
            </w:r>
          </w:p>
        </w:tc>
        <w:tc>
          <w:tcPr>
            <w:tcW w:w="482" w:type="pct"/>
            <w:vAlign w:val="center"/>
          </w:tcPr>
          <w:p w14:paraId="4A5E0F6F" w14:textId="77777777" w:rsidR="00741992" w:rsidRPr="00D30BFF" w:rsidRDefault="00741992" w:rsidP="007413DF">
            <w:pPr>
              <w:pStyle w:val="Tabletext"/>
              <w:spacing w:line="276" w:lineRule="auto"/>
              <w:jc w:val="right"/>
              <w:rPr>
                <w:sz w:val="22"/>
                <w:lang w:val="en-AU"/>
              </w:rPr>
            </w:pPr>
            <w:r w:rsidRPr="00D30BFF">
              <w:rPr>
                <w:sz w:val="22"/>
                <w:lang w:val="en-AU"/>
              </w:rPr>
              <w:t>2026- 27</w:t>
            </w:r>
          </w:p>
        </w:tc>
        <w:tc>
          <w:tcPr>
            <w:tcW w:w="483" w:type="pct"/>
            <w:vAlign w:val="center"/>
          </w:tcPr>
          <w:p w14:paraId="1582F456" w14:textId="77777777" w:rsidR="00741992" w:rsidRPr="00D30BFF" w:rsidRDefault="00741992" w:rsidP="007413DF">
            <w:pPr>
              <w:pStyle w:val="Tabletext"/>
              <w:spacing w:line="276" w:lineRule="auto"/>
              <w:jc w:val="right"/>
              <w:rPr>
                <w:sz w:val="22"/>
                <w:lang w:val="en-AU"/>
              </w:rPr>
            </w:pPr>
            <w:r w:rsidRPr="00D30BFF">
              <w:rPr>
                <w:sz w:val="22"/>
                <w:lang w:val="en-AU"/>
              </w:rPr>
              <w:t>2027-28</w:t>
            </w:r>
          </w:p>
        </w:tc>
        <w:tc>
          <w:tcPr>
            <w:tcW w:w="482" w:type="pct"/>
            <w:vAlign w:val="center"/>
          </w:tcPr>
          <w:p w14:paraId="5BE44701" w14:textId="77777777" w:rsidR="00741992" w:rsidRPr="00D30BFF" w:rsidRDefault="00741992" w:rsidP="007413DF">
            <w:pPr>
              <w:pStyle w:val="Tabletext"/>
              <w:spacing w:line="276" w:lineRule="auto"/>
              <w:jc w:val="right"/>
              <w:rPr>
                <w:sz w:val="22"/>
                <w:lang w:val="en-AU"/>
              </w:rPr>
            </w:pPr>
            <w:r w:rsidRPr="00D30BFF">
              <w:rPr>
                <w:sz w:val="22"/>
                <w:lang w:val="en-AU"/>
              </w:rPr>
              <w:t>2028-29</w:t>
            </w:r>
          </w:p>
        </w:tc>
      </w:tr>
      <w:tr w:rsidR="00741992" w:rsidRPr="00D30BFF" w14:paraId="436A7E23" w14:textId="77777777" w:rsidTr="00741992">
        <w:trPr>
          <w:trHeight w:val="406"/>
        </w:trPr>
        <w:tc>
          <w:tcPr>
            <w:tcW w:w="3071" w:type="pct"/>
            <w:shd w:val="clear" w:color="auto" w:fill="F2F2F2" w:themeFill="background1" w:themeFillShade="F2"/>
          </w:tcPr>
          <w:p w14:paraId="179A28FD" w14:textId="77777777" w:rsidR="00741992" w:rsidRPr="00D30BFF" w:rsidRDefault="00741992" w:rsidP="007413DF">
            <w:pPr>
              <w:pStyle w:val="Tabletext"/>
              <w:spacing w:line="276" w:lineRule="auto"/>
              <w:rPr>
                <w:b/>
                <w:bCs/>
                <w:sz w:val="22"/>
                <w:lang w:val="en-AU"/>
              </w:rPr>
            </w:pPr>
            <w:r w:rsidRPr="00D30BFF">
              <w:rPr>
                <w:b/>
                <w:bCs/>
                <w:sz w:val="22"/>
                <w:lang w:val="en-AU"/>
              </w:rPr>
              <w:t>Agriculture</w:t>
            </w:r>
          </w:p>
        </w:tc>
        <w:tc>
          <w:tcPr>
            <w:tcW w:w="482" w:type="pct"/>
            <w:shd w:val="clear" w:color="auto" w:fill="F2F2F2" w:themeFill="background1" w:themeFillShade="F2"/>
            <w:vAlign w:val="center"/>
          </w:tcPr>
          <w:p w14:paraId="10233E7D" w14:textId="77777777" w:rsidR="00741992" w:rsidRPr="00D30BFF" w:rsidRDefault="00741992" w:rsidP="007413DF">
            <w:pPr>
              <w:pStyle w:val="Tabletext"/>
              <w:spacing w:line="276" w:lineRule="auto"/>
              <w:jc w:val="right"/>
              <w:rPr>
                <w:sz w:val="22"/>
                <w:lang w:val="en-AU"/>
              </w:rPr>
            </w:pPr>
          </w:p>
        </w:tc>
        <w:tc>
          <w:tcPr>
            <w:tcW w:w="482" w:type="pct"/>
            <w:shd w:val="clear" w:color="auto" w:fill="F2F2F2" w:themeFill="background1" w:themeFillShade="F2"/>
            <w:vAlign w:val="center"/>
          </w:tcPr>
          <w:p w14:paraId="33210D50" w14:textId="77777777" w:rsidR="00741992" w:rsidRPr="00D30BFF" w:rsidRDefault="00741992" w:rsidP="007413DF">
            <w:pPr>
              <w:pStyle w:val="Tabletext"/>
              <w:spacing w:line="276" w:lineRule="auto"/>
              <w:jc w:val="right"/>
              <w:rPr>
                <w:sz w:val="22"/>
                <w:lang w:val="en-AU"/>
              </w:rPr>
            </w:pPr>
            <w:r w:rsidRPr="00D30BFF">
              <w:rPr>
                <w:sz w:val="22"/>
                <w:lang w:val="en-AU"/>
              </w:rPr>
              <w:t> </w:t>
            </w:r>
          </w:p>
        </w:tc>
        <w:tc>
          <w:tcPr>
            <w:tcW w:w="483" w:type="pct"/>
            <w:shd w:val="clear" w:color="auto" w:fill="F2F2F2" w:themeFill="background1" w:themeFillShade="F2"/>
            <w:vAlign w:val="center"/>
          </w:tcPr>
          <w:p w14:paraId="16088FFB" w14:textId="77777777" w:rsidR="00741992" w:rsidRPr="00D30BFF" w:rsidRDefault="00741992" w:rsidP="007413DF">
            <w:pPr>
              <w:pStyle w:val="Tabletext"/>
              <w:spacing w:line="276" w:lineRule="auto"/>
              <w:jc w:val="right"/>
              <w:rPr>
                <w:sz w:val="22"/>
                <w:lang w:val="en-AU"/>
              </w:rPr>
            </w:pPr>
            <w:r w:rsidRPr="00D30BFF">
              <w:rPr>
                <w:sz w:val="22"/>
                <w:lang w:val="en-AU"/>
              </w:rPr>
              <w:t> </w:t>
            </w:r>
          </w:p>
        </w:tc>
        <w:tc>
          <w:tcPr>
            <w:tcW w:w="482" w:type="pct"/>
            <w:shd w:val="clear" w:color="auto" w:fill="F2F2F2" w:themeFill="background1" w:themeFillShade="F2"/>
            <w:vAlign w:val="center"/>
          </w:tcPr>
          <w:p w14:paraId="61884275" w14:textId="77777777" w:rsidR="00741992" w:rsidRPr="00D30BFF" w:rsidRDefault="00741992" w:rsidP="007413DF">
            <w:pPr>
              <w:pStyle w:val="Tabletext"/>
              <w:spacing w:line="276" w:lineRule="auto"/>
              <w:jc w:val="right"/>
              <w:rPr>
                <w:sz w:val="22"/>
                <w:lang w:val="en-AU"/>
              </w:rPr>
            </w:pPr>
            <w:r w:rsidRPr="00D30BFF">
              <w:rPr>
                <w:sz w:val="22"/>
                <w:lang w:val="en-AU"/>
              </w:rPr>
              <w:t> </w:t>
            </w:r>
          </w:p>
        </w:tc>
      </w:tr>
      <w:tr w:rsidR="00741992" w:rsidRPr="00D30BFF" w14:paraId="1B841281" w14:textId="77777777" w:rsidTr="00741992">
        <w:trPr>
          <w:trHeight w:val="113"/>
        </w:trPr>
        <w:tc>
          <w:tcPr>
            <w:tcW w:w="3071" w:type="pct"/>
          </w:tcPr>
          <w:p w14:paraId="6775D350" w14:textId="77777777" w:rsidR="00741992" w:rsidRPr="00D30BFF" w:rsidRDefault="00741992" w:rsidP="007413DF">
            <w:pPr>
              <w:pStyle w:val="Tabletext"/>
              <w:spacing w:line="276" w:lineRule="auto"/>
              <w:rPr>
                <w:sz w:val="22"/>
                <w:lang w:val="en-AU"/>
              </w:rPr>
            </w:pPr>
            <w:r w:rsidRPr="00D30BFF">
              <w:rPr>
                <w:sz w:val="22"/>
                <w:lang w:val="en-AU"/>
              </w:rPr>
              <w:t>A skilled and healthy farming workforce</w:t>
            </w:r>
          </w:p>
        </w:tc>
        <w:tc>
          <w:tcPr>
            <w:tcW w:w="482" w:type="pct"/>
            <w:vAlign w:val="center"/>
          </w:tcPr>
          <w:p w14:paraId="2E3892A8" w14:textId="77777777" w:rsidR="00741992" w:rsidRPr="00D30BFF" w:rsidRDefault="00741992" w:rsidP="007413DF">
            <w:pPr>
              <w:pStyle w:val="Tabletext"/>
              <w:spacing w:line="276" w:lineRule="auto"/>
              <w:jc w:val="right"/>
              <w:rPr>
                <w:sz w:val="22"/>
                <w:lang w:val="en-AU"/>
              </w:rPr>
            </w:pPr>
            <w:r w:rsidRPr="00D30BFF">
              <w:rPr>
                <w:sz w:val="22"/>
                <w:lang w:val="en-AU"/>
              </w:rPr>
              <w:t>1.2</w:t>
            </w:r>
          </w:p>
        </w:tc>
        <w:tc>
          <w:tcPr>
            <w:tcW w:w="482" w:type="pct"/>
            <w:vAlign w:val="center"/>
          </w:tcPr>
          <w:p w14:paraId="4B5F14C4" w14:textId="60664BFE" w:rsidR="00741992" w:rsidRPr="00D30BFF" w:rsidRDefault="00D72639" w:rsidP="007413DF">
            <w:pPr>
              <w:pStyle w:val="Tabletext"/>
              <w:spacing w:line="276" w:lineRule="auto"/>
              <w:jc w:val="right"/>
              <w:rPr>
                <w:sz w:val="22"/>
                <w:lang w:val="en-AU"/>
              </w:rPr>
            </w:pPr>
            <w:r w:rsidRPr="00D30BFF">
              <w:rPr>
                <w:sz w:val="22"/>
                <w:lang w:val="en-AU"/>
              </w:rPr>
              <w:t>–</w:t>
            </w:r>
          </w:p>
        </w:tc>
        <w:tc>
          <w:tcPr>
            <w:tcW w:w="483" w:type="pct"/>
            <w:vAlign w:val="center"/>
          </w:tcPr>
          <w:p w14:paraId="19AC85F6" w14:textId="39CA835E" w:rsidR="00741992" w:rsidRPr="00D30BFF" w:rsidRDefault="00D72639" w:rsidP="007413DF">
            <w:pPr>
              <w:pStyle w:val="Tabletext"/>
              <w:spacing w:line="276" w:lineRule="auto"/>
              <w:jc w:val="right"/>
              <w:rPr>
                <w:sz w:val="22"/>
                <w:lang w:val="en-AU"/>
              </w:rPr>
            </w:pPr>
            <w:r w:rsidRPr="00D30BFF">
              <w:rPr>
                <w:sz w:val="22"/>
                <w:lang w:val="en-AU"/>
              </w:rPr>
              <w:t>–</w:t>
            </w:r>
          </w:p>
        </w:tc>
        <w:tc>
          <w:tcPr>
            <w:tcW w:w="482" w:type="pct"/>
            <w:vAlign w:val="center"/>
          </w:tcPr>
          <w:p w14:paraId="0A9BF148" w14:textId="10B7E5E8" w:rsidR="00741992" w:rsidRPr="00D30BFF" w:rsidRDefault="00D72639" w:rsidP="007413DF">
            <w:pPr>
              <w:pStyle w:val="Tabletext"/>
              <w:spacing w:line="276" w:lineRule="auto"/>
              <w:jc w:val="right"/>
              <w:rPr>
                <w:sz w:val="22"/>
                <w:lang w:val="en-AU"/>
              </w:rPr>
            </w:pPr>
            <w:r w:rsidRPr="00D30BFF">
              <w:rPr>
                <w:sz w:val="22"/>
                <w:lang w:val="en-AU"/>
              </w:rPr>
              <w:t>–</w:t>
            </w:r>
          </w:p>
        </w:tc>
      </w:tr>
      <w:tr w:rsidR="00741992" w:rsidRPr="00D30BFF" w14:paraId="3E088249" w14:textId="77777777" w:rsidTr="00741992">
        <w:trPr>
          <w:trHeight w:val="113"/>
        </w:trPr>
        <w:tc>
          <w:tcPr>
            <w:tcW w:w="3071" w:type="pct"/>
          </w:tcPr>
          <w:p w14:paraId="34C68CF2" w14:textId="77777777" w:rsidR="00741992" w:rsidRPr="00D30BFF" w:rsidRDefault="00741992" w:rsidP="007413DF">
            <w:pPr>
              <w:pStyle w:val="Tabletext"/>
              <w:spacing w:line="276" w:lineRule="auto"/>
              <w:rPr>
                <w:sz w:val="22"/>
                <w:lang w:val="en-AU"/>
              </w:rPr>
            </w:pPr>
            <w:r w:rsidRPr="00D30BFF">
              <w:rPr>
                <w:sz w:val="22"/>
                <w:lang w:val="en-AU"/>
              </w:rPr>
              <w:t>Delivering agriculture sector emissions reductions</w:t>
            </w:r>
          </w:p>
        </w:tc>
        <w:tc>
          <w:tcPr>
            <w:tcW w:w="482" w:type="pct"/>
            <w:vAlign w:val="center"/>
          </w:tcPr>
          <w:p w14:paraId="4019EE97" w14:textId="77777777" w:rsidR="00741992" w:rsidRPr="00D30BFF" w:rsidRDefault="00741992" w:rsidP="007413DF">
            <w:pPr>
              <w:pStyle w:val="Tabletext"/>
              <w:spacing w:line="276" w:lineRule="auto"/>
              <w:jc w:val="right"/>
              <w:rPr>
                <w:sz w:val="22"/>
                <w:lang w:val="en-AU"/>
              </w:rPr>
            </w:pPr>
            <w:r w:rsidRPr="00D30BFF">
              <w:rPr>
                <w:sz w:val="22"/>
                <w:lang w:val="en-AU"/>
              </w:rPr>
              <w:t>3.1</w:t>
            </w:r>
          </w:p>
        </w:tc>
        <w:tc>
          <w:tcPr>
            <w:tcW w:w="482" w:type="pct"/>
            <w:vAlign w:val="center"/>
          </w:tcPr>
          <w:p w14:paraId="3DE2E60E" w14:textId="77777777" w:rsidR="00741992" w:rsidRPr="00D30BFF" w:rsidRDefault="00741992" w:rsidP="007413DF">
            <w:pPr>
              <w:pStyle w:val="Tabletext"/>
              <w:spacing w:line="276" w:lineRule="auto"/>
              <w:jc w:val="right"/>
              <w:rPr>
                <w:sz w:val="22"/>
                <w:lang w:val="en-AU"/>
              </w:rPr>
            </w:pPr>
            <w:r w:rsidRPr="00D30BFF">
              <w:rPr>
                <w:sz w:val="22"/>
                <w:lang w:val="en-AU"/>
              </w:rPr>
              <w:t>3.0</w:t>
            </w:r>
          </w:p>
        </w:tc>
        <w:tc>
          <w:tcPr>
            <w:tcW w:w="483" w:type="pct"/>
            <w:vAlign w:val="center"/>
          </w:tcPr>
          <w:p w14:paraId="44A080B3" w14:textId="4979EA23" w:rsidR="00741992" w:rsidRPr="00D30BFF" w:rsidRDefault="00D72639" w:rsidP="007413DF">
            <w:pPr>
              <w:pStyle w:val="Tabletext"/>
              <w:spacing w:line="276" w:lineRule="auto"/>
              <w:jc w:val="right"/>
              <w:rPr>
                <w:sz w:val="22"/>
                <w:lang w:val="en-AU"/>
              </w:rPr>
            </w:pPr>
            <w:r w:rsidRPr="00D30BFF">
              <w:rPr>
                <w:sz w:val="22"/>
                <w:lang w:val="en-AU"/>
              </w:rPr>
              <w:t>–</w:t>
            </w:r>
          </w:p>
        </w:tc>
        <w:tc>
          <w:tcPr>
            <w:tcW w:w="482" w:type="pct"/>
            <w:vAlign w:val="center"/>
          </w:tcPr>
          <w:p w14:paraId="5C763628" w14:textId="673E5C96" w:rsidR="00741992" w:rsidRPr="00D30BFF" w:rsidRDefault="00D72639" w:rsidP="007413DF">
            <w:pPr>
              <w:pStyle w:val="Tabletext"/>
              <w:spacing w:line="276" w:lineRule="auto"/>
              <w:jc w:val="right"/>
              <w:rPr>
                <w:sz w:val="22"/>
                <w:lang w:val="en-AU"/>
              </w:rPr>
            </w:pPr>
            <w:r w:rsidRPr="00D30BFF">
              <w:rPr>
                <w:sz w:val="22"/>
                <w:lang w:val="en-AU"/>
              </w:rPr>
              <w:t>–</w:t>
            </w:r>
          </w:p>
        </w:tc>
      </w:tr>
      <w:tr w:rsidR="00741992" w:rsidRPr="00D30BFF" w14:paraId="2E5889F9" w14:textId="77777777" w:rsidTr="00741992">
        <w:trPr>
          <w:trHeight w:val="113"/>
        </w:trPr>
        <w:tc>
          <w:tcPr>
            <w:tcW w:w="3071" w:type="pct"/>
          </w:tcPr>
          <w:p w14:paraId="677AF79E" w14:textId="77777777" w:rsidR="00741992" w:rsidRPr="00D30BFF" w:rsidRDefault="00741992" w:rsidP="007413DF">
            <w:pPr>
              <w:pStyle w:val="Tabletext"/>
              <w:spacing w:line="276" w:lineRule="auto"/>
              <w:rPr>
                <w:sz w:val="22"/>
                <w:lang w:val="en-AU"/>
              </w:rPr>
            </w:pPr>
            <w:r w:rsidRPr="00D30BFF">
              <w:rPr>
                <w:sz w:val="22"/>
                <w:lang w:val="en-AU"/>
              </w:rPr>
              <w:t>Growing the industrial hemp sector</w:t>
            </w:r>
          </w:p>
        </w:tc>
        <w:tc>
          <w:tcPr>
            <w:tcW w:w="482" w:type="pct"/>
            <w:vAlign w:val="center"/>
          </w:tcPr>
          <w:p w14:paraId="737A6514" w14:textId="77777777" w:rsidR="00741992" w:rsidRPr="00D30BFF" w:rsidRDefault="00741992" w:rsidP="007413DF">
            <w:pPr>
              <w:pStyle w:val="Tabletext"/>
              <w:spacing w:line="276" w:lineRule="auto"/>
              <w:jc w:val="right"/>
              <w:rPr>
                <w:sz w:val="22"/>
                <w:lang w:val="en-AU"/>
              </w:rPr>
            </w:pPr>
            <w:r w:rsidRPr="00D30BFF">
              <w:rPr>
                <w:sz w:val="22"/>
                <w:lang w:val="en-AU"/>
              </w:rPr>
              <w:t>0.4</w:t>
            </w:r>
          </w:p>
        </w:tc>
        <w:tc>
          <w:tcPr>
            <w:tcW w:w="482" w:type="pct"/>
            <w:vAlign w:val="center"/>
          </w:tcPr>
          <w:p w14:paraId="398493B2" w14:textId="757CB533" w:rsidR="00741992" w:rsidRPr="00D30BFF" w:rsidRDefault="00D72639" w:rsidP="007413DF">
            <w:pPr>
              <w:pStyle w:val="Tabletext"/>
              <w:spacing w:line="276" w:lineRule="auto"/>
              <w:jc w:val="right"/>
              <w:rPr>
                <w:sz w:val="22"/>
                <w:lang w:val="en-AU"/>
              </w:rPr>
            </w:pPr>
            <w:r w:rsidRPr="00D30BFF">
              <w:rPr>
                <w:sz w:val="22"/>
                <w:lang w:val="en-AU"/>
              </w:rPr>
              <w:t>–</w:t>
            </w:r>
          </w:p>
        </w:tc>
        <w:tc>
          <w:tcPr>
            <w:tcW w:w="483" w:type="pct"/>
            <w:vAlign w:val="center"/>
          </w:tcPr>
          <w:p w14:paraId="2E22EF01" w14:textId="5D29CD13" w:rsidR="00741992" w:rsidRPr="00D30BFF" w:rsidRDefault="00D72639" w:rsidP="007413DF">
            <w:pPr>
              <w:pStyle w:val="Tabletext"/>
              <w:spacing w:line="276" w:lineRule="auto"/>
              <w:jc w:val="right"/>
              <w:rPr>
                <w:sz w:val="22"/>
                <w:lang w:val="en-AU"/>
              </w:rPr>
            </w:pPr>
            <w:r w:rsidRPr="00D30BFF">
              <w:rPr>
                <w:sz w:val="22"/>
                <w:lang w:val="en-AU"/>
              </w:rPr>
              <w:t>–</w:t>
            </w:r>
          </w:p>
        </w:tc>
        <w:tc>
          <w:tcPr>
            <w:tcW w:w="482" w:type="pct"/>
            <w:vAlign w:val="center"/>
          </w:tcPr>
          <w:p w14:paraId="0D37BCF4" w14:textId="3E2E1340" w:rsidR="00741992" w:rsidRPr="00D30BFF" w:rsidRDefault="00D72639" w:rsidP="007413DF">
            <w:pPr>
              <w:pStyle w:val="Tabletext"/>
              <w:spacing w:line="276" w:lineRule="auto"/>
              <w:jc w:val="right"/>
              <w:rPr>
                <w:sz w:val="22"/>
                <w:lang w:val="en-AU"/>
              </w:rPr>
            </w:pPr>
            <w:r w:rsidRPr="00D30BFF">
              <w:rPr>
                <w:sz w:val="22"/>
                <w:lang w:val="en-AU"/>
              </w:rPr>
              <w:t>–</w:t>
            </w:r>
          </w:p>
        </w:tc>
      </w:tr>
      <w:tr w:rsidR="00741992" w:rsidRPr="00D30BFF" w14:paraId="0281EE84" w14:textId="77777777" w:rsidTr="00741992">
        <w:trPr>
          <w:trHeight w:val="113"/>
        </w:trPr>
        <w:tc>
          <w:tcPr>
            <w:tcW w:w="3071" w:type="pct"/>
          </w:tcPr>
          <w:p w14:paraId="15B1EB2E" w14:textId="77777777" w:rsidR="00741992" w:rsidRPr="00D30BFF" w:rsidRDefault="00741992" w:rsidP="007413DF">
            <w:pPr>
              <w:pStyle w:val="Tabletext"/>
              <w:spacing w:line="276" w:lineRule="auto"/>
              <w:rPr>
                <w:sz w:val="22"/>
                <w:lang w:val="en-AU"/>
              </w:rPr>
            </w:pPr>
            <w:r w:rsidRPr="00D30BFF">
              <w:rPr>
                <w:sz w:val="22"/>
                <w:lang w:val="en-AU"/>
              </w:rPr>
              <w:t>Managing the impacts of livestock predation – Fox Bounty</w:t>
            </w:r>
          </w:p>
        </w:tc>
        <w:tc>
          <w:tcPr>
            <w:tcW w:w="482" w:type="pct"/>
            <w:vAlign w:val="center"/>
          </w:tcPr>
          <w:p w14:paraId="6597EF64" w14:textId="77777777" w:rsidR="00741992" w:rsidRPr="00D30BFF" w:rsidRDefault="00741992" w:rsidP="007413DF">
            <w:pPr>
              <w:pStyle w:val="Tabletext"/>
              <w:spacing w:line="276" w:lineRule="auto"/>
              <w:jc w:val="right"/>
              <w:rPr>
                <w:sz w:val="22"/>
                <w:lang w:val="en-AU"/>
              </w:rPr>
            </w:pPr>
            <w:r w:rsidRPr="00D30BFF">
              <w:rPr>
                <w:sz w:val="22"/>
                <w:lang w:val="en-AU"/>
              </w:rPr>
              <w:t>2.1</w:t>
            </w:r>
          </w:p>
        </w:tc>
        <w:tc>
          <w:tcPr>
            <w:tcW w:w="482" w:type="pct"/>
            <w:vAlign w:val="center"/>
          </w:tcPr>
          <w:p w14:paraId="10C7CB90" w14:textId="48D56BAD" w:rsidR="00741992" w:rsidRPr="00D30BFF" w:rsidRDefault="00D72639" w:rsidP="007413DF">
            <w:pPr>
              <w:pStyle w:val="Tabletext"/>
              <w:spacing w:line="276" w:lineRule="auto"/>
              <w:jc w:val="right"/>
              <w:rPr>
                <w:sz w:val="22"/>
                <w:lang w:val="en-AU"/>
              </w:rPr>
            </w:pPr>
            <w:r w:rsidRPr="00D30BFF">
              <w:rPr>
                <w:sz w:val="22"/>
                <w:lang w:val="en-AU"/>
              </w:rPr>
              <w:t>–</w:t>
            </w:r>
          </w:p>
        </w:tc>
        <w:tc>
          <w:tcPr>
            <w:tcW w:w="483" w:type="pct"/>
            <w:vAlign w:val="center"/>
          </w:tcPr>
          <w:p w14:paraId="5BD90CEE" w14:textId="4E1D0384" w:rsidR="00741992" w:rsidRPr="00D30BFF" w:rsidRDefault="00D72639" w:rsidP="007413DF">
            <w:pPr>
              <w:pStyle w:val="Tabletext"/>
              <w:spacing w:line="276" w:lineRule="auto"/>
              <w:jc w:val="right"/>
              <w:rPr>
                <w:sz w:val="22"/>
                <w:lang w:val="en-AU"/>
              </w:rPr>
            </w:pPr>
            <w:r w:rsidRPr="00D30BFF">
              <w:rPr>
                <w:sz w:val="22"/>
                <w:lang w:val="en-AU"/>
              </w:rPr>
              <w:t>–</w:t>
            </w:r>
          </w:p>
        </w:tc>
        <w:tc>
          <w:tcPr>
            <w:tcW w:w="482" w:type="pct"/>
            <w:vAlign w:val="center"/>
          </w:tcPr>
          <w:p w14:paraId="30D1FA74" w14:textId="496BC69E" w:rsidR="00741992" w:rsidRPr="00D30BFF" w:rsidRDefault="00D72639" w:rsidP="007413DF">
            <w:pPr>
              <w:pStyle w:val="Tabletext"/>
              <w:spacing w:line="276" w:lineRule="auto"/>
              <w:jc w:val="right"/>
              <w:rPr>
                <w:sz w:val="22"/>
                <w:lang w:val="en-AU"/>
              </w:rPr>
            </w:pPr>
            <w:r w:rsidRPr="00D30BFF">
              <w:rPr>
                <w:sz w:val="22"/>
                <w:lang w:val="en-AU"/>
              </w:rPr>
              <w:t>–</w:t>
            </w:r>
          </w:p>
        </w:tc>
      </w:tr>
      <w:tr w:rsidR="00741992" w:rsidRPr="00D30BFF" w14:paraId="63C24322" w14:textId="77777777" w:rsidTr="00741992">
        <w:trPr>
          <w:trHeight w:val="113"/>
        </w:trPr>
        <w:tc>
          <w:tcPr>
            <w:tcW w:w="3071" w:type="pct"/>
          </w:tcPr>
          <w:p w14:paraId="4DA7DE2C" w14:textId="77777777" w:rsidR="00741992" w:rsidRPr="00D30BFF" w:rsidRDefault="00741992" w:rsidP="007413DF">
            <w:pPr>
              <w:pStyle w:val="Tabletext"/>
              <w:spacing w:line="276" w:lineRule="auto"/>
              <w:rPr>
                <w:sz w:val="22"/>
                <w:lang w:val="en-AU"/>
              </w:rPr>
            </w:pPr>
            <w:r w:rsidRPr="00D30BFF">
              <w:rPr>
                <w:sz w:val="22"/>
                <w:lang w:val="en-AU"/>
              </w:rPr>
              <w:t>Safeguarding the future of Victoria’s agricultural sector and supporting animal welfare</w:t>
            </w:r>
          </w:p>
        </w:tc>
        <w:tc>
          <w:tcPr>
            <w:tcW w:w="482" w:type="pct"/>
            <w:vAlign w:val="center"/>
          </w:tcPr>
          <w:p w14:paraId="3C031BDF" w14:textId="77777777" w:rsidR="00741992" w:rsidRPr="00D30BFF" w:rsidRDefault="00741992" w:rsidP="007413DF">
            <w:pPr>
              <w:pStyle w:val="Tabletext"/>
              <w:spacing w:line="276" w:lineRule="auto"/>
              <w:jc w:val="right"/>
              <w:rPr>
                <w:sz w:val="22"/>
                <w:lang w:val="en-AU"/>
              </w:rPr>
            </w:pPr>
            <w:r w:rsidRPr="00D30BFF">
              <w:rPr>
                <w:sz w:val="22"/>
                <w:lang w:val="en-AU"/>
              </w:rPr>
              <w:t>7.3</w:t>
            </w:r>
          </w:p>
        </w:tc>
        <w:tc>
          <w:tcPr>
            <w:tcW w:w="482" w:type="pct"/>
            <w:vAlign w:val="center"/>
          </w:tcPr>
          <w:p w14:paraId="5E511B58" w14:textId="77777777" w:rsidR="00741992" w:rsidRPr="00D30BFF" w:rsidRDefault="00741992" w:rsidP="007413DF">
            <w:pPr>
              <w:pStyle w:val="Tabletext"/>
              <w:spacing w:line="276" w:lineRule="auto"/>
              <w:jc w:val="right"/>
              <w:rPr>
                <w:sz w:val="22"/>
                <w:lang w:val="en-AU"/>
              </w:rPr>
            </w:pPr>
            <w:r w:rsidRPr="00D30BFF">
              <w:rPr>
                <w:sz w:val="22"/>
                <w:lang w:val="en-AU"/>
              </w:rPr>
              <w:t>9.4</w:t>
            </w:r>
          </w:p>
        </w:tc>
        <w:tc>
          <w:tcPr>
            <w:tcW w:w="483" w:type="pct"/>
            <w:vAlign w:val="center"/>
          </w:tcPr>
          <w:p w14:paraId="6892D6EF" w14:textId="55C6C499" w:rsidR="00741992" w:rsidRPr="00D30BFF" w:rsidRDefault="00D72639" w:rsidP="007413DF">
            <w:pPr>
              <w:pStyle w:val="Tabletext"/>
              <w:spacing w:line="276" w:lineRule="auto"/>
              <w:jc w:val="right"/>
              <w:rPr>
                <w:sz w:val="22"/>
                <w:lang w:val="en-AU"/>
              </w:rPr>
            </w:pPr>
            <w:r w:rsidRPr="00D30BFF">
              <w:rPr>
                <w:sz w:val="22"/>
                <w:lang w:val="en-AU"/>
              </w:rPr>
              <w:t>–</w:t>
            </w:r>
          </w:p>
        </w:tc>
        <w:tc>
          <w:tcPr>
            <w:tcW w:w="482" w:type="pct"/>
            <w:vAlign w:val="center"/>
          </w:tcPr>
          <w:p w14:paraId="644C721A" w14:textId="19815A62" w:rsidR="00741992" w:rsidRPr="00D30BFF" w:rsidRDefault="00D72639" w:rsidP="007413DF">
            <w:pPr>
              <w:pStyle w:val="Tabletext"/>
              <w:spacing w:line="276" w:lineRule="auto"/>
              <w:jc w:val="right"/>
              <w:rPr>
                <w:sz w:val="22"/>
                <w:lang w:val="en-AU"/>
              </w:rPr>
            </w:pPr>
            <w:r w:rsidRPr="00D30BFF">
              <w:rPr>
                <w:sz w:val="22"/>
                <w:lang w:val="en-AU"/>
              </w:rPr>
              <w:t>–</w:t>
            </w:r>
          </w:p>
        </w:tc>
      </w:tr>
      <w:tr w:rsidR="00741992" w:rsidRPr="00D30BFF" w14:paraId="293855AA" w14:textId="77777777" w:rsidTr="00741992">
        <w:trPr>
          <w:trHeight w:val="113"/>
        </w:trPr>
        <w:tc>
          <w:tcPr>
            <w:tcW w:w="3071" w:type="pct"/>
            <w:shd w:val="clear" w:color="auto" w:fill="F2F2F2" w:themeFill="background1" w:themeFillShade="F2"/>
          </w:tcPr>
          <w:p w14:paraId="2E965A93" w14:textId="77777777" w:rsidR="00741992" w:rsidRPr="00D30BFF" w:rsidRDefault="00741992" w:rsidP="007413DF">
            <w:pPr>
              <w:pStyle w:val="Tabletext"/>
              <w:spacing w:line="276" w:lineRule="auto"/>
              <w:rPr>
                <w:b/>
                <w:bCs/>
                <w:sz w:val="22"/>
                <w:lang w:val="en-AU"/>
              </w:rPr>
            </w:pPr>
            <w:r w:rsidRPr="00D30BFF">
              <w:rPr>
                <w:b/>
                <w:bCs/>
                <w:sz w:val="22"/>
                <w:lang w:val="en-AU"/>
              </w:rPr>
              <w:t>Effective Water Management and Supply</w:t>
            </w:r>
          </w:p>
        </w:tc>
        <w:tc>
          <w:tcPr>
            <w:tcW w:w="482" w:type="pct"/>
            <w:shd w:val="clear" w:color="auto" w:fill="F2F2F2" w:themeFill="background1" w:themeFillShade="F2"/>
            <w:vAlign w:val="center"/>
          </w:tcPr>
          <w:p w14:paraId="591D9078" w14:textId="77777777" w:rsidR="00741992" w:rsidRPr="00D30BFF" w:rsidRDefault="00741992" w:rsidP="007413DF">
            <w:pPr>
              <w:pStyle w:val="Tabletext"/>
              <w:spacing w:line="276" w:lineRule="auto"/>
              <w:jc w:val="right"/>
              <w:rPr>
                <w:sz w:val="22"/>
                <w:lang w:val="en-AU"/>
              </w:rPr>
            </w:pPr>
          </w:p>
        </w:tc>
        <w:tc>
          <w:tcPr>
            <w:tcW w:w="482" w:type="pct"/>
            <w:shd w:val="clear" w:color="auto" w:fill="F2F2F2" w:themeFill="background1" w:themeFillShade="F2"/>
            <w:vAlign w:val="center"/>
          </w:tcPr>
          <w:p w14:paraId="5E3C27FB" w14:textId="77777777" w:rsidR="00741992" w:rsidRPr="00D30BFF" w:rsidRDefault="00741992" w:rsidP="007413DF">
            <w:pPr>
              <w:pStyle w:val="Tabletext"/>
              <w:spacing w:line="276" w:lineRule="auto"/>
              <w:jc w:val="right"/>
              <w:rPr>
                <w:sz w:val="22"/>
                <w:lang w:val="en-AU"/>
              </w:rPr>
            </w:pPr>
            <w:r w:rsidRPr="00D30BFF">
              <w:rPr>
                <w:sz w:val="22"/>
                <w:lang w:val="en-AU"/>
              </w:rPr>
              <w:t> </w:t>
            </w:r>
          </w:p>
        </w:tc>
        <w:tc>
          <w:tcPr>
            <w:tcW w:w="483" w:type="pct"/>
            <w:shd w:val="clear" w:color="auto" w:fill="F2F2F2" w:themeFill="background1" w:themeFillShade="F2"/>
            <w:vAlign w:val="center"/>
          </w:tcPr>
          <w:p w14:paraId="44D6A099" w14:textId="77777777" w:rsidR="00741992" w:rsidRPr="00D30BFF" w:rsidRDefault="00741992" w:rsidP="007413DF">
            <w:pPr>
              <w:pStyle w:val="Tabletext"/>
              <w:spacing w:line="276" w:lineRule="auto"/>
              <w:jc w:val="right"/>
              <w:rPr>
                <w:sz w:val="22"/>
                <w:lang w:val="en-AU"/>
              </w:rPr>
            </w:pPr>
            <w:r w:rsidRPr="00D30BFF">
              <w:rPr>
                <w:sz w:val="22"/>
                <w:lang w:val="en-AU"/>
              </w:rPr>
              <w:t> </w:t>
            </w:r>
          </w:p>
        </w:tc>
        <w:tc>
          <w:tcPr>
            <w:tcW w:w="482" w:type="pct"/>
            <w:shd w:val="clear" w:color="auto" w:fill="F2F2F2" w:themeFill="background1" w:themeFillShade="F2"/>
            <w:vAlign w:val="center"/>
          </w:tcPr>
          <w:p w14:paraId="78DBF44E" w14:textId="77777777" w:rsidR="00741992" w:rsidRPr="00D30BFF" w:rsidRDefault="00741992" w:rsidP="007413DF">
            <w:pPr>
              <w:pStyle w:val="Tabletext"/>
              <w:spacing w:line="276" w:lineRule="auto"/>
              <w:jc w:val="right"/>
              <w:rPr>
                <w:sz w:val="22"/>
                <w:lang w:val="en-AU"/>
              </w:rPr>
            </w:pPr>
            <w:r w:rsidRPr="00D30BFF">
              <w:rPr>
                <w:sz w:val="22"/>
                <w:lang w:val="en-AU"/>
              </w:rPr>
              <w:t> </w:t>
            </w:r>
          </w:p>
        </w:tc>
      </w:tr>
      <w:tr w:rsidR="00741992" w:rsidRPr="00D30BFF" w14:paraId="10ECAC0B" w14:textId="77777777" w:rsidTr="00741992">
        <w:trPr>
          <w:trHeight w:val="113"/>
        </w:trPr>
        <w:tc>
          <w:tcPr>
            <w:tcW w:w="3071" w:type="pct"/>
          </w:tcPr>
          <w:p w14:paraId="713B21DD" w14:textId="77777777" w:rsidR="00741992" w:rsidRPr="00D30BFF" w:rsidRDefault="00741992" w:rsidP="007413DF">
            <w:pPr>
              <w:pStyle w:val="Tabletext"/>
              <w:spacing w:line="276" w:lineRule="auto"/>
              <w:rPr>
                <w:sz w:val="22"/>
                <w:lang w:val="en-AU"/>
              </w:rPr>
            </w:pPr>
            <w:r w:rsidRPr="00D30BFF">
              <w:rPr>
                <w:sz w:val="22"/>
                <w:lang w:val="en-AU"/>
              </w:rPr>
              <w:t>Broken reconfiguration project</w:t>
            </w:r>
          </w:p>
        </w:tc>
        <w:tc>
          <w:tcPr>
            <w:tcW w:w="482" w:type="pct"/>
            <w:vAlign w:val="center"/>
          </w:tcPr>
          <w:p w14:paraId="048F0397" w14:textId="77777777" w:rsidR="00741992" w:rsidRPr="00D30BFF" w:rsidRDefault="00741992" w:rsidP="007413DF">
            <w:pPr>
              <w:pStyle w:val="Tabletext"/>
              <w:spacing w:line="276" w:lineRule="auto"/>
              <w:jc w:val="right"/>
              <w:rPr>
                <w:sz w:val="22"/>
                <w:lang w:val="en-AU"/>
              </w:rPr>
            </w:pPr>
            <w:r w:rsidRPr="00D30BFF">
              <w:rPr>
                <w:sz w:val="22"/>
                <w:lang w:val="en-AU"/>
              </w:rPr>
              <w:t>1.7</w:t>
            </w:r>
          </w:p>
        </w:tc>
        <w:tc>
          <w:tcPr>
            <w:tcW w:w="482" w:type="pct"/>
            <w:vAlign w:val="center"/>
          </w:tcPr>
          <w:p w14:paraId="7D896555" w14:textId="34AD2449" w:rsidR="00741992" w:rsidRPr="00D30BFF" w:rsidRDefault="00D72639" w:rsidP="007413DF">
            <w:pPr>
              <w:pStyle w:val="Tabletext"/>
              <w:spacing w:line="276" w:lineRule="auto"/>
              <w:jc w:val="right"/>
              <w:rPr>
                <w:sz w:val="22"/>
                <w:lang w:val="en-AU"/>
              </w:rPr>
            </w:pPr>
            <w:r w:rsidRPr="00D30BFF">
              <w:rPr>
                <w:sz w:val="22"/>
                <w:lang w:val="en-AU"/>
              </w:rPr>
              <w:t>–</w:t>
            </w:r>
          </w:p>
        </w:tc>
        <w:tc>
          <w:tcPr>
            <w:tcW w:w="483" w:type="pct"/>
            <w:vAlign w:val="center"/>
          </w:tcPr>
          <w:p w14:paraId="1B0177E6" w14:textId="06A4DC92" w:rsidR="00741992" w:rsidRPr="00D30BFF" w:rsidRDefault="00D72639" w:rsidP="007413DF">
            <w:pPr>
              <w:pStyle w:val="Tabletext"/>
              <w:spacing w:line="276" w:lineRule="auto"/>
              <w:jc w:val="right"/>
              <w:rPr>
                <w:sz w:val="22"/>
                <w:lang w:val="en-AU"/>
              </w:rPr>
            </w:pPr>
            <w:r w:rsidRPr="00D30BFF">
              <w:rPr>
                <w:sz w:val="22"/>
                <w:lang w:val="en-AU"/>
              </w:rPr>
              <w:t>–</w:t>
            </w:r>
          </w:p>
        </w:tc>
        <w:tc>
          <w:tcPr>
            <w:tcW w:w="482" w:type="pct"/>
            <w:vAlign w:val="center"/>
          </w:tcPr>
          <w:p w14:paraId="22617C5C" w14:textId="2BD84A5E" w:rsidR="00741992" w:rsidRPr="00D30BFF" w:rsidRDefault="00D72639" w:rsidP="007413DF">
            <w:pPr>
              <w:pStyle w:val="Tabletext"/>
              <w:spacing w:line="276" w:lineRule="auto"/>
              <w:jc w:val="right"/>
              <w:rPr>
                <w:sz w:val="22"/>
                <w:lang w:val="en-AU"/>
              </w:rPr>
            </w:pPr>
            <w:r w:rsidRPr="00D30BFF">
              <w:rPr>
                <w:sz w:val="22"/>
                <w:lang w:val="en-AU"/>
              </w:rPr>
              <w:t>–</w:t>
            </w:r>
          </w:p>
        </w:tc>
      </w:tr>
      <w:tr w:rsidR="00741992" w:rsidRPr="00D30BFF" w14:paraId="66A94F25" w14:textId="77777777" w:rsidTr="00741992">
        <w:trPr>
          <w:trHeight w:val="113"/>
        </w:trPr>
        <w:tc>
          <w:tcPr>
            <w:tcW w:w="3071" w:type="pct"/>
          </w:tcPr>
          <w:p w14:paraId="6290D492" w14:textId="77777777" w:rsidR="00741992" w:rsidRPr="00D30BFF" w:rsidRDefault="00741992" w:rsidP="007413DF">
            <w:pPr>
              <w:pStyle w:val="Tabletext"/>
              <w:spacing w:line="276" w:lineRule="auto"/>
              <w:rPr>
                <w:sz w:val="22"/>
                <w:lang w:val="en-AU"/>
              </w:rPr>
            </w:pPr>
            <w:r w:rsidRPr="00D30BFF">
              <w:rPr>
                <w:sz w:val="22"/>
                <w:lang w:val="en-AU"/>
              </w:rPr>
              <w:t>Detailed Assessments of the Restoring Flows to the Mallee Floodplain project</w:t>
            </w:r>
          </w:p>
        </w:tc>
        <w:tc>
          <w:tcPr>
            <w:tcW w:w="482" w:type="pct"/>
            <w:vAlign w:val="center"/>
          </w:tcPr>
          <w:p w14:paraId="6937D62E" w14:textId="77777777" w:rsidR="00741992" w:rsidRPr="00D30BFF" w:rsidRDefault="00741992" w:rsidP="007413DF">
            <w:pPr>
              <w:pStyle w:val="Tabletext"/>
              <w:spacing w:line="276" w:lineRule="auto"/>
              <w:jc w:val="right"/>
              <w:rPr>
                <w:sz w:val="22"/>
                <w:lang w:val="en-AU"/>
              </w:rPr>
            </w:pPr>
            <w:r w:rsidRPr="00D30BFF">
              <w:rPr>
                <w:sz w:val="22"/>
                <w:lang w:val="en-AU"/>
              </w:rPr>
              <w:t>tbc</w:t>
            </w:r>
          </w:p>
        </w:tc>
        <w:tc>
          <w:tcPr>
            <w:tcW w:w="482" w:type="pct"/>
            <w:vAlign w:val="center"/>
          </w:tcPr>
          <w:p w14:paraId="1E208731" w14:textId="77777777" w:rsidR="00741992" w:rsidRPr="00D30BFF" w:rsidRDefault="00741992" w:rsidP="007413DF">
            <w:pPr>
              <w:pStyle w:val="Tabletext"/>
              <w:spacing w:line="276" w:lineRule="auto"/>
              <w:jc w:val="right"/>
              <w:rPr>
                <w:sz w:val="22"/>
                <w:lang w:val="en-AU"/>
              </w:rPr>
            </w:pPr>
            <w:r w:rsidRPr="00D30BFF">
              <w:rPr>
                <w:sz w:val="22"/>
                <w:lang w:val="en-AU"/>
              </w:rPr>
              <w:t>tbc</w:t>
            </w:r>
          </w:p>
        </w:tc>
        <w:tc>
          <w:tcPr>
            <w:tcW w:w="483" w:type="pct"/>
            <w:vAlign w:val="center"/>
          </w:tcPr>
          <w:p w14:paraId="60EF2C87" w14:textId="77777777" w:rsidR="00741992" w:rsidRPr="00D30BFF" w:rsidRDefault="00741992" w:rsidP="007413DF">
            <w:pPr>
              <w:pStyle w:val="Tabletext"/>
              <w:spacing w:line="276" w:lineRule="auto"/>
              <w:jc w:val="right"/>
              <w:rPr>
                <w:sz w:val="22"/>
                <w:lang w:val="en-AU"/>
              </w:rPr>
            </w:pPr>
            <w:r w:rsidRPr="00D30BFF">
              <w:rPr>
                <w:sz w:val="22"/>
                <w:lang w:val="en-AU"/>
              </w:rPr>
              <w:t>tbc</w:t>
            </w:r>
          </w:p>
        </w:tc>
        <w:tc>
          <w:tcPr>
            <w:tcW w:w="482" w:type="pct"/>
            <w:vAlign w:val="center"/>
          </w:tcPr>
          <w:p w14:paraId="528C2D0E" w14:textId="77777777" w:rsidR="00741992" w:rsidRPr="00D30BFF" w:rsidRDefault="00741992" w:rsidP="007413DF">
            <w:pPr>
              <w:pStyle w:val="Tabletext"/>
              <w:spacing w:line="276" w:lineRule="auto"/>
              <w:jc w:val="right"/>
              <w:rPr>
                <w:sz w:val="22"/>
                <w:lang w:val="en-AU"/>
              </w:rPr>
            </w:pPr>
            <w:r w:rsidRPr="00D30BFF">
              <w:rPr>
                <w:sz w:val="22"/>
                <w:lang w:val="en-AU"/>
              </w:rPr>
              <w:t>tbc</w:t>
            </w:r>
          </w:p>
        </w:tc>
      </w:tr>
      <w:tr w:rsidR="00741992" w:rsidRPr="00D30BFF" w14:paraId="3AA94908" w14:textId="77777777" w:rsidTr="00741992">
        <w:trPr>
          <w:trHeight w:val="113"/>
        </w:trPr>
        <w:tc>
          <w:tcPr>
            <w:tcW w:w="3071" w:type="pct"/>
          </w:tcPr>
          <w:p w14:paraId="084E2F36" w14:textId="77777777" w:rsidR="00741992" w:rsidRPr="00D30BFF" w:rsidRDefault="00741992" w:rsidP="007413DF">
            <w:pPr>
              <w:pStyle w:val="Tabletext"/>
              <w:spacing w:line="276" w:lineRule="auto"/>
              <w:rPr>
                <w:sz w:val="22"/>
                <w:lang w:val="en-AU"/>
              </w:rPr>
            </w:pPr>
            <w:r w:rsidRPr="00D30BFF">
              <w:rPr>
                <w:sz w:val="22"/>
                <w:lang w:val="en-AU"/>
              </w:rPr>
              <w:t>Implementing Water Reform in the Murray Darling Basin</w:t>
            </w:r>
          </w:p>
        </w:tc>
        <w:tc>
          <w:tcPr>
            <w:tcW w:w="482" w:type="pct"/>
            <w:vAlign w:val="center"/>
          </w:tcPr>
          <w:p w14:paraId="3A75EC41" w14:textId="77777777" w:rsidR="00741992" w:rsidRPr="00D30BFF" w:rsidRDefault="00741992" w:rsidP="007413DF">
            <w:pPr>
              <w:pStyle w:val="Tabletext"/>
              <w:spacing w:line="276" w:lineRule="auto"/>
              <w:jc w:val="right"/>
              <w:rPr>
                <w:sz w:val="22"/>
                <w:lang w:val="en-AU"/>
              </w:rPr>
            </w:pPr>
            <w:r w:rsidRPr="00D30BFF">
              <w:rPr>
                <w:sz w:val="22"/>
                <w:lang w:val="en-AU"/>
              </w:rPr>
              <w:t>5.7</w:t>
            </w:r>
          </w:p>
        </w:tc>
        <w:tc>
          <w:tcPr>
            <w:tcW w:w="482" w:type="pct"/>
            <w:vAlign w:val="center"/>
          </w:tcPr>
          <w:p w14:paraId="58F557F2" w14:textId="77777777" w:rsidR="00741992" w:rsidRPr="00D30BFF" w:rsidRDefault="00741992" w:rsidP="007413DF">
            <w:pPr>
              <w:pStyle w:val="Tabletext"/>
              <w:spacing w:line="276" w:lineRule="auto"/>
              <w:jc w:val="right"/>
              <w:rPr>
                <w:sz w:val="22"/>
                <w:lang w:val="en-AU"/>
              </w:rPr>
            </w:pPr>
            <w:r w:rsidRPr="00D30BFF">
              <w:rPr>
                <w:sz w:val="22"/>
                <w:lang w:val="en-AU"/>
              </w:rPr>
              <w:t>4.8</w:t>
            </w:r>
          </w:p>
        </w:tc>
        <w:tc>
          <w:tcPr>
            <w:tcW w:w="483" w:type="pct"/>
            <w:vAlign w:val="center"/>
          </w:tcPr>
          <w:p w14:paraId="573BD30D" w14:textId="77777777" w:rsidR="00741992" w:rsidRPr="00D30BFF" w:rsidRDefault="00741992" w:rsidP="007413DF">
            <w:pPr>
              <w:pStyle w:val="Tabletext"/>
              <w:spacing w:line="276" w:lineRule="auto"/>
              <w:jc w:val="right"/>
              <w:rPr>
                <w:sz w:val="22"/>
                <w:lang w:val="en-AU"/>
              </w:rPr>
            </w:pPr>
            <w:r w:rsidRPr="00D30BFF">
              <w:rPr>
                <w:sz w:val="22"/>
                <w:lang w:val="en-AU"/>
              </w:rPr>
              <w:t>2.9</w:t>
            </w:r>
          </w:p>
        </w:tc>
        <w:tc>
          <w:tcPr>
            <w:tcW w:w="482" w:type="pct"/>
            <w:vAlign w:val="center"/>
          </w:tcPr>
          <w:p w14:paraId="2D1C8865" w14:textId="40F5D61B" w:rsidR="00741992" w:rsidRPr="00D30BFF" w:rsidRDefault="00D72639" w:rsidP="007413DF">
            <w:pPr>
              <w:pStyle w:val="Tabletext"/>
              <w:spacing w:line="276" w:lineRule="auto"/>
              <w:jc w:val="right"/>
              <w:rPr>
                <w:sz w:val="22"/>
                <w:lang w:val="en-AU"/>
              </w:rPr>
            </w:pPr>
            <w:r w:rsidRPr="00D30BFF">
              <w:rPr>
                <w:sz w:val="22"/>
                <w:lang w:val="en-AU"/>
              </w:rPr>
              <w:t>–</w:t>
            </w:r>
          </w:p>
        </w:tc>
      </w:tr>
      <w:tr w:rsidR="00741992" w:rsidRPr="00D30BFF" w14:paraId="2FF4E0D8" w14:textId="77777777" w:rsidTr="00741992">
        <w:trPr>
          <w:trHeight w:val="113"/>
        </w:trPr>
        <w:tc>
          <w:tcPr>
            <w:tcW w:w="3071" w:type="pct"/>
          </w:tcPr>
          <w:p w14:paraId="0B63968B" w14:textId="77777777" w:rsidR="00741992" w:rsidRPr="00D30BFF" w:rsidRDefault="00741992" w:rsidP="007413DF">
            <w:pPr>
              <w:pStyle w:val="Tabletext"/>
              <w:spacing w:line="276" w:lineRule="auto"/>
              <w:rPr>
                <w:sz w:val="22"/>
                <w:lang w:val="en-AU"/>
              </w:rPr>
            </w:pPr>
            <w:r w:rsidRPr="00D30BFF">
              <w:rPr>
                <w:sz w:val="22"/>
                <w:lang w:val="en-AU"/>
              </w:rPr>
              <w:t>Improving compliance in the Murray Darling Basin</w:t>
            </w:r>
          </w:p>
        </w:tc>
        <w:tc>
          <w:tcPr>
            <w:tcW w:w="482" w:type="pct"/>
            <w:vAlign w:val="center"/>
          </w:tcPr>
          <w:p w14:paraId="069315C9" w14:textId="77777777" w:rsidR="00741992" w:rsidRPr="00D30BFF" w:rsidRDefault="00741992" w:rsidP="007413DF">
            <w:pPr>
              <w:pStyle w:val="Tabletext"/>
              <w:spacing w:line="276" w:lineRule="auto"/>
              <w:jc w:val="right"/>
              <w:rPr>
                <w:sz w:val="22"/>
                <w:lang w:val="en-AU"/>
              </w:rPr>
            </w:pPr>
            <w:r w:rsidRPr="00D30BFF">
              <w:rPr>
                <w:sz w:val="22"/>
                <w:lang w:val="en-AU"/>
              </w:rPr>
              <w:t>0.7</w:t>
            </w:r>
          </w:p>
        </w:tc>
        <w:tc>
          <w:tcPr>
            <w:tcW w:w="482" w:type="pct"/>
            <w:vAlign w:val="center"/>
          </w:tcPr>
          <w:p w14:paraId="53B777D7" w14:textId="77777777" w:rsidR="00741992" w:rsidRPr="00D30BFF" w:rsidRDefault="00741992" w:rsidP="007413DF">
            <w:pPr>
              <w:pStyle w:val="Tabletext"/>
              <w:spacing w:line="276" w:lineRule="auto"/>
              <w:jc w:val="right"/>
              <w:rPr>
                <w:sz w:val="22"/>
                <w:lang w:val="en-AU"/>
              </w:rPr>
            </w:pPr>
            <w:r w:rsidRPr="00D30BFF">
              <w:rPr>
                <w:sz w:val="22"/>
                <w:lang w:val="en-AU"/>
              </w:rPr>
              <w:t>0.9</w:t>
            </w:r>
          </w:p>
        </w:tc>
        <w:tc>
          <w:tcPr>
            <w:tcW w:w="483" w:type="pct"/>
            <w:vAlign w:val="center"/>
          </w:tcPr>
          <w:p w14:paraId="407D594F" w14:textId="1B24B62C" w:rsidR="00741992" w:rsidRPr="00D30BFF" w:rsidRDefault="00D72639" w:rsidP="007413DF">
            <w:pPr>
              <w:pStyle w:val="Tabletext"/>
              <w:spacing w:line="276" w:lineRule="auto"/>
              <w:jc w:val="right"/>
              <w:rPr>
                <w:sz w:val="22"/>
                <w:lang w:val="en-AU"/>
              </w:rPr>
            </w:pPr>
            <w:r w:rsidRPr="00D30BFF">
              <w:rPr>
                <w:sz w:val="22"/>
                <w:lang w:val="en-AU"/>
              </w:rPr>
              <w:t>–</w:t>
            </w:r>
          </w:p>
        </w:tc>
        <w:tc>
          <w:tcPr>
            <w:tcW w:w="482" w:type="pct"/>
            <w:vAlign w:val="center"/>
          </w:tcPr>
          <w:p w14:paraId="23D7FC40" w14:textId="0223292A" w:rsidR="00741992" w:rsidRPr="00D30BFF" w:rsidRDefault="00D72639" w:rsidP="007413DF">
            <w:pPr>
              <w:pStyle w:val="Tabletext"/>
              <w:spacing w:line="276" w:lineRule="auto"/>
              <w:jc w:val="right"/>
              <w:rPr>
                <w:sz w:val="22"/>
                <w:lang w:val="en-AU"/>
              </w:rPr>
            </w:pPr>
            <w:r w:rsidRPr="00D30BFF">
              <w:rPr>
                <w:sz w:val="22"/>
                <w:lang w:val="en-AU"/>
              </w:rPr>
              <w:t>–</w:t>
            </w:r>
          </w:p>
        </w:tc>
      </w:tr>
      <w:tr w:rsidR="00741992" w:rsidRPr="00D30BFF" w14:paraId="77C67555" w14:textId="77777777" w:rsidTr="00741992">
        <w:trPr>
          <w:trHeight w:val="113"/>
        </w:trPr>
        <w:tc>
          <w:tcPr>
            <w:tcW w:w="3071" w:type="pct"/>
          </w:tcPr>
          <w:p w14:paraId="60627DC8" w14:textId="77777777" w:rsidR="00741992" w:rsidRPr="00D30BFF" w:rsidRDefault="00741992" w:rsidP="007413DF">
            <w:pPr>
              <w:pStyle w:val="Tabletext"/>
              <w:spacing w:line="276" w:lineRule="auto"/>
              <w:rPr>
                <w:sz w:val="22"/>
                <w:lang w:val="en-AU"/>
              </w:rPr>
            </w:pPr>
            <w:r w:rsidRPr="00D30BFF">
              <w:rPr>
                <w:sz w:val="22"/>
                <w:lang w:val="en-AU"/>
              </w:rPr>
              <w:t>Protecting Victoria’s water security</w:t>
            </w:r>
          </w:p>
        </w:tc>
        <w:tc>
          <w:tcPr>
            <w:tcW w:w="482" w:type="pct"/>
            <w:vAlign w:val="center"/>
          </w:tcPr>
          <w:p w14:paraId="3D804E27" w14:textId="77777777" w:rsidR="00741992" w:rsidRPr="00D30BFF" w:rsidRDefault="00741992" w:rsidP="007413DF">
            <w:pPr>
              <w:pStyle w:val="Tabletext"/>
              <w:spacing w:line="276" w:lineRule="auto"/>
              <w:jc w:val="right"/>
              <w:rPr>
                <w:sz w:val="22"/>
                <w:lang w:val="en-AU"/>
              </w:rPr>
            </w:pPr>
            <w:r w:rsidRPr="00D30BFF">
              <w:rPr>
                <w:sz w:val="22"/>
                <w:lang w:val="en-AU"/>
              </w:rPr>
              <w:t>3.8</w:t>
            </w:r>
          </w:p>
        </w:tc>
        <w:tc>
          <w:tcPr>
            <w:tcW w:w="482" w:type="pct"/>
            <w:vAlign w:val="center"/>
          </w:tcPr>
          <w:p w14:paraId="7E43089A" w14:textId="7C9DB53A" w:rsidR="00741992" w:rsidRPr="00D30BFF" w:rsidRDefault="00D72639" w:rsidP="007413DF">
            <w:pPr>
              <w:pStyle w:val="Tabletext"/>
              <w:spacing w:line="276" w:lineRule="auto"/>
              <w:jc w:val="right"/>
              <w:rPr>
                <w:sz w:val="22"/>
                <w:lang w:val="en-AU"/>
              </w:rPr>
            </w:pPr>
            <w:r w:rsidRPr="00D30BFF">
              <w:rPr>
                <w:sz w:val="22"/>
                <w:lang w:val="en-AU"/>
              </w:rPr>
              <w:t>–</w:t>
            </w:r>
          </w:p>
        </w:tc>
        <w:tc>
          <w:tcPr>
            <w:tcW w:w="483" w:type="pct"/>
            <w:vAlign w:val="center"/>
          </w:tcPr>
          <w:p w14:paraId="6CAE055D" w14:textId="7A906629" w:rsidR="00741992" w:rsidRPr="00D30BFF" w:rsidRDefault="00D72639" w:rsidP="007413DF">
            <w:pPr>
              <w:pStyle w:val="Tabletext"/>
              <w:spacing w:line="276" w:lineRule="auto"/>
              <w:jc w:val="right"/>
              <w:rPr>
                <w:sz w:val="22"/>
                <w:lang w:val="en-AU"/>
              </w:rPr>
            </w:pPr>
            <w:r w:rsidRPr="00D30BFF">
              <w:rPr>
                <w:sz w:val="22"/>
                <w:lang w:val="en-AU"/>
              </w:rPr>
              <w:t>–</w:t>
            </w:r>
          </w:p>
        </w:tc>
        <w:tc>
          <w:tcPr>
            <w:tcW w:w="482" w:type="pct"/>
            <w:vAlign w:val="center"/>
          </w:tcPr>
          <w:p w14:paraId="6B109F91" w14:textId="3842827D" w:rsidR="00741992" w:rsidRPr="00D30BFF" w:rsidRDefault="00D72639" w:rsidP="007413DF">
            <w:pPr>
              <w:pStyle w:val="Tabletext"/>
              <w:spacing w:line="276" w:lineRule="auto"/>
              <w:jc w:val="right"/>
              <w:rPr>
                <w:sz w:val="22"/>
                <w:lang w:val="en-AU"/>
              </w:rPr>
            </w:pPr>
            <w:r w:rsidRPr="00D30BFF">
              <w:rPr>
                <w:sz w:val="22"/>
                <w:lang w:val="en-AU"/>
              </w:rPr>
              <w:t>–</w:t>
            </w:r>
          </w:p>
        </w:tc>
      </w:tr>
      <w:tr w:rsidR="00741992" w:rsidRPr="00D30BFF" w14:paraId="562AC2E1" w14:textId="77777777" w:rsidTr="00741992">
        <w:trPr>
          <w:trHeight w:val="113"/>
        </w:trPr>
        <w:tc>
          <w:tcPr>
            <w:tcW w:w="3071" w:type="pct"/>
          </w:tcPr>
          <w:p w14:paraId="1390413B" w14:textId="77777777" w:rsidR="00741992" w:rsidRPr="00D30BFF" w:rsidRDefault="00741992" w:rsidP="007413DF">
            <w:pPr>
              <w:pStyle w:val="Tabletext"/>
              <w:spacing w:line="276" w:lineRule="auto"/>
              <w:rPr>
                <w:sz w:val="22"/>
                <w:lang w:val="en-AU"/>
              </w:rPr>
            </w:pPr>
            <w:r w:rsidRPr="00D30BFF">
              <w:rPr>
                <w:sz w:val="22"/>
                <w:lang w:val="en-AU"/>
              </w:rPr>
              <w:t>Victorian led domestic and stock feasibility projects</w:t>
            </w:r>
          </w:p>
        </w:tc>
        <w:tc>
          <w:tcPr>
            <w:tcW w:w="482" w:type="pct"/>
            <w:vAlign w:val="center"/>
          </w:tcPr>
          <w:p w14:paraId="202337F2" w14:textId="77777777" w:rsidR="00741992" w:rsidRPr="00D30BFF" w:rsidRDefault="00741992" w:rsidP="007413DF">
            <w:pPr>
              <w:pStyle w:val="Tabletext"/>
              <w:spacing w:line="276" w:lineRule="auto"/>
              <w:jc w:val="right"/>
              <w:rPr>
                <w:sz w:val="22"/>
                <w:lang w:val="en-AU"/>
              </w:rPr>
            </w:pPr>
            <w:r w:rsidRPr="00D30BFF">
              <w:rPr>
                <w:sz w:val="22"/>
                <w:lang w:val="en-AU"/>
              </w:rPr>
              <w:t>0.3</w:t>
            </w:r>
          </w:p>
        </w:tc>
        <w:tc>
          <w:tcPr>
            <w:tcW w:w="482" w:type="pct"/>
            <w:vAlign w:val="center"/>
          </w:tcPr>
          <w:p w14:paraId="02260BA5" w14:textId="6952C242" w:rsidR="00741992" w:rsidRPr="00D30BFF" w:rsidRDefault="00D72639" w:rsidP="007413DF">
            <w:pPr>
              <w:pStyle w:val="Tabletext"/>
              <w:spacing w:line="276" w:lineRule="auto"/>
              <w:jc w:val="right"/>
              <w:rPr>
                <w:sz w:val="22"/>
                <w:lang w:val="en-AU"/>
              </w:rPr>
            </w:pPr>
            <w:r w:rsidRPr="00D30BFF">
              <w:rPr>
                <w:sz w:val="22"/>
                <w:lang w:val="en-AU"/>
              </w:rPr>
              <w:t>–</w:t>
            </w:r>
          </w:p>
        </w:tc>
        <w:tc>
          <w:tcPr>
            <w:tcW w:w="483" w:type="pct"/>
            <w:vAlign w:val="center"/>
          </w:tcPr>
          <w:p w14:paraId="08996C6C" w14:textId="5D23EDEA" w:rsidR="00741992" w:rsidRPr="00D30BFF" w:rsidRDefault="00D72639" w:rsidP="007413DF">
            <w:pPr>
              <w:pStyle w:val="Tabletext"/>
              <w:spacing w:line="276" w:lineRule="auto"/>
              <w:jc w:val="right"/>
              <w:rPr>
                <w:sz w:val="22"/>
                <w:lang w:val="en-AU"/>
              </w:rPr>
            </w:pPr>
            <w:r w:rsidRPr="00D30BFF">
              <w:rPr>
                <w:sz w:val="22"/>
                <w:lang w:val="en-AU"/>
              </w:rPr>
              <w:t>–</w:t>
            </w:r>
          </w:p>
        </w:tc>
        <w:tc>
          <w:tcPr>
            <w:tcW w:w="482" w:type="pct"/>
            <w:vAlign w:val="center"/>
          </w:tcPr>
          <w:p w14:paraId="00E1168D" w14:textId="134004D8" w:rsidR="00741992" w:rsidRPr="00D30BFF" w:rsidRDefault="00D72639" w:rsidP="007413DF">
            <w:pPr>
              <w:pStyle w:val="Tabletext"/>
              <w:spacing w:line="276" w:lineRule="auto"/>
              <w:jc w:val="right"/>
              <w:rPr>
                <w:sz w:val="22"/>
                <w:lang w:val="en-AU"/>
              </w:rPr>
            </w:pPr>
            <w:r w:rsidRPr="00D30BFF">
              <w:rPr>
                <w:sz w:val="22"/>
                <w:lang w:val="en-AU"/>
              </w:rPr>
              <w:t>–</w:t>
            </w:r>
          </w:p>
        </w:tc>
      </w:tr>
      <w:tr w:rsidR="00741992" w:rsidRPr="00D30BFF" w14:paraId="11A9F0F6" w14:textId="77777777" w:rsidTr="00D72639">
        <w:trPr>
          <w:trHeight w:val="444"/>
        </w:trPr>
        <w:tc>
          <w:tcPr>
            <w:tcW w:w="3071" w:type="pct"/>
            <w:shd w:val="clear" w:color="auto" w:fill="F2F2F2" w:themeFill="background1" w:themeFillShade="F2"/>
          </w:tcPr>
          <w:p w14:paraId="41830E01" w14:textId="77777777" w:rsidR="00741992" w:rsidRPr="00D30BFF" w:rsidRDefault="00741992" w:rsidP="007413DF">
            <w:pPr>
              <w:pStyle w:val="Tabletext"/>
              <w:spacing w:line="276" w:lineRule="auto"/>
              <w:rPr>
                <w:b/>
                <w:bCs/>
                <w:sz w:val="22"/>
                <w:lang w:val="en-AU"/>
              </w:rPr>
            </w:pPr>
            <w:r w:rsidRPr="00D30BFF">
              <w:rPr>
                <w:b/>
                <w:bCs/>
                <w:sz w:val="22"/>
                <w:lang w:val="en-AU"/>
              </w:rPr>
              <w:lastRenderedPageBreak/>
              <w:t>Energy</w:t>
            </w:r>
          </w:p>
        </w:tc>
        <w:tc>
          <w:tcPr>
            <w:tcW w:w="482" w:type="pct"/>
            <w:shd w:val="clear" w:color="auto" w:fill="F2F2F2" w:themeFill="background1" w:themeFillShade="F2"/>
            <w:vAlign w:val="center"/>
          </w:tcPr>
          <w:p w14:paraId="5BBD19B9" w14:textId="77777777" w:rsidR="00741992" w:rsidRPr="00D30BFF" w:rsidRDefault="00741992" w:rsidP="007413DF">
            <w:pPr>
              <w:pStyle w:val="Tabletext"/>
              <w:spacing w:line="276" w:lineRule="auto"/>
              <w:jc w:val="right"/>
              <w:rPr>
                <w:sz w:val="22"/>
                <w:lang w:val="en-AU"/>
              </w:rPr>
            </w:pPr>
          </w:p>
        </w:tc>
        <w:tc>
          <w:tcPr>
            <w:tcW w:w="482" w:type="pct"/>
            <w:shd w:val="clear" w:color="auto" w:fill="F2F2F2" w:themeFill="background1" w:themeFillShade="F2"/>
            <w:vAlign w:val="center"/>
          </w:tcPr>
          <w:p w14:paraId="0090B47D" w14:textId="77777777" w:rsidR="00741992" w:rsidRPr="00D30BFF" w:rsidRDefault="00741992" w:rsidP="007413DF">
            <w:pPr>
              <w:pStyle w:val="Tabletext"/>
              <w:spacing w:line="276" w:lineRule="auto"/>
              <w:jc w:val="right"/>
              <w:rPr>
                <w:sz w:val="22"/>
                <w:lang w:val="en-AU"/>
              </w:rPr>
            </w:pPr>
            <w:r w:rsidRPr="00D30BFF">
              <w:rPr>
                <w:sz w:val="22"/>
                <w:lang w:val="en-AU"/>
              </w:rPr>
              <w:t> </w:t>
            </w:r>
          </w:p>
        </w:tc>
        <w:tc>
          <w:tcPr>
            <w:tcW w:w="483" w:type="pct"/>
            <w:shd w:val="clear" w:color="auto" w:fill="F2F2F2" w:themeFill="background1" w:themeFillShade="F2"/>
            <w:vAlign w:val="center"/>
          </w:tcPr>
          <w:p w14:paraId="4A68D090" w14:textId="77777777" w:rsidR="00741992" w:rsidRPr="00D30BFF" w:rsidRDefault="00741992" w:rsidP="007413DF">
            <w:pPr>
              <w:pStyle w:val="Tabletext"/>
              <w:spacing w:line="276" w:lineRule="auto"/>
              <w:jc w:val="right"/>
              <w:rPr>
                <w:sz w:val="22"/>
                <w:lang w:val="en-AU"/>
              </w:rPr>
            </w:pPr>
            <w:r w:rsidRPr="00D30BFF">
              <w:rPr>
                <w:sz w:val="22"/>
                <w:lang w:val="en-AU"/>
              </w:rPr>
              <w:t> </w:t>
            </w:r>
          </w:p>
        </w:tc>
        <w:tc>
          <w:tcPr>
            <w:tcW w:w="482" w:type="pct"/>
            <w:shd w:val="clear" w:color="auto" w:fill="F2F2F2" w:themeFill="background1" w:themeFillShade="F2"/>
            <w:vAlign w:val="center"/>
          </w:tcPr>
          <w:p w14:paraId="32160426" w14:textId="77777777" w:rsidR="00741992" w:rsidRPr="00D30BFF" w:rsidRDefault="00741992" w:rsidP="007413DF">
            <w:pPr>
              <w:pStyle w:val="Tabletext"/>
              <w:spacing w:line="276" w:lineRule="auto"/>
              <w:jc w:val="right"/>
              <w:rPr>
                <w:sz w:val="22"/>
                <w:lang w:val="en-AU"/>
              </w:rPr>
            </w:pPr>
            <w:r w:rsidRPr="00D30BFF">
              <w:rPr>
                <w:sz w:val="22"/>
                <w:lang w:val="en-AU"/>
              </w:rPr>
              <w:t> </w:t>
            </w:r>
          </w:p>
        </w:tc>
      </w:tr>
      <w:tr w:rsidR="00741992" w:rsidRPr="00D30BFF" w14:paraId="15F8F117" w14:textId="77777777" w:rsidTr="00D72639">
        <w:trPr>
          <w:trHeight w:val="444"/>
        </w:trPr>
        <w:tc>
          <w:tcPr>
            <w:tcW w:w="3071" w:type="pct"/>
          </w:tcPr>
          <w:p w14:paraId="3F8DC7F6" w14:textId="77777777" w:rsidR="00741992" w:rsidRPr="00D30BFF" w:rsidRDefault="00741992" w:rsidP="007413DF">
            <w:pPr>
              <w:pStyle w:val="Tabletext"/>
              <w:spacing w:line="276" w:lineRule="auto"/>
              <w:rPr>
                <w:sz w:val="22"/>
                <w:lang w:val="en-AU"/>
              </w:rPr>
            </w:pPr>
            <w:r w:rsidRPr="00D30BFF">
              <w:rPr>
                <w:sz w:val="22"/>
                <w:lang w:val="en-AU"/>
              </w:rPr>
              <w:t>Continuing to meet Victoria’s Marinus Link shareholder responsibilities</w:t>
            </w:r>
          </w:p>
        </w:tc>
        <w:tc>
          <w:tcPr>
            <w:tcW w:w="482" w:type="pct"/>
            <w:vAlign w:val="center"/>
          </w:tcPr>
          <w:p w14:paraId="3D3D03DB" w14:textId="77777777" w:rsidR="00741992" w:rsidRPr="00D30BFF" w:rsidRDefault="00741992" w:rsidP="007413DF">
            <w:pPr>
              <w:pStyle w:val="Tabletext"/>
              <w:spacing w:line="276" w:lineRule="auto"/>
              <w:jc w:val="right"/>
              <w:rPr>
                <w:sz w:val="22"/>
                <w:lang w:val="en-AU"/>
              </w:rPr>
            </w:pPr>
            <w:r w:rsidRPr="00D30BFF">
              <w:rPr>
                <w:sz w:val="22"/>
                <w:lang w:val="en-AU"/>
              </w:rPr>
              <w:t>2.5</w:t>
            </w:r>
          </w:p>
        </w:tc>
        <w:tc>
          <w:tcPr>
            <w:tcW w:w="482" w:type="pct"/>
            <w:vAlign w:val="center"/>
          </w:tcPr>
          <w:p w14:paraId="68C9BA14" w14:textId="0619D46D" w:rsidR="00741992" w:rsidRPr="00D30BFF" w:rsidRDefault="00D72639" w:rsidP="007413DF">
            <w:pPr>
              <w:pStyle w:val="Tabletext"/>
              <w:spacing w:line="276" w:lineRule="auto"/>
              <w:jc w:val="right"/>
              <w:rPr>
                <w:sz w:val="22"/>
                <w:lang w:val="en-AU"/>
              </w:rPr>
            </w:pPr>
            <w:r w:rsidRPr="00D30BFF">
              <w:rPr>
                <w:sz w:val="22"/>
                <w:lang w:val="en-AU"/>
              </w:rPr>
              <w:t>–</w:t>
            </w:r>
          </w:p>
        </w:tc>
        <w:tc>
          <w:tcPr>
            <w:tcW w:w="483" w:type="pct"/>
            <w:vAlign w:val="center"/>
          </w:tcPr>
          <w:p w14:paraId="1DF48316" w14:textId="4E8363A1" w:rsidR="00741992" w:rsidRPr="00D30BFF" w:rsidRDefault="00D72639" w:rsidP="007413DF">
            <w:pPr>
              <w:pStyle w:val="Tabletext"/>
              <w:spacing w:line="276" w:lineRule="auto"/>
              <w:jc w:val="right"/>
              <w:rPr>
                <w:sz w:val="22"/>
                <w:lang w:val="en-AU"/>
              </w:rPr>
            </w:pPr>
            <w:r w:rsidRPr="00D30BFF">
              <w:rPr>
                <w:sz w:val="22"/>
                <w:lang w:val="en-AU"/>
              </w:rPr>
              <w:t>–</w:t>
            </w:r>
          </w:p>
        </w:tc>
        <w:tc>
          <w:tcPr>
            <w:tcW w:w="482" w:type="pct"/>
            <w:vAlign w:val="center"/>
          </w:tcPr>
          <w:p w14:paraId="48559319" w14:textId="7981B70D" w:rsidR="00741992" w:rsidRPr="00D30BFF" w:rsidRDefault="00D72639" w:rsidP="007413DF">
            <w:pPr>
              <w:pStyle w:val="Tabletext"/>
              <w:spacing w:line="276" w:lineRule="auto"/>
              <w:jc w:val="right"/>
              <w:rPr>
                <w:sz w:val="22"/>
                <w:lang w:val="en-AU"/>
              </w:rPr>
            </w:pPr>
            <w:r w:rsidRPr="00D30BFF">
              <w:rPr>
                <w:sz w:val="22"/>
                <w:lang w:val="en-AU"/>
              </w:rPr>
              <w:t>–</w:t>
            </w:r>
          </w:p>
        </w:tc>
      </w:tr>
      <w:tr w:rsidR="00741992" w:rsidRPr="00D30BFF" w14:paraId="74A327B5" w14:textId="77777777" w:rsidTr="00D72639">
        <w:trPr>
          <w:trHeight w:val="444"/>
        </w:trPr>
        <w:tc>
          <w:tcPr>
            <w:tcW w:w="3071" w:type="pct"/>
          </w:tcPr>
          <w:p w14:paraId="0A45AC04" w14:textId="77777777" w:rsidR="00741992" w:rsidRPr="00D30BFF" w:rsidRDefault="00741992" w:rsidP="007413DF">
            <w:pPr>
              <w:pStyle w:val="Tabletext"/>
              <w:spacing w:line="276" w:lineRule="auto"/>
              <w:rPr>
                <w:sz w:val="22"/>
                <w:lang w:val="en-AU"/>
              </w:rPr>
            </w:pPr>
            <w:r w:rsidRPr="00D30BFF">
              <w:rPr>
                <w:sz w:val="22"/>
                <w:lang w:val="en-AU"/>
              </w:rPr>
              <w:t>Enhancing core energy functions</w:t>
            </w:r>
          </w:p>
        </w:tc>
        <w:tc>
          <w:tcPr>
            <w:tcW w:w="482" w:type="pct"/>
            <w:vAlign w:val="center"/>
          </w:tcPr>
          <w:p w14:paraId="2DE4D2D2" w14:textId="77777777" w:rsidR="00741992" w:rsidRPr="00D30BFF" w:rsidRDefault="00741992" w:rsidP="007413DF">
            <w:pPr>
              <w:pStyle w:val="Tabletext"/>
              <w:spacing w:line="276" w:lineRule="auto"/>
              <w:jc w:val="right"/>
              <w:rPr>
                <w:sz w:val="22"/>
                <w:lang w:val="en-AU"/>
              </w:rPr>
            </w:pPr>
            <w:r w:rsidRPr="00D30BFF">
              <w:rPr>
                <w:sz w:val="22"/>
                <w:lang w:val="en-AU"/>
              </w:rPr>
              <w:t>34.4</w:t>
            </w:r>
          </w:p>
        </w:tc>
        <w:tc>
          <w:tcPr>
            <w:tcW w:w="482" w:type="pct"/>
            <w:vAlign w:val="center"/>
          </w:tcPr>
          <w:p w14:paraId="3E789310" w14:textId="77777777" w:rsidR="00741992" w:rsidRPr="00D30BFF" w:rsidRDefault="00741992" w:rsidP="007413DF">
            <w:pPr>
              <w:pStyle w:val="Tabletext"/>
              <w:spacing w:line="276" w:lineRule="auto"/>
              <w:jc w:val="right"/>
              <w:rPr>
                <w:sz w:val="22"/>
                <w:lang w:val="en-AU"/>
              </w:rPr>
            </w:pPr>
            <w:r w:rsidRPr="00D30BFF">
              <w:rPr>
                <w:sz w:val="22"/>
                <w:lang w:val="en-AU"/>
              </w:rPr>
              <w:t>32.3</w:t>
            </w:r>
          </w:p>
        </w:tc>
        <w:tc>
          <w:tcPr>
            <w:tcW w:w="483" w:type="pct"/>
            <w:vAlign w:val="center"/>
          </w:tcPr>
          <w:p w14:paraId="32AE9F4F" w14:textId="77777777" w:rsidR="00741992" w:rsidRPr="00D30BFF" w:rsidRDefault="00741992" w:rsidP="007413DF">
            <w:pPr>
              <w:pStyle w:val="Tabletext"/>
              <w:spacing w:line="276" w:lineRule="auto"/>
              <w:jc w:val="right"/>
              <w:rPr>
                <w:sz w:val="22"/>
                <w:lang w:val="en-AU"/>
              </w:rPr>
            </w:pPr>
            <w:r w:rsidRPr="00D30BFF">
              <w:rPr>
                <w:sz w:val="22"/>
                <w:lang w:val="en-AU"/>
              </w:rPr>
              <w:t>36.5</w:t>
            </w:r>
          </w:p>
        </w:tc>
        <w:tc>
          <w:tcPr>
            <w:tcW w:w="482" w:type="pct"/>
            <w:vAlign w:val="center"/>
          </w:tcPr>
          <w:p w14:paraId="70227303" w14:textId="77777777" w:rsidR="00741992" w:rsidRPr="00D30BFF" w:rsidRDefault="00741992" w:rsidP="007413DF">
            <w:pPr>
              <w:pStyle w:val="Tabletext"/>
              <w:spacing w:line="276" w:lineRule="auto"/>
              <w:jc w:val="right"/>
              <w:rPr>
                <w:sz w:val="22"/>
                <w:lang w:val="en-AU"/>
              </w:rPr>
            </w:pPr>
            <w:r w:rsidRPr="00D30BFF">
              <w:rPr>
                <w:sz w:val="22"/>
                <w:lang w:val="en-AU"/>
              </w:rPr>
              <w:t>38.8</w:t>
            </w:r>
          </w:p>
        </w:tc>
      </w:tr>
      <w:tr w:rsidR="00741992" w:rsidRPr="00D30BFF" w14:paraId="4F077D6A" w14:textId="77777777" w:rsidTr="00D72639">
        <w:trPr>
          <w:trHeight w:val="444"/>
        </w:trPr>
        <w:tc>
          <w:tcPr>
            <w:tcW w:w="3071" w:type="pct"/>
          </w:tcPr>
          <w:p w14:paraId="32374111" w14:textId="77777777" w:rsidR="00741992" w:rsidRPr="00D30BFF" w:rsidRDefault="00741992" w:rsidP="007413DF">
            <w:pPr>
              <w:pStyle w:val="Tabletext"/>
              <w:spacing w:line="276" w:lineRule="auto"/>
              <w:rPr>
                <w:sz w:val="22"/>
                <w:lang w:val="en-AU"/>
              </w:rPr>
            </w:pPr>
            <w:r w:rsidRPr="00D30BFF">
              <w:rPr>
                <w:sz w:val="22"/>
                <w:lang w:val="en-AU"/>
              </w:rPr>
              <w:t>Industrial Renewable Gas Guarantee</w:t>
            </w:r>
          </w:p>
        </w:tc>
        <w:tc>
          <w:tcPr>
            <w:tcW w:w="482" w:type="pct"/>
            <w:vAlign w:val="center"/>
          </w:tcPr>
          <w:p w14:paraId="0CC7FBD3" w14:textId="77777777" w:rsidR="00741992" w:rsidRPr="00D30BFF" w:rsidRDefault="00741992" w:rsidP="007413DF">
            <w:pPr>
              <w:pStyle w:val="Tabletext"/>
              <w:spacing w:line="276" w:lineRule="auto"/>
              <w:jc w:val="right"/>
              <w:rPr>
                <w:sz w:val="22"/>
                <w:lang w:val="en-AU"/>
              </w:rPr>
            </w:pPr>
            <w:r w:rsidRPr="00D30BFF">
              <w:rPr>
                <w:sz w:val="22"/>
                <w:lang w:val="en-AU"/>
              </w:rPr>
              <w:t>1.5</w:t>
            </w:r>
          </w:p>
        </w:tc>
        <w:tc>
          <w:tcPr>
            <w:tcW w:w="482" w:type="pct"/>
            <w:vAlign w:val="center"/>
          </w:tcPr>
          <w:p w14:paraId="6F148E8A" w14:textId="77777777" w:rsidR="00741992" w:rsidRPr="00D30BFF" w:rsidRDefault="00741992" w:rsidP="007413DF">
            <w:pPr>
              <w:pStyle w:val="Tabletext"/>
              <w:spacing w:line="276" w:lineRule="auto"/>
              <w:jc w:val="right"/>
              <w:rPr>
                <w:sz w:val="22"/>
                <w:lang w:val="en-AU"/>
              </w:rPr>
            </w:pPr>
            <w:r w:rsidRPr="00D30BFF">
              <w:rPr>
                <w:sz w:val="22"/>
                <w:lang w:val="en-AU"/>
              </w:rPr>
              <w:t>0.8</w:t>
            </w:r>
          </w:p>
        </w:tc>
        <w:tc>
          <w:tcPr>
            <w:tcW w:w="483" w:type="pct"/>
            <w:vAlign w:val="center"/>
          </w:tcPr>
          <w:p w14:paraId="02AD2984" w14:textId="5B41917C" w:rsidR="00741992" w:rsidRPr="00D30BFF" w:rsidRDefault="00D72639" w:rsidP="007413DF">
            <w:pPr>
              <w:pStyle w:val="Tabletext"/>
              <w:spacing w:line="276" w:lineRule="auto"/>
              <w:jc w:val="right"/>
              <w:rPr>
                <w:sz w:val="22"/>
                <w:lang w:val="en-AU"/>
              </w:rPr>
            </w:pPr>
            <w:r w:rsidRPr="00D30BFF">
              <w:rPr>
                <w:sz w:val="22"/>
                <w:lang w:val="en-AU"/>
              </w:rPr>
              <w:t>–</w:t>
            </w:r>
          </w:p>
        </w:tc>
        <w:tc>
          <w:tcPr>
            <w:tcW w:w="482" w:type="pct"/>
            <w:vAlign w:val="center"/>
          </w:tcPr>
          <w:p w14:paraId="481E574A" w14:textId="5EDD035B" w:rsidR="00741992" w:rsidRPr="00D30BFF" w:rsidRDefault="00D72639" w:rsidP="007413DF">
            <w:pPr>
              <w:pStyle w:val="Tabletext"/>
              <w:spacing w:line="276" w:lineRule="auto"/>
              <w:jc w:val="right"/>
              <w:rPr>
                <w:sz w:val="22"/>
                <w:lang w:val="en-AU"/>
              </w:rPr>
            </w:pPr>
            <w:r w:rsidRPr="00D30BFF">
              <w:rPr>
                <w:sz w:val="22"/>
                <w:lang w:val="en-AU"/>
              </w:rPr>
              <w:t>–</w:t>
            </w:r>
          </w:p>
        </w:tc>
      </w:tr>
      <w:tr w:rsidR="00741992" w:rsidRPr="00D30BFF" w14:paraId="09A62C4B" w14:textId="77777777" w:rsidTr="00D72639">
        <w:trPr>
          <w:trHeight w:val="444"/>
        </w:trPr>
        <w:tc>
          <w:tcPr>
            <w:tcW w:w="3071" w:type="pct"/>
          </w:tcPr>
          <w:p w14:paraId="6D631995" w14:textId="77777777" w:rsidR="00741992" w:rsidRPr="00D30BFF" w:rsidRDefault="00741992" w:rsidP="007413DF">
            <w:pPr>
              <w:pStyle w:val="Tabletext"/>
              <w:spacing w:line="276" w:lineRule="auto"/>
              <w:rPr>
                <w:sz w:val="22"/>
                <w:lang w:val="en-AU"/>
              </w:rPr>
            </w:pPr>
            <w:r w:rsidRPr="00D30BFF">
              <w:rPr>
                <w:sz w:val="22"/>
                <w:lang w:val="en-AU"/>
              </w:rPr>
              <w:t>Offshore Wind Program</w:t>
            </w:r>
          </w:p>
        </w:tc>
        <w:tc>
          <w:tcPr>
            <w:tcW w:w="482" w:type="pct"/>
            <w:vAlign w:val="center"/>
          </w:tcPr>
          <w:p w14:paraId="0DD94D50" w14:textId="77777777" w:rsidR="00741992" w:rsidRPr="00D30BFF" w:rsidRDefault="00741992" w:rsidP="007413DF">
            <w:pPr>
              <w:pStyle w:val="Tabletext"/>
              <w:spacing w:line="276" w:lineRule="auto"/>
              <w:jc w:val="right"/>
              <w:rPr>
                <w:sz w:val="22"/>
                <w:lang w:val="en-AU"/>
              </w:rPr>
            </w:pPr>
            <w:r w:rsidRPr="00D30BFF">
              <w:rPr>
                <w:sz w:val="22"/>
                <w:lang w:val="en-AU"/>
              </w:rPr>
              <w:t>10.0</w:t>
            </w:r>
          </w:p>
        </w:tc>
        <w:tc>
          <w:tcPr>
            <w:tcW w:w="482" w:type="pct"/>
            <w:vAlign w:val="center"/>
          </w:tcPr>
          <w:p w14:paraId="6477A3FE" w14:textId="48789342" w:rsidR="00741992" w:rsidRPr="00D30BFF" w:rsidRDefault="00D72639" w:rsidP="007413DF">
            <w:pPr>
              <w:pStyle w:val="Tabletext"/>
              <w:spacing w:line="276" w:lineRule="auto"/>
              <w:jc w:val="right"/>
              <w:rPr>
                <w:sz w:val="22"/>
                <w:lang w:val="en-AU"/>
              </w:rPr>
            </w:pPr>
            <w:r w:rsidRPr="00D30BFF">
              <w:rPr>
                <w:sz w:val="22"/>
                <w:lang w:val="en-AU"/>
              </w:rPr>
              <w:t>–</w:t>
            </w:r>
          </w:p>
        </w:tc>
        <w:tc>
          <w:tcPr>
            <w:tcW w:w="483" w:type="pct"/>
            <w:vAlign w:val="center"/>
          </w:tcPr>
          <w:p w14:paraId="5CDB2E60" w14:textId="6A41FC82" w:rsidR="00741992" w:rsidRPr="00D30BFF" w:rsidRDefault="00D72639" w:rsidP="007413DF">
            <w:pPr>
              <w:pStyle w:val="Tabletext"/>
              <w:spacing w:line="276" w:lineRule="auto"/>
              <w:jc w:val="right"/>
              <w:rPr>
                <w:sz w:val="22"/>
                <w:lang w:val="en-AU"/>
              </w:rPr>
            </w:pPr>
            <w:r w:rsidRPr="00D30BFF">
              <w:rPr>
                <w:sz w:val="22"/>
                <w:lang w:val="en-AU"/>
              </w:rPr>
              <w:t>–</w:t>
            </w:r>
          </w:p>
        </w:tc>
        <w:tc>
          <w:tcPr>
            <w:tcW w:w="482" w:type="pct"/>
            <w:vAlign w:val="center"/>
          </w:tcPr>
          <w:p w14:paraId="5F8EF051" w14:textId="716E53F9" w:rsidR="00741992" w:rsidRPr="00D30BFF" w:rsidRDefault="00D72639" w:rsidP="007413DF">
            <w:pPr>
              <w:pStyle w:val="Tabletext"/>
              <w:spacing w:line="276" w:lineRule="auto"/>
              <w:jc w:val="right"/>
              <w:rPr>
                <w:sz w:val="22"/>
                <w:lang w:val="en-AU"/>
              </w:rPr>
            </w:pPr>
            <w:r w:rsidRPr="00D30BFF">
              <w:rPr>
                <w:sz w:val="22"/>
                <w:lang w:val="en-AU"/>
              </w:rPr>
              <w:t>–</w:t>
            </w:r>
          </w:p>
        </w:tc>
      </w:tr>
      <w:tr w:rsidR="00741992" w:rsidRPr="00D30BFF" w14:paraId="161AF1E2" w14:textId="77777777" w:rsidTr="00D72639">
        <w:trPr>
          <w:trHeight w:val="444"/>
        </w:trPr>
        <w:tc>
          <w:tcPr>
            <w:tcW w:w="3071" w:type="pct"/>
          </w:tcPr>
          <w:p w14:paraId="46FDFD0E" w14:textId="77777777" w:rsidR="00741992" w:rsidRPr="00D30BFF" w:rsidRDefault="00741992" w:rsidP="007413DF">
            <w:pPr>
              <w:pStyle w:val="Tabletext"/>
              <w:spacing w:line="276" w:lineRule="auto"/>
              <w:rPr>
                <w:sz w:val="22"/>
                <w:lang w:val="en-AU"/>
              </w:rPr>
            </w:pPr>
            <w:r w:rsidRPr="00D30BFF">
              <w:rPr>
                <w:sz w:val="22"/>
                <w:lang w:val="en-AU"/>
              </w:rPr>
              <w:t>Power Saving Bonus for vulnerable consumers</w:t>
            </w:r>
          </w:p>
        </w:tc>
        <w:tc>
          <w:tcPr>
            <w:tcW w:w="482" w:type="pct"/>
            <w:vAlign w:val="center"/>
          </w:tcPr>
          <w:p w14:paraId="18E1EAB0" w14:textId="77777777" w:rsidR="00741992" w:rsidRPr="00D30BFF" w:rsidRDefault="00741992" w:rsidP="007413DF">
            <w:pPr>
              <w:pStyle w:val="Tabletext"/>
              <w:spacing w:line="276" w:lineRule="auto"/>
              <w:jc w:val="right"/>
              <w:rPr>
                <w:sz w:val="22"/>
                <w:lang w:val="en-AU"/>
              </w:rPr>
            </w:pPr>
            <w:r w:rsidRPr="00D30BFF">
              <w:rPr>
                <w:sz w:val="22"/>
                <w:lang w:val="en-AU"/>
              </w:rPr>
              <w:t>50.6</w:t>
            </w:r>
          </w:p>
        </w:tc>
        <w:tc>
          <w:tcPr>
            <w:tcW w:w="482" w:type="pct"/>
            <w:vAlign w:val="center"/>
          </w:tcPr>
          <w:p w14:paraId="2DF52B4B" w14:textId="64E5A383" w:rsidR="00741992" w:rsidRPr="00D30BFF" w:rsidRDefault="00D72639" w:rsidP="007413DF">
            <w:pPr>
              <w:pStyle w:val="Tabletext"/>
              <w:spacing w:line="276" w:lineRule="auto"/>
              <w:jc w:val="right"/>
              <w:rPr>
                <w:sz w:val="22"/>
                <w:lang w:val="en-AU"/>
              </w:rPr>
            </w:pPr>
            <w:r w:rsidRPr="00D30BFF">
              <w:rPr>
                <w:sz w:val="22"/>
                <w:lang w:val="en-AU"/>
              </w:rPr>
              <w:t>–</w:t>
            </w:r>
          </w:p>
        </w:tc>
        <w:tc>
          <w:tcPr>
            <w:tcW w:w="483" w:type="pct"/>
            <w:vAlign w:val="center"/>
          </w:tcPr>
          <w:p w14:paraId="318AAF6B" w14:textId="277F4FBF" w:rsidR="00741992" w:rsidRPr="00D30BFF" w:rsidRDefault="00D72639" w:rsidP="007413DF">
            <w:pPr>
              <w:pStyle w:val="Tabletext"/>
              <w:spacing w:line="276" w:lineRule="auto"/>
              <w:jc w:val="right"/>
              <w:rPr>
                <w:sz w:val="22"/>
                <w:lang w:val="en-AU"/>
              </w:rPr>
            </w:pPr>
            <w:r w:rsidRPr="00D30BFF">
              <w:rPr>
                <w:sz w:val="22"/>
                <w:lang w:val="en-AU"/>
              </w:rPr>
              <w:t>–</w:t>
            </w:r>
          </w:p>
        </w:tc>
        <w:tc>
          <w:tcPr>
            <w:tcW w:w="482" w:type="pct"/>
            <w:vAlign w:val="center"/>
          </w:tcPr>
          <w:p w14:paraId="3078672D" w14:textId="0F25C41F" w:rsidR="00741992" w:rsidRPr="00D30BFF" w:rsidRDefault="00D72639" w:rsidP="007413DF">
            <w:pPr>
              <w:pStyle w:val="Tabletext"/>
              <w:spacing w:line="276" w:lineRule="auto"/>
              <w:jc w:val="right"/>
              <w:rPr>
                <w:sz w:val="22"/>
                <w:lang w:val="en-AU"/>
              </w:rPr>
            </w:pPr>
            <w:r w:rsidRPr="00D30BFF">
              <w:rPr>
                <w:sz w:val="22"/>
                <w:lang w:val="en-AU"/>
              </w:rPr>
              <w:t>–</w:t>
            </w:r>
          </w:p>
        </w:tc>
      </w:tr>
      <w:tr w:rsidR="00741992" w:rsidRPr="00D30BFF" w14:paraId="0D8A5E26" w14:textId="77777777" w:rsidTr="00D72639">
        <w:trPr>
          <w:trHeight w:val="444"/>
        </w:trPr>
        <w:tc>
          <w:tcPr>
            <w:tcW w:w="3071" w:type="pct"/>
          </w:tcPr>
          <w:p w14:paraId="22BE17FC" w14:textId="77777777" w:rsidR="00741992" w:rsidRPr="00D30BFF" w:rsidRDefault="00741992" w:rsidP="007413DF">
            <w:pPr>
              <w:pStyle w:val="Tabletext"/>
              <w:spacing w:line="276" w:lineRule="auto"/>
              <w:rPr>
                <w:sz w:val="22"/>
                <w:lang w:val="en-AU"/>
              </w:rPr>
            </w:pPr>
            <w:r w:rsidRPr="00D30BFF">
              <w:rPr>
                <w:sz w:val="22"/>
                <w:lang w:val="en-AU"/>
              </w:rPr>
              <w:t>Victorian Energy Upgrades Program – Insulation upgrades</w:t>
            </w:r>
          </w:p>
        </w:tc>
        <w:tc>
          <w:tcPr>
            <w:tcW w:w="482" w:type="pct"/>
            <w:vAlign w:val="center"/>
          </w:tcPr>
          <w:p w14:paraId="71AAF0D1" w14:textId="77777777" w:rsidR="00741992" w:rsidRPr="00D30BFF" w:rsidRDefault="00741992" w:rsidP="007413DF">
            <w:pPr>
              <w:pStyle w:val="Tabletext"/>
              <w:spacing w:line="276" w:lineRule="auto"/>
              <w:jc w:val="right"/>
              <w:rPr>
                <w:sz w:val="22"/>
                <w:lang w:val="en-AU"/>
              </w:rPr>
            </w:pPr>
            <w:r w:rsidRPr="00D30BFF">
              <w:rPr>
                <w:sz w:val="22"/>
                <w:lang w:val="en-AU"/>
              </w:rPr>
              <w:t>4.6</w:t>
            </w:r>
          </w:p>
        </w:tc>
        <w:tc>
          <w:tcPr>
            <w:tcW w:w="482" w:type="pct"/>
            <w:vAlign w:val="center"/>
          </w:tcPr>
          <w:p w14:paraId="45E56CB3" w14:textId="77777777" w:rsidR="00741992" w:rsidRPr="00D30BFF" w:rsidRDefault="00741992" w:rsidP="007413DF">
            <w:pPr>
              <w:pStyle w:val="Tabletext"/>
              <w:spacing w:line="276" w:lineRule="auto"/>
              <w:jc w:val="right"/>
              <w:rPr>
                <w:sz w:val="22"/>
                <w:lang w:val="en-AU"/>
              </w:rPr>
            </w:pPr>
            <w:r w:rsidRPr="00D30BFF">
              <w:rPr>
                <w:sz w:val="22"/>
                <w:lang w:val="en-AU"/>
              </w:rPr>
              <w:t>4.6</w:t>
            </w:r>
          </w:p>
        </w:tc>
        <w:tc>
          <w:tcPr>
            <w:tcW w:w="483" w:type="pct"/>
            <w:vAlign w:val="center"/>
          </w:tcPr>
          <w:p w14:paraId="0D87E2BA" w14:textId="77777777" w:rsidR="00741992" w:rsidRPr="00D30BFF" w:rsidRDefault="00741992" w:rsidP="007413DF">
            <w:pPr>
              <w:pStyle w:val="Tabletext"/>
              <w:spacing w:line="276" w:lineRule="auto"/>
              <w:jc w:val="right"/>
              <w:rPr>
                <w:sz w:val="22"/>
                <w:lang w:val="en-AU"/>
              </w:rPr>
            </w:pPr>
            <w:r w:rsidRPr="00D30BFF">
              <w:rPr>
                <w:sz w:val="22"/>
                <w:lang w:val="en-AU"/>
              </w:rPr>
              <w:t>1.0</w:t>
            </w:r>
          </w:p>
        </w:tc>
        <w:tc>
          <w:tcPr>
            <w:tcW w:w="482" w:type="pct"/>
            <w:vAlign w:val="center"/>
          </w:tcPr>
          <w:p w14:paraId="3111A8ED" w14:textId="0611DE23" w:rsidR="00741992" w:rsidRPr="00D30BFF" w:rsidRDefault="00D72639" w:rsidP="007413DF">
            <w:pPr>
              <w:pStyle w:val="Tabletext"/>
              <w:spacing w:line="276" w:lineRule="auto"/>
              <w:jc w:val="right"/>
              <w:rPr>
                <w:sz w:val="22"/>
                <w:lang w:val="en-AU"/>
              </w:rPr>
            </w:pPr>
            <w:r w:rsidRPr="00D30BFF">
              <w:rPr>
                <w:sz w:val="22"/>
                <w:lang w:val="en-AU"/>
              </w:rPr>
              <w:t>–</w:t>
            </w:r>
          </w:p>
        </w:tc>
      </w:tr>
      <w:tr w:rsidR="00741992" w:rsidRPr="00D30BFF" w14:paraId="266BEC9F" w14:textId="77777777" w:rsidTr="00D72639">
        <w:trPr>
          <w:trHeight w:val="444"/>
        </w:trPr>
        <w:tc>
          <w:tcPr>
            <w:tcW w:w="3071" w:type="pct"/>
            <w:shd w:val="clear" w:color="auto" w:fill="F2F2F2" w:themeFill="background1" w:themeFillShade="F2"/>
          </w:tcPr>
          <w:p w14:paraId="104A8750" w14:textId="77777777" w:rsidR="00741992" w:rsidRPr="00D30BFF" w:rsidRDefault="00741992" w:rsidP="007413DF">
            <w:pPr>
              <w:pStyle w:val="Tabletext"/>
              <w:spacing w:line="276" w:lineRule="auto"/>
              <w:rPr>
                <w:b/>
                <w:bCs/>
                <w:sz w:val="22"/>
                <w:lang w:val="en-AU"/>
              </w:rPr>
            </w:pPr>
            <w:r w:rsidRPr="00D30BFF">
              <w:rPr>
                <w:b/>
                <w:bCs/>
                <w:sz w:val="22"/>
                <w:lang w:val="en-AU"/>
              </w:rPr>
              <w:t>Environment and Biodiversity</w:t>
            </w:r>
          </w:p>
        </w:tc>
        <w:tc>
          <w:tcPr>
            <w:tcW w:w="482" w:type="pct"/>
            <w:shd w:val="clear" w:color="auto" w:fill="F2F2F2" w:themeFill="background1" w:themeFillShade="F2"/>
            <w:vAlign w:val="center"/>
          </w:tcPr>
          <w:p w14:paraId="1635C1AF" w14:textId="77777777" w:rsidR="00741992" w:rsidRPr="00D30BFF" w:rsidRDefault="00741992" w:rsidP="007413DF">
            <w:pPr>
              <w:pStyle w:val="Tabletext"/>
              <w:spacing w:line="276" w:lineRule="auto"/>
              <w:jc w:val="right"/>
              <w:rPr>
                <w:sz w:val="22"/>
                <w:lang w:val="en-AU"/>
              </w:rPr>
            </w:pPr>
            <w:r w:rsidRPr="00D30BFF">
              <w:rPr>
                <w:sz w:val="22"/>
                <w:lang w:val="en-AU"/>
              </w:rPr>
              <w:t> </w:t>
            </w:r>
          </w:p>
        </w:tc>
        <w:tc>
          <w:tcPr>
            <w:tcW w:w="482" w:type="pct"/>
            <w:shd w:val="clear" w:color="auto" w:fill="F2F2F2" w:themeFill="background1" w:themeFillShade="F2"/>
            <w:vAlign w:val="center"/>
          </w:tcPr>
          <w:p w14:paraId="27542434" w14:textId="77777777" w:rsidR="00741992" w:rsidRPr="00D30BFF" w:rsidRDefault="00741992" w:rsidP="007413DF">
            <w:pPr>
              <w:pStyle w:val="Tabletext"/>
              <w:spacing w:line="276" w:lineRule="auto"/>
              <w:jc w:val="right"/>
              <w:rPr>
                <w:sz w:val="22"/>
                <w:lang w:val="en-AU"/>
              </w:rPr>
            </w:pPr>
            <w:r w:rsidRPr="00D30BFF">
              <w:rPr>
                <w:sz w:val="22"/>
                <w:lang w:val="en-AU"/>
              </w:rPr>
              <w:t> </w:t>
            </w:r>
          </w:p>
        </w:tc>
        <w:tc>
          <w:tcPr>
            <w:tcW w:w="483" w:type="pct"/>
            <w:shd w:val="clear" w:color="auto" w:fill="F2F2F2" w:themeFill="background1" w:themeFillShade="F2"/>
            <w:vAlign w:val="center"/>
          </w:tcPr>
          <w:p w14:paraId="61FD9942" w14:textId="77777777" w:rsidR="00741992" w:rsidRPr="00D30BFF" w:rsidRDefault="00741992" w:rsidP="007413DF">
            <w:pPr>
              <w:pStyle w:val="Tabletext"/>
              <w:spacing w:line="276" w:lineRule="auto"/>
              <w:jc w:val="right"/>
              <w:rPr>
                <w:sz w:val="22"/>
                <w:lang w:val="en-AU"/>
              </w:rPr>
            </w:pPr>
            <w:r w:rsidRPr="00D30BFF">
              <w:rPr>
                <w:sz w:val="22"/>
                <w:lang w:val="en-AU"/>
              </w:rPr>
              <w:t> </w:t>
            </w:r>
          </w:p>
        </w:tc>
        <w:tc>
          <w:tcPr>
            <w:tcW w:w="482" w:type="pct"/>
            <w:shd w:val="clear" w:color="auto" w:fill="F2F2F2" w:themeFill="background1" w:themeFillShade="F2"/>
            <w:vAlign w:val="center"/>
          </w:tcPr>
          <w:p w14:paraId="58ED65EC" w14:textId="77777777" w:rsidR="00741992" w:rsidRPr="00D30BFF" w:rsidRDefault="00741992" w:rsidP="007413DF">
            <w:pPr>
              <w:pStyle w:val="Tabletext"/>
              <w:spacing w:line="276" w:lineRule="auto"/>
              <w:jc w:val="right"/>
              <w:rPr>
                <w:sz w:val="22"/>
                <w:lang w:val="en-AU"/>
              </w:rPr>
            </w:pPr>
            <w:r w:rsidRPr="00D30BFF">
              <w:rPr>
                <w:sz w:val="22"/>
                <w:lang w:val="en-AU"/>
              </w:rPr>
              <w:t> </w:t>
            </w:r>
          </w:p>
        </w:tc>
      </w:tr>
      <w:tr w:rsidR="00741992" w:rsidRPr="00D30BFF" w14:paraId="0813B6F2" w14:textId="77777777" w:rsidTr="00D72639">
        <w:trPr>
          <w:trHeight w:val="444"/>
        </w:trPr>
        <w:tc>
          <w:tcPr>
            <w:tcW w:w="3071" w:type="pct"/>
          </w:tcPr>
          <w:p w14:paraId="15615A18" w14:textId="77777777" w:rsidR="00741992" w:rsidRPr="00D30BFF" w:rsidRDefault="00741992" w:rsidP="007413DF">
            <w:pPr>
              <w:pStyle w:val="Tabletext"/>
              <w:spacing w:line="276" w:lineRule="auto"/>
              <w:rPr>
                <w:sz w:val="22"/>
                <w:lang w:val="en-AU"/>
              </w:rPr>
            </w:pPr>
            <w:r w:rsidRPr="00D30BFF">
              <w:rPr>
                <w:sz w:val="22"/>
                <w:lang w:val="en-AU"/>
              </w:rPr>
              <w:t xml:space="preserve">Addressing recovery needs from the </w:t>
            </w:r>
          </w:p>
        </w:tc>
        <w:tc>
          <w:tcPr>
            <w:tcW w:w="482" w:type="pct"/>
            <w:vAlign w:val="center"/>
          </w:tcPr>
          <w:p w14:paraId="52CA0563" w14:textId="77777777" w:rsidR="00741992" w:rsidRPr="00D30BFF" w:rsidRDefault="00741992" w:rsidP="007413DF">
            <w:pPr>
              <w:pStyle w:val="Tabletext"/>
              <w:spacing w:line="276" w:lineRule="auto"/>
              <w:jc w:val="right"/>
              <w:rPr>
                <w:sz w:val="22"/>
                <w:lang w:val="en-AU"/>
              </w:rPr>
            </w:pPr>
            <w:r w:rsidRPr="00D30BFF">
              <w:rPr>
                <w:sz w:val="22"/>
                <w:lang w:val="en-AU"/>
              </w:rPr>
              <w:t>2.0</w:t>
            </w:r>
          </w:p>
        </w:tc>
        <w:tc>
          <w:tcPr>
            <w:tcW w:w="482" w:type="pct"/>
            <w:vAlign w:val="center"/>
          </w:tcPr>
          <w:p w14:paraId="2B3D896C" w14:textId="3260F6BD" w:rsidR="00741992" w:rsidRPr="00D30BFF" w:rsidRDefault="00D72639" w:rsidP="007413DF">
            <w:pPr>
              <w:pStyle w:val="Tabletext"/>
              <w:spacing w:line="276" w:lineRule="auto"/>
              <w:jc w:val="right"/>
              <w:rPr>
                <w:sz w:val="22"/>
                <w:lang w:val="en-AU"/>
              </w:rPr>
            </w:pPr>
            <w:r w:rsidRPr="00D30BFF">
              <w:rPr>
                <w:sz w:val="22"/>
                <w:lang w:val="en-AU"/>
              </w:rPr>
              <w:t>–</w:t>
            </w:r>
          </w:p>
        </w:tc>
        <w:tc>
          <w:tcPr>
            <w:tcW w:w="483" w:type="pct"/>
            <w:vAlign w:val="center"/>
          </w:tcPr>
          <w:p w14:paraId="72CDC1A2" w14:textId="43C95D42" w:rsidR="00741992" w:rsidRPr="00D30BFF" w:rsidRDefault="00D72639" w:rsidP="007413DF">
            <w:pPr>
              <w:pStyle w:val="Tabletext"/>
              <w:spacing w:line="276" w:lineRule="auto"/>
              <w:jc w:val="right"/>
              <w:rPr>
                <w:sz w:val="22"/>
                <w:lang w:val="en-AU"/>
              </w:rPr>
            </w:pPr>
            <w:r w:rsidRPr="00D30BFF">
              <w:rPr>
                <w:sz w:val="22"/>
                <w:lang w:val="en-AU"/>
              </w:rPr>
              <w:t>–</w:t>
            </w:r>
          </w:p>
        </w:tc>
        <w:tc>
          <w:tcPr>
            <w:tcW w:w="482" w:type="pct"/>
            <w:vAlign w:val="center"/>
          </w:tcPr>
          <w:p w14:paraId="5A8A560A" w14:textId="17B5D7CF" w:rsidR="00741992" w:rsidRPr="00D30BFF" w:rsidRDefault="00D72639" w:rsidP="007413DF">
            <w:pPr>
              <w:pStyle w:val="Tabletext"/>
              <w:spacing w:line="276" w:lineRule="auto"/>
              <w:jc w:val="right"/>
              <w:rPr>
                <w:sz w:val="22"/>
                <w:lang w:val="en-AU"/>
              </w:rPr>
            </w:pPr>
            <w:r w:rsidRPr="00D30BFF">
              <w:rPr>
                <w:sz w:val="22"/>
                <w:lang w:val="en-AU"/>
              </w:rPr>
              <w:t>–</w:t>
            </w:r>
          </w:p>
        </w:tc>
      </w:tr>
      <w:tr w:rsidR="00741992" w:rsidRPr="00D30BFF" w14:paraId="5E4A1E07" w14:textId="77777777" w:rsidTr="00D72639">
        <w:trPr>
          <w:trHeight w:val="444"/>
        </w:trPr>
        <w:tc>
          <w:tcPr>
            <w:tcW w:w="3071" w:type="pct"/>
          </w:tcPr>
          <w:p w14:paraId="775E184F" w14:textId="77777777" w:rsidR="00741992" w:rsidRPr="00D30BFF" w:rsidRDefault="00741992" w:rsidP="007413DF">
            <w:pPr>
              <w:pStyle w:val="Tabletext"/>
              <w:spacing w:line="276" w:lineRule="auto"/>
              <w:rPr>
                <w:sz w:val="22"/>
                <w:lang w:val="en-AU"/>
              </w:rPr>
            </w:pPr>
            <w:r w:rsidRPr="00D30BFF">
              <w:rPr>
                <w:sz w:val="22"/>
                <w:lang w:val="en-AU"/>
              </w:rPr>
              <w:t>Western Victoria Bushfires</w:t>
            </w:r>
          </w:p>
        </w:tc>
        <w:tc>
          <w:tcPr>
            <w:tcW w:w="482" w:type="pct"/>
            <w:vAlign w:val="center"/>
          </w:tcPr>
          <w:p w14:paraId="6FD789F4" w14:textId="77777777" w:rsidR="00741992" w:rsidRPr="00D30BFF" w:rsidRDefault="00741992" w:rsidP="007413DF">
            <w:pPr>
              <w:pStyle w:val="Tabletext"/>
              <w:spacing w:line="276" w:lineRule="auto"/>
              <w:jc w:val="right"/>
              <w:rPr>
                <w:sz w:val="22"/>
                <w:lang w:val="en-AU"/>
              </w:rPr>
            </w:pPr>
            <w:r w:rsidRPr="00D30BFF">
              <w:rPr>
                <w:sz w:val="22"/>
                <w:lang w:val="en-AU"/>
              </w:rPr>
              <w:t>23.2</w:t>
            </w:r>
          </w:p>
        </w:tc>
        <w:tc>
          <w:tcPr>
            <w:tcW w:w="482" w:type="pct"/>
            <w:vAlign w:val="center"/>
          </w:tcPr>
          <w:p w14:paraId="3AD44E33" w14:textId="77777777" w:rsidR="00741992" w:rsidRPr="00D30BFF" w:rsidRDefault="00741992" w:rsidP="007413DF">
            <w:pPr>
              <w:pStyle w:val="Tabletext"/>
              <w:spacing w:line="276" w:lineRule="auto"/>
              <w:jc w:val="right"/>
              <w:rPr>
                <w:sz w:val="22"/>
                <w:lang w:val="en-AU"/>
              </w:rPr>
            </w:pPr>
            <w:r w:rsidRPr="00D30BFF">
              <w:rPr>
                <w:sz w:val="22"/>
                <w:lang w:val="en-AU"/>
              </w:rPr>
              <w:t>13.0</w:t>
            </w:r>
          </w:p>
        </w:tc>
        <w:tc>
          <w:tcPr>
            <w:tcW w:w="483" w:type="pct"/>
            <w:vAlign w:val="center"/>
          </w:tcPr>
          <w:p w14:paraId="7DC8DE67" w14:textId="3EAE1BF3" w:rsidR="00741992" w:rsidRPr="00D30BFF" w:rsidRDefault="00D72639" w:rsidP="007413DF">
            <w:pPr>
              <w:pStyle w:val="Tabletext"/>
              <w:spacing w:line="276" w:lineRule="auto"/>
              <w:jc w:val="right"/>
              <w:rPr>
                <w:sz w:val="22"/>
                <w:lang w:val="en-AU"/>
              </w:rPr>
            </w:pPr>
            <w:r w:rsidRPr="00D30BFF">
              <w:rPr>
                <w:sz w:val="22"/>
                <w:lang w:val="en-AU"/>
              </w:rPr>
              <w:t>–</w:t>
            </w:r>
          </w:p>
        </w:tc>
        <w:tc>
          <w:tcPr>
            <w:tcW w:w="482" w:type="pct"/>
            <w:vAlign w:val="center"/>
          </w:tcPr>
          <w:p w14:paraId="1E091A7E" w14:textId="31EAB4FC" w:rsidR="00741992" w:rsidRPr="00D30BFF" w:rsidRDefault="00D72639" w:rsidP="007413DF">
            <w:pPr>
              <w:pStyle w:val="Tabletext"/>
              <w:spacing w:line="276" w:lineRule="auto"/>
              <w:jc w:val="right"/>
              <w:rPr>
                <w:sz w:val="22"/>
                <w:lang w:val="en-AU"/>
              </w:rPr>
            </w:pPr>
            <w:r w:rsidRPr="00D30BFF">
              <w:rPr>
                <w:sz w:val="22"/>
                <w:lang w:val="en-AU"/>
              </w:rPr>
              <w:t>–</w:t>
            </w:r>
          </w:p>
        </w:tc>
      </w:tr>
      <w:tr w:rsidR="00741992" w:rsidRPr="00D30BFF" w14:paraId="73D5EC73" w14:textId="77777777" w:rsidTr="00D72639">
        <w:trPr>
          <w:trHeight w:val="444"/>
        </w:trPr>
        <w:tc>
          <w:tcPr>
            <w:tcW w:w="3071" w:type="pct"/>
          </w:tcPr>
          <w:p w14:paraId="5C6ECC9B" w14:textId="77777777" w:rsidR="00741992" w:rsidRPr="00D30BFF" w:rsidRDefault="00741992" w:rsidP="007413DF">
            <w:pPr>
              <w:pStyle w:val="Tabletext"/>
              <w:spacing w:line="276" w:lineRule="auto"/>
              <w:rPr>
                <w:sz w:val="22"/>
                <w:lang w:val="en-AU"/>
              </w:rPr>
            </w:pPr>
            <w:r w:rsidRPr="00D30BFF">
              <w:rPr>
                <w:sz w:val="22"/>
                <w:lang w:val="en-AU"/>
              </w:rPr>
              <w:t>Efficient and timely environmental assessments</w:t>
            </w:r>
          </w:p>
        </w:tc>
        <w:tc>
          <w:tcPr>
            <w:tcW w:w="482" w:type="pct"/>
            <w:vAlign w:val="center"/>
          </w:tcPr>
          <w:p w14:paraId="21AC3CE3" w14:textId="77777777" w:rsidR="00741992" w:rsidRPr="00D30BFF" w:rsidRDefault="00741992" w:rsidP="007413DF">
            <w:pPr>
              <w:pStyle w:val="Tabletext"/>
              <w:spacing w:line="276" w:lineRule="auto"/>
              <w:jc w:val="right"/>
              <w:rPr>
                <w:sz w:val="22"/>
                <w:lang w:val="en-AU"/>
              </w:rPr>
            </w:pPr>
            <w:r w:rsidRPr="00D30BFF">
              <w:rPr>
                <w:sz w:val="22"/>
                <w:lang w:val="en-AU"/>
              </w:rPr>
              <w:t>1.9</w:t>
            </w:r>
          </w:p>
        </w:tc>
        <w:tc>
          <w:tcPr>
            <w:tcW w:w="482" w:type="pct"/>
            <w:vAlign w:val="center"/>
          </w:tcPr>
          <w:p w14:paraId="67A89D7D" w14:textId="430C4F3E" w:rsidR="00741992" w:rsidRPr="00D30BFF" w:rsidRDefault="00D72639" w:rsidP="007413DF">
            <w:pPr>
              <w:pStyle w:val="Tabletext"/>
              <w:spacing w:line="276" w:lineRule="auto"/>
              <w:jc w:val="right"/>
              <w:rPr>
                <w:sz w:val="22"/>
                <w:lang w:val="en-AU"/>
              </w:rPr>
            </w:pPr>
            <w:r w:rsidRPr="00D30BFF">
              <w:rPr>
                <w:sz w:val="22"/>
                <w:lang w:val="en-AU"/>
              </w:rPr>
              <w:t>–</w:t>
            </w:r>
          </w:p>
        </w:tc>
        <w:tc>
          <w:tcPr>
            <w:tcW w:w="483" w:type="pct"/>
            <w:vAlign w:val="center"/>
          </w:tcPr>
          <w:p w14:paraId="4AAEBA1F" w14:textId="664FE9E8" w:rsidR="00741992" w:rsidRPr="00D30BFF" w:rsidRDefault="00D72639" w:rsidP="007413DF">
            <w:pPr>
              <w:pStyle w:val="Tabletext"/>
              <w:spacing w:line="276" w:lineRule="auto"/>
              <w:jc w:val="right"/>
              <w:rPr>
                <w:sz w:val="22"/>
                <w:lang w:val="en-AU"/>
              </w:rPr>
            </w:pPr>
            <w:r w:rsidRPr="00D30BFF">
              <w:rPr>
                <w:sz w:val="22"/>
                <w:lang w:val="en-AU"/>
              </w:rPr>
              <w:t>–</w:t>
            </w:r>
          </w:p>
        </w:tc>
        <w:tc>
          <w:tcPr>
            <w:tcW w:w="482" w:type="pct"/>
            <w:vAlign w:val="center"/>
          </w:tcPr>
          <w:p w14:paraId="2C271ED0" w14:textId="38808354" w:rsidR="00741992" w:rsidRPr="00D30BFF" w:rsidRDefault="00D72639" w:rsidP="007413DF">
            <w:pPr>
              <w:pStyle w:val="Tabletext"/>
              <w:spacing w:line="276" w:lineRule="auto"/>
              <w:jc w:val="right"/>
              <w:rPr>
                <w:sz w:val="22"/>
                <w:lang w:val="en-AU"/>
              </w:rPr>
            </w:pPr>
            <w:r w:rsidRPr="00D30BFF">
              <w:rPr>
                <w:sz w:val="22"/>
                <w:lang w:val="en-AU"/>
              </w:rPr>
              <w:t>–</w:t>
            </w:r>
          </w:p>
        </w:tc>
      </w:tr>
      <w:tr w:rsidR="00741992" w:rsidRPr="00D30BFF" w14:paraId="69EC87AB" w14:textId="77777777" w:rsidTr="00D72639">
        <w:trPr>
          <w:trHeight w:val="444"/>
        </w:trPr>
        <w:tc>
          <w:tcPr>
            <w:tcW w:w="3071" w:type="pct"/>
          </w:tcPr>
          <w:p w14:paraId="70DCDE47" w14:textId="77777777" w:rsidR="00741992" w:rsidRPr="00D30BFF" w:rsidRDefault="00741992" w:rsidP="007413DF">
            <w:pPr>
              <w:pStyle w:val="Tabletext"/>
              <w:spacing w:line="276" w:lineRule="auto"/>
              <w:rPr>
                <w:sz w:val="22"/>
                <w:lang w:val="en-AU"/>
              </w:rPr>
            </w:pPr>
            <w:r w:rsidRPr="00D30BFF">
              <w:rPr>
                <w:sz w:val="22"/>
                <w:lang w:val="en-AU"/>
              </w:rPr>
              <w:t>Enabling collaborative wildlife management</w:t>
            </w:r>
          </w:p>
        </w:tc>
        <w:tc>
          <w:tcPr>
            <w:tcW w:w="482" w:type="pct"/>
            <w:vAlign w:val="center"/>
          </w:tcPr>
          <w:p w14:paraId="64483636" w14:textId="77777777" w:rsidR="00741992" w:rsidRPr="00D30BFF" w:rsidRDefault="00741992" w:rsidP="007413DF">
            <w:pPr>
              <w:pStyle w:val="Tabletext"/>
              <w:spacing w:line="276" w:lineRule="auto"/>
              <w:jc w:val="right"/>
              <w:rPr>
                <w:sz w:val="22"/>
                <w:lang w:val="en-AU"/>
              </w:rPr>
            </w:pPr>
            <w:r w:rsidRPr="00D30BFF">
              <w:rPr>
                <w:sz w:val="22"/>
                <w:lang w:val="en-AU"/>
              </w:rPr>
              <w:t>1.1</w:t>
            </w:r>
          </w:p>
        </w:tc>
        <w:tc>
          <w:tcPr>
            <w:tcW w:w="482" w:type="pct"/>
            <w:vAlign w:val="center"/>
          </w:tcPr>
          <w:p w14:paraId="4154AF87" w14:textId="77777777" w:rsidR="00741992" w:rsidRPr="00D30BFF" w:rsidRDefault="00741992" w:rsidP="007413DF">
            <w:pPr>
              <w:pStyle w:val="Tabletext"/>
              <w:spacing w:line="276" w:lineRule="auto"/>
              <w:jc w:val="right"/>
              <w:rPr>
                <w:sz w:val="22"/>
                <w:lang w:val="en-AU"/>
              </w:rPr>
            </w:pPr>
            <w:r w:rsidRPr="00D30BFF">
              <w:rPr>
                <w:sz w:val="22"/>
                <w:lang w:val="en-AU"/>
              </w:rPr>
              <w:t>1.0</w:t>
            </w:r>
          </w:p>
        </w:tc>
        <w:tc>
          <w:tcPr>
            <w:tcW w:w="483" w:type="pct"/>
            <w:vAlign w:val="center"/>
          </w:tcPr>
          <w:p w14:paraId="68DE95D2" w14:textId="359E73D5" w:rsidR="00741992" w:rsidRPr="00D30BFF" w:rsidRDefault="00D72639" w:rsidP="007413DF">
            <w:pPr>
              <w:pStyle w:val="Tabletext"/>
              <w:spacing w:line="276" w:lineRule="auto"/>
              <w:jc w:val="right"/>
              <w:rPr>
                <w:sz w:val="22"/>
                <w:lang w:val="en-AU"/>
              </w:rPr>
            </w:pPr>
            <w:r w:rsidRPr="00D30BFF">
              <w:rPr>
                <w:sz w:val="22"/>
                <w:lang w:val="en-AU"/>
              </w:rPr>
              <w:t>–</w:t>
            </w:r>
          </w:p>
        </w:tc>
        <w:tc>
          <w:tcPr>
            <w:tcW w:w="482" w:type="pct"/>
            <w:vAlign w:val="center"/>
          </w:tcPr>
          <w:p w14:paraId="3E2699F1" w14:textId="01814B09" w:rsidR="00741992" w:rsidRPr="00D30BFF" w:rsidRDefault="00D72639" w:rsidP="007413DF">
            <w:pPr>
              <w:pStyle w:val="Tabletext"/>
              <w:spacing w:line="276" w:lineRule="auto"/>
              <w:jc w:val="right"/>
              <w:rPr>
                <w:sz w:val="22"/>
                <w:lang w:val="en-AU"/>
              </w:rPr>
            </w:pPr>
            <w:r w:rsidRPr="00D30BFF">
              <w:rPr>
                <w:sz w:val="22"/>
                <w:lang w:val="en-AU"/>
              </w:rPr>
              <w:t>–</w:t>
            </w:r>
          </w:p>
        </w:tc>
      </w:tr>
      <w:tr w:rsidR="00741992" w:rsidRPr="00D30BFF" w14:paraId="0BD6B449" w14:textId="77777777" w:rsidTr="00D72639">
        <w:trPr>
          <w:trHeight w:val="444"/>
        </w:trPr>
        <w:tc>
          <w:tcPr>
            <w:tcW w:w="3071" w:type="pct"/>
          </w:tcPr>
          <w:p w14:paraId="321D9226" w14:textId="77777777" w:rsidR="00741992" w:rsidRPr="00D30BFF" w:rsidRDefault="00741992" w:rsidP="007413DF">
            <w:pPr>
              <w:pStyle w:val="Tabletext"/>
              <w:spacing w:line="276" w:lineRule="auto"/>
              <w:rPr>
                <w:sz w:val="22"/>
                <w:lang w:val="en-AU"/>
              </w:rPr>
            </w:pPr>
            <w:r w:rsidRPr="00D30BFF">
              <w:rPr>
                <w:sz w:val="22"/>
                <w:lang w:val="en-AU"/>
              </w:rPr>
              <w:t>Pest animal management</w:t>
            </w:r>
          </w:p>
        </w:tc>
        <w:tc>
          <w:tcPr>
            <w:tcW w:w="482" w:type="pct"/>
            <w:vAlign w:val="center"/>
          </w:tcPr>
          <w:p w14:paraId="337C8C47" w14:textId="77777777" w:rsidR="00741992" w:rsidRPr="00D30BFF" w:rsidRDefault="00741992" w:rsidP="007413DF">
            <w:pPr>
              <w:pStyle w:val="Tabletext"/>
              <w:spacing w:line="276" w:lineRule="auto"/>
              <w:jc w:val="right"/>
              <w:rPr>
                <w:sz w:val="22"/>
                <w:lang w:val="en-AU"/>
              </w:rPr>
            </w:pPr>
            <w:r w:rsidRPr="00D30BFF">
              <w:rPr>
                <w:sz w:val="22"/>
                <w:lang w:val="en-AU"/>
              </w:rPr>
              <w:t>1.9</w:t>
            </w:r>
          </w:p>
        </w:tc>
        <w:tc>
          <w:tcPr>
            <w:tcW w:w="482" w:type="pct"/>
            <w:vAlign w:val="center"/>
          </w:tcPr>
          <w:p w14:paraId="4C1E5CC7" w14:textId="77777777" w:rsidR="00741992" w:rsidRPr="00D30BFF" w:rsidRDefault="00741992" w:rsidP="007413DF">
            <w:pPr>
              <w:pStyle w:val="Tabletext"/>
              <w:spacing w:line="276" w:lineRule="auto"/>
              <w:jc w:val="right"/>
              <w:rPr>
                <w:sz w:val="22"/>
                <w:lang w:val="en-AU"/>
              </w:rPr>
            </w:pPr>
            <w:r w:rsidRPr="00D30BFF">
              <w:rPr>
                <w:sz w:val="22"/>
                <w:lang w:val="en-AU"/>
              </w:rPr>
              <w:t>2.2</w:t>
            </w:r>
          </w:p>
        </w:tc>
        <w:tc>
          <w:tcPr>
            <w:tcW w:w="483" w:type="pct"/>
            <w:vAlign w:val="center"/>
          </w:tcPr>
          <w:p w14:paraId="43DA2818" w14:textId="77777777" w:rsidR="00741992" w:rsidRPr="00D30BFF" w:rsidRDefault="00741992" w:rsidP="007413DF">
            <w:pPr>
              <w:pStyle w:val="Tabletext"/>
              <w:spacing w:line="276" w:lineRule="auto"/>
              <w:jc w:val="right"/>
              <w:rPr>
                <w:sz w:val="22"/>
                <w:lang w:val="en-AU"/>
              </w:rPr>
            </w:pPr>
            <w:r w:rsidRPr="00D30BFF">
              <w:rPr>
                <w:sz w:val="22"/>
                <w:lang w:val="en-AU"/>
              </w:rPr>
              <w:t>2.4</w:t>
            </w:r>
          </w:p>
        </w:tc>
        <w:tc>
          <w:tcPr>
            <w:tcW w:w="482" w:type="pct"/>
            <w:vAlign w:val="center"/>
          </w:tcPr>
          <w:p w14:paraId="2340E67B" w14:textId="77777777" w:rsidR="00741992" w:rsidRPr="00D30BFF" w:rsidRDefault="00741992" w:rsidP="007413DF">
            <w:pPr>
              <w:pStyle w:val="Tabletext"/>
              <w:spacing w:line="276" w:lineRule="auto"/>
              <w:jc w:val="right"/>
              <w:rPr>
                <w:sz w:val="22"/>
                <w:lang w:val="en-AU"/>
              </w:rPr>
            </w:pPr>
            <w:r w:rsidRPr="00D30BFF">
              <w:rPr>
                <w:sz w:val="22"/>
                <w:lang w:val="en-AU"/>
              </w:rPr>
              <w:t>2.7</w:t>
            </w:r>
          </w:p>
        </w:tc>
      </w:tr>
      <w:tr w:rsidR="00741992" w:rsidRPr="00D30BFF" w14:paraId="65ADD4BE" w14:textId="77777777" w:rsidTr="00D72639">
        <w:trPr>
          <w:trHeight w:val="444"/>
        </w:trPr>
        <w:tc>
          <w:tcPr>
            <w:tcW w:w="3071" w:type="pct"/>
          </w:tcPr>
          <w:p w14:paraId="46CEFF74" w14:textId="77777777" w:rsidR="00741992" w:rsidRPr="00D30BFF" w:rsidRDefault="00741992" w:rsidP="007413DF">
            <w:pPr>
              <w:pStyle w:val="Tabletext"/>
              <w:spacing w:line="276" w:lineRule="auto"/>
              <w:rPr>
                <w:sz w:val="22"/>
                <w:lang w:val="en-AU"/>
              </w:rPr>
            </w:pPr>
            <w:r w:rsidRPr="00D30BFF">
              <w:rPr>
                <w:sz w:val="22"/>
                <w:lang w:val="en-AU"/>
              </w:rPr>
              <w:t xml:space="preserve">Supporting Landcare and </w:t>
            </w:r>
            <w:proofErr w:type="spellStart"/>
            <w:r w:rsidRPr="00D30BFF">
              <w:rPr>
                <w:sz w:val="22"/>
                <w:lang w:val="en-AU"/>
              </w:rPr>
              <w:t>Coastcare</w:t>
            </w:r>
            <w:proofErr w:type="spellEnd"/>
            <w:r w:rsidRPr="00D30BFF">
              <w:rPr>
                <w:sz w:val="22"/>
                <w:lang w:val="en-AU"/>
              </w:rPr>
              <w:t xml:space="preserve"> volunteers</w:t>
            </w:r>
          </w:p>
        </w:tc>
        <w:tc>
          <w:tcPr>
            <w:tcW w:w="482" w:type="pct"/>
            <w:vAlign w:val="center"/>
          </w:tcPr>
          <w:p w14:paraId="0E2AE20E" w14:textId="77777777" w:rsidR="00741992" w:rsidRPr="00D30BFF" w:rsidRDefault="00741992" w:rsidP="007413DF">
            <w:pPr>
              <w:pStyle w:val="Tabletext"/>
              <w:spacing w:line="276" w:lineRule="auto"/>
              <w:jc w:val="right"/>
              <w:rPr>
                <w:sz w:val="22"/>
                <w:lang w:val="en-AU"/>
              </w:rPr>
            </w:pPr>
            <w:r w:rsidRPr="00D30BFF">
              <w:rPr>
                <w:sz w:val="22"/>
                <w:lang w:val="en-AU"/>
              </w:rPr>
              <w:t>8.7</w:t>
            </w:r>
          </w:p>
        </w:tc>
        <w:tc>
          <w:tcPr>
            <w:tcW w:w="482" w:type="pct"/>
            <w:vAlign w:val="center"/>
          </w:tcPr>
          <w:p w14:paraId="1E2EEF8E" w14:textId="77777777" w:rsidR="00741992" w:rsidRPr="00D30BFF" w:rsidRDefault="00741992" w:rsidP="007413DF">
            <w:pPr>
              <w:pStyle w:val="Tabletext"/>
              <w:spacing w:line="276" w:lineRule="auto"/>
              <w:jc w:val="right"/>
              <w:rPr>
                <w:sz w:val="22"/>
                <w:lang w:val="en-AU"/>
              </w:rPr>
            </w:pPr>
            <w:r w:rsidRPr="00D30BFF">
              <w:rPr>
                <w:sz w:val="22"/>
                <w:lang w:val="en-AU"/>
              </w:rPr>
              <w:t>8.6</w:t>
            </w:r>
          </w:p>
        </w:tc>
        <w:tc>
          <w:tcPr>
            <w:tcW w:w="483" w:type="pct"/>
            <w:vAlign w:val="center"/>
          </w:tcPr>
          <w:p w14:paraId="09A8E478" w14:textId="1E02A3A6" w:rsidR="00741992" w:rsidRPr="00D30BFF" w:rsidRDefault="00D72639" w:rsidP="007413DF">
            <w:pPr>
              <w:pStyle w:val="Tabletext"/>
              <w:spacing w:line="276" w:lineRule="auto"/>
              <w:jc w:val="right"/>
              <w:rPr>
                <w:sz w:val="22"/>
                <w:lang w:val="en-AU"/>
              </w:rPr>
            </w:pPr>
            <w:r w:rsidRPr="00D30BFF">
              <w:rPr>
                <w:sz w:val="22"/>
                <w:lang w:val="en-AU"/>
              </w:rPr>
              <w:t>–</w:t>
            </w:r>
          </w:p>
        </w:tc>
        <w:tc>
          <w:tcPr>
            <w:tcW w:w="482" w:type="pct"/>
            <w:vAlign w:val="center"/>
          </w:tcPr>
          <w:p w14:paraId="2F5186D1" w14:textId="2AE6CE03" w:rsidR="00741992" w:rsidRPr="00D30BFF" w:rsidRDefault="00D72639" w:rsidP="007413DF">
            <w:pPr>
              <w:pStyle w:val="Tabletext"/>
              <w:spacing w:line="276" w:lineRule="auto"/>
              <w:jc w:val="right"/>
              <w:rPr>
                <w:sz w:val="22"/>
                <w:lang w:val="en-AU"/>
              </w:rPr>
            </w:pPr>
            <w:r w:rsidRPr="00D30BFF">
              <w:rPr>
                <w:sz w:val="22"/>
                <w:lang w:val="en-AU"/>
              </w:rPr>
              <w:t>–</w:t>
            </w:r>
          </w:p>
        </w:tc>
      </w:tr>
      <w:tr w:rsidR="00741992" w:rsidRPr="00D30BFF" w14:paraId="656B8BCC" w14:textId="77777777" w:rsidTr="007413DF">
        <w:trPr>
          <w:trHeight w:val="113"/>
        </w:trPr>
        <w:tc>
          <w:tcPr>
            <w:tcW w:w="3071" w:type="pct"/>
            <w:shd w:val="clear" w:color="auto" w:fill="F2F2F2" w:themeFill="background1" w:themeFillShade="F2"/>
          </w:tcPr>
          <w:p w14:paraId="58C76E8A" w14:textId="77777777" w:rsidR="00741992" w:rsidRPr="00D30BFF" w:rsidRDefault="00741992" w:rsidP="007413DF">
            <w:pPr>
              <w:pStyle w:val="Tabletext"/>
              <w:spacing w:line="276" w:lineRule="auto"/>
              <w:rPr>
                <w:b/>
                <w:bCs/>
                <w:sz w:val="22"/>
                <w:lang w:val="en-AU"/>
              </w:rPr>
            </w:pPr>
            <w:r w:rsidRPr="00D30BFF">
              <w:rPr>
                <w:b/>
                <w:bCs/>
                <w:sz w:val="22"/>
                <w:lang w:val="en-AU"/>
              </w:rPr>
              <w:lastRenderedPageBreak/>
              <w:t>Fire and Emergency Management</w:t>
            </w:r>
          </w:p>
        </w:tc>
        <w:tc>
          <w:tcPr>
            <w:tcW w:w="482" w:type="pct"/>
            <w:shd w:val="clear" w:color="auto" w:fill="F2F2F2" w:themeFill="background1" w:themeFillShade="F2"/>
            <w:vAlign w:val="center"/>
          </w:tcPr>
          <w:p w14:paraId="75E88516" w14:textId="77777777" w:rsidR="00741992" w:rsidRPr="00D30BFF" w:rsidRDefault="00741992" w:rsidP="007413DF">
            <w:pPr>
              <w:pStyle w:val="Tabletext"/>
              <w:spacing w:line="276" w:lineRule="auto"/>
              <w:jc w:val="right"/>
              <w:rPr>
                <w:b/>
                <w:bCs/>
                <w:sz w:val="22"/>
                <w:lang w:val="en-AU"/>
              </w:rPr>
            </w:pPr>
            <w:r w:rsidRPr="00D30BFF">
              <w:rPr>
                <w:b/>
                <w:bCs/>
                <w:sz w:val="22"/>
                <w:lang w:val="en-AU"/>
              </w:rPr>
              <w:t xml:space="preserve"> </w:t>
            </w:r>
          </w:p>
        </w:tc>
        <w:tc>
          <w:tcPr>
            <w:tcW w:w="482" w:type="pct"/>
            <w:shd w:val="clear" w:color="auto" w:fill="F2F2F2" w:themeFill="background1" w:themeFillShade="F2"/>
            <w:vAlign w:val="center"/>
          </w:tcPr>
          <w:p w14:paraId="74469ED7" w14:textId="77777777" w:rsidR="00741992" w:rsidRPr="00D30BFF" w:rsidRDefault="00741992" w:rsidP="007413DF">
            <w:pPr>
              <w:pStyle w:val="Tabletext"/>
              <w:spacing w:line="276" w:lineRule="auto"/>
              <w:jc w:val="right"/>
              <w:rPr>
                <w:b/>
                <w:bCs/>
                <w:sz w:val="22"/>
                <w:lang w:val="en-AU"/>
              </w:rPr>
            </w:pPr>
            <w:r w:rsidRPr="00D30BFF">
              <w:rPr>
                <w:b/>
                <w:bCs/>
                <w:sz w:val="22"/>
                <w:lang w:val="en-AU"/>
              </w:rPr>
              <w:t xml:space="preserve"> </w:t>
            </w:r>
          </w:p>
        </w:tc>
        <w:tc>
          <w:tcPr>
            <w:tcW w:w="483" w:type="pct"/>
            <w:shd w:val="clear" w:color="auto" w:fill="F2F2F2" w:themeFill="background1" w:themeFillShade="F2"/>
            <w:vAlign w:val="center"/>
          </w:tcPr>
          <w:p w14:paraId="54489611" w14:textId="77777777" w:rsidR="00741992" w:rsidRPr="00D30BFF" w:rsidRDefault="00741992" w:rsidP="007413DF">
            <w:pPr>
              <w:pStyle w:val="Tabletext"/>
              <w:spacing w:line="276" w:lineRule="auto"/>
              <w:jc w:val="right"/>
              <w:rPr>
                <w:b/>
                <w:bCs/>
                <w:sz w:val="22"/>
                <w:lang w:val="en-AU"/>
              </w:rPr>
            </w:pPr>
            <w:r w:rsidRPr="00D30BFF">
              <w:rPr>
                <w:b/>
                <w:bCs/>
                <w:sz w:val="22"/>
                <w:lang w:val="en-AU"/>
              </w:rPr>
              <w:t xml:space="preserve"> </w:t>
            </w:r>
          </w:p>
        </w:tc>
        <w:tc>
          <w:tcPr>
            <w:tcW w:w="482" w:type="pct"/>
            <w:shd w:val="clear" w:color="auto" w:fill="F2F2F2" w:themeFill="background1" w:themeFillShade="F2"/>
            <w:vAlign w:val="center"/>
          </w:tcPr>
          <w:p w14:paraId="7FB1DCAB" w14:textId="77777777" w:rsidR="00741992" w:rsidRPr="00D30BFF" w:rsidRDefault="00741992" w:rsidP="007413DF">
            <w:pPr>
              <w:pStyle w:val="Tabletext"/>
              <w:spacing w:line="276" w:lineRule="auto"/>
              <w:jc w:val="right"/>
              <w:rPr>
                <w:b/>
                <w:bCs/>
                <w:sz w:val="22"/>
                <w:lang w:val="en-AU"/>
              </w:rPr>
            </w:pPr>
            <w:r w:rsidRPr="00D30BFF">
              <w:rPr>
                <w:b/>
                <w:bCs/>
                <w:sz w:val="22"/>
                <w:lang w:val="en-AU"/>
              </w:rPr>
              <w:t xml:space="preserve"> </w:t>
            </w:r>
          </w:p>
        </w:tc>
      </w:tr>
      <w:tr w:rsidR="00741992" w:rsidRPr="00D30BFF" w14:paraId="22E4EB46" w14:textId="77777777" w:rsidTr="00741992">
        <w:trPr>
          <w:trHeight w:val="113"/>
        </w:trPr>
        <w:tc>
          <w:tcPr>
            <w:tcW w:w="3071" w:type="pct"/>
          </w:tcPr>
          <w:p w14:paraId="69DEFEBA" w14:textId="77777777" w:rsidR="00741992" w:rsidRPr="00D30BFF" w:rsidRDefault="00741992" w:rsidP="007413DF">
            <w:pPr>
              <w:pStyle w:val="Tabletext"/>
              <w:spacing w:line="276" w:lineRule="auto"/>
              <w:rPr>
                <w:sz w:val="22"/>
                <w:lang w:val="en-AU"/>
              </w:rPr>
            </w:pPr>
            <w:r w:rsidRPr="00D30BFF">
              <w:rPr>
                <w:sz w:val="22"/>
                <w:lang w:val="en-AU"/>
              </w:rPr>
              <w:t>Aviation firefighting resources</w:t>
            </w:r>
          </w:p>
        </w:tc>
        <w:tc>
          <w:tcPr>
            <w:tcW w:w="482" w:type="pct"/>
            <w:vAlign w:val="center"/>
          </w:tcPr>
          <w:p w14:paraId="2ADF1BCF" w14:textId="77777777" w:rsidR="00741992" w:rsidRPr="00D30BFF" w:rsidRDefault="00741992" w:rsidP="007413DF">
            <w:pPr>
              <w:pStyle w:val="Tabletext"/>
              <w:spacing w:line="276" w:lineRule="auto"/>
              <w:jc w:val="right"/>
              <w:rPr>
                <w:sz w:val="22"/>
                <w:lang w:val="en-AU"/>
              </w:rPr>
            </w:pPr>
            <w:r w:rsidRPr="00D30BFF">
              <w:rPr>
                <w:sz w:val="22"/>
                <w:lang w:val="en-AU"/>
              </w:rPr>
              <w:t>tbc</w:t>
            </w:r>
          </w:p>
        </w:tc>
        <w:tc>
          <w:tcPr>
            <w:tcW w:w="482" w:type="pct"/>
            <w:vAlign w:val="center"/>
          </w:tcPr>
          <w:p w14:paraId="4C3A9FCD" w14:textId="77777777" w:rsidR="00741992" w:rsidRPr="00D30BFF" w:rsidRDefault="00741992" w:rsidP="007413DF">
            <w:pPr>
              <w:pStyle w:val="Tabletext"/>
              <w:spacing w:line="276" w:lineRule="auto"/>
              <w:jc w:val="right"/>
              <w:rPr>
                <w:sz w:val="22"/>
                <w:lang w:val="en-AU"/>
              </w:rPr>
            </w:pPr>
            <w:r w:rsidRPr="00D30BFF">
              <w:rPr>
                <w:sz w:val="22"/>
                <w:lang w:val="en-AU"/>
              </w:rPr>
              <w:t>tbc</w:t>
            </w:r>
          </w:p>
        </w:tc>
        <w:tc>
          <w:tcPr>
            <w:tcW w:w="483" w:type="pct"/>
            <w:vAlign w:val="center"/>
          </w:tcPr>
          <w:p w14:paraId="00115FE1" w14:textId="77777777" w:rsidR="00741992" w:rsidRPr="00D30BFF" w:rsidRDefault="00741992" w:rsidP="007413DF">
            <w:pPr>
              <w:pStyle w:val="Tabletext"/>
              <w:spacing w:line="276" w:lineRule="auto"/>
              <w:jc w:val="right"/>
              <w:rPr>
                <w:sz w:val="22"/>
                <w:lang w:val="en-AU"/>
              </w:rPr>
            </w:pPr>
            <w:r w:rsidRPr="00D30BFF">
              <w:rPr>
                <w:sz w:val="22"/>
                <w:lang w:val="en-AU"/>
              </w:rPr>
              <w:t>tbc</w:t>
            </w:r>
          </w:p>
        </w:tc>
        <w:tc>
          <w:tcPr>
            <w:tcW w:w="482" w:type="pct"/>
            <w:vAlign w:val="center"/>
          </w:tcPr>
          <w:p w14:paraId="3597FD80" w14:textId="77777777" w:rsidR="00741992" w:rsidRPr="00D30BFF" w:rsidRDefault="00741992" w:rsidP="007413DF">
            <w:pPr>
              <w:pStyle w:val="Tabletext"/>
              <w:spacing w:line="276" w:lineRule="auto"/>
              <w:jc w:val="right"/>
              <w:rPr>
                <w:sz w:val="22"/>
                <w:lang w:val="en-AU"/>
              </w:rPr>
            </w:pPr>
            <w:r w:rsidRPr="00D30BFF">
              <w:rPr>
                <w:sz w:val="22"/>
                <w:lang w:val="en-AU"/>
              </w:rPr>
              <w:t>tbc</w:t>
            </w:r>
          </w:p>
        </w:tc>
      </w:tr>
      <w:tr w:rsidR="00741992" w:rsidRPr="00D30BFF" w14:paraId="559B0E47" w14:textId="77777777" w:rsidTr="00741992">
        <w:trPr>
          <w:trHeight w:val="113"/>
        </w:trPr>
        <w:tc>
          <w:tcPr>
            <w:tcW w:w="3071" w:type="pct"/>
          </w:tcPr>
          <w:p w14:paraId="4322A064" w14:textId="77777777" w:rsidR="00741992" w:rsidRPr="00D30BFF" w:rsidRDefault="00741992" w:rsidP="007413DF">
            <w:pPr>
              <w:pStyle w:val="Tabletext"/>
              <w:spacing w:line="276" w:lineRule="auto"/>
              <w:rPr>
                <w:sz w:val="22"/>
                <w:lang w:val="en-AU"/>
              </w:rPr>
            </w:pPr>
            <w:r w:rsidRPr="00D30BFF">
              <w:rPr>
                <w:sz w:val="22"/>
                <w:lang w:val="en-AU"/>
              </w:rPr>
              <w:t>Bushfire prevention</w:t>
            </w:r>
          </w:p>
        </w:tc>
        <w:tc>
          <w:tcPr>
            <w:tcW w:w="482" w:type="pct"/>
            <w:vAlign w:val="center"/>
          </w:tcPr>
          <w:p w14:paraId="226FEC81" w14:textId="77777777" w:rsidR="00741992" w:rsidRPr="00D30BFF" w:rsidRDefault="00741992" w:rsidP="007413DF">
            <w:pPr>
              <w:pStyle w:val="Tabletext"/>
              <w:spacing w:line="276" w:lineRule="auto"/>
              <w:jc w:val="right"/>
              <w:rPr>
                <w:sz w:val="22"/>
                <w:lang w:val="en-AU"/>
              </w:rPr>
            </w:pPr>
            <w:r w:rsidRPr="00D30BFF">
              <w:rPr>
                <w:sz w:val="22"/>
                <w:lang w:val="en-AU"/>
              </w:rPr>
              <w:t>tbc</w:t>
            </w:r>
          </w:p>
        </w:tc>
        <w:tc>
          <w:tcPr>
            <w:tcW w:w="482" w:type="pct"/>
            <w:vAlign w:val="center"/>
          </w:tcPr>
          <w:p w14:paraId="3AD0D1FA" w14:textId="77777777" w:rsidR="00741992" w:rsidRPr="00D30BFF" w:rsidRDefault="00741992" w:rsidP="007413DF">
            <w:pPr>
              <w:pStyle w:val="Tabletext"/>
              <w:spacing w:line="276" w:lineRule="auto"/>
              <w:jc w:val="right"/>
              <w:rPr>
                <w:sz w:val="22"/>
                <w:lang w:val="en-AU"/>
              </w:rPr>
            </w:pPr>
            <w:r w:rsidRPr="00D30BFF">
              <w:rPr>
                <w:sz w:val="22"/>
                <w:lang w:val="en-AU"/>
              </w:rPr>
              <w:t>tbc</w:t>
            </w:r>
          </w:p>
        </w:tc>
        <w:tc>
          <w:tcPr>
            <w:tcW w:w="483" w:type="pct"/>
            <w:vAlign w:val="center"/>
          </w:tcPr>
          <w:p w14:paraId="781437BD" w14:textId="77777777" w:rsidR="00741992" w:rsidRPr="00D30BFF" w:rsidRDefault="00741992" w:rsidP="007413DF">
            <w:pPr>
              <w:pStyle w:val="Tabletext"/>
              <w:spacing w:line="276" w:lineRule="auto"/>
              <w:jc w:val="right"/>
              <w:rPr>
                <w:sz w:val="22"/>
                <w:lang w:val="en-AU"/>
              </w:rPr>
            </w:pPr>
            <w:r w:rsidRPr="00D30BFF">
              <w:rPr>
                <w:sz w:val="22"/>
                <w:lang w:val="en-AU"/>
              </w:rPr>
              <w:t>tbc</w:t>
            </w:r>
          </w:p>
        </w:tc>
        <w:tc>
          <w:tcPr>
            <w:tcW w:w="482" w:type="pct"/>
            <w:vAlign w:val="center"/>
          </w:tcPr>
          <w:p w14:paraId="3AAB3849" w14:textId="77777777" w:rsidR="00741992" w:rsidRPr="00D30BFF" w:rsidRDefault="00741992" w:rsidP="007413DF">
            <w:pPr>
              <w:pStyle w:val="Tabletext"/>
              <w:spacing w:line="276" w:lineRule="auto"/>
              <w:jc w:val="right"/>
              <w:rPr>
                <w:sz w:val="22"/>
                <w:lang w:val="en-AU"/>
              </w:rPr>
            </w:pPr>
            <w:r w:rsidRPr="00D30BFF">
              <w:rPr>
                <w:sz w:val="22"/>
                <w:lang w:val="en-AU"/>
              </w:rPr>
              <w:t>tbc</w:t>
            </w:r>
          </w:p>
        </w:tc>
      </w:tr>
      <w:tr w:rsidR="00741992" w:rsidRPr="00D30BFF" w14:paraId="63F6F9D5" w14:textId="77777777" w:rsidTr="007413DF">
        <w:trPr>
          <w:trHeight w:val="113"/>
        </w:trPr>
        <w:tc>
          <w:tcPr>
            <w:tcW w:w="3071" w:type="pct"/>
            <w:shd w:val="clear" w:color="auto" w:fill="F2F2F2" w:themeFill="background1" w:themeFillShade="F2"/>
          </w:tcPr>
          <w:p w14:paraId="387F97C1" w14:textId="77777777" w:rsidR="00741992" w:rsidRPr="00D30BFF" w:rsidRDefault="00741992" w:rsidP="007413DF">
            <w:pPr>
              <w:pStyle w:val="Tabletext"/>
              <w:spacing w:line="276" w:lineRule="auto"/>
              <w:rPr>
                <w:b/>
                <w:bCs/>
                <w:sz w:val="22"/>
                <w:lang w:val="en-AU"/>
              </w:rPr>
            </w:pPr>
            <w:r w:rsidRPr="00D30BFF">
              <w:rPr>
                <w:b/>
                <w:bCs/>
                <w:sz w:val="22"/>
                <w:lang w:val="en-AU"/>
              </w:rPr>
              <w:t>Management of Public Land and Forests</w:t>
            </w:r>
          </w:p>
        </w:tc>
        <w:tc>
          <w:tcPr>
            <w:tcW w:w="482" w:type="pct"/>
            <w:shd w:val="clear" w:color="auto" w:fill="F2F2F2" w:themeFill="background1" w:themeFillShade="F2"/>
            <w:vAlign w:val="center"/>
          </w:tcPr>
          <w:p w14:paraId="11ED986A" w14:textId="77777777" w:rsidR="00741992" w:rsidRPr="00D30BFF" w:rsidRDefault="00741992" w:rsidP="007413DF">
            <w:pPr>
              <w:pStyle w:val="Tabletext"/>
              <w:spacing w:line="276" w:lineRule="auto"/>
              <w:jc w:val="right"/>
              <w:rPr>
                <w:b/>
                <w:bCs/>
                <w:sz w:val="22"/>
                <w:lang w:val="en-AU"/>
              </w:rPr>
            </w:pPr>
          </w:p>
        </w:tc>
        <w:tc>
          <w:tcPr>
            <w:tcW w:w="482" w:type="pct"/>
            <w:shd w:val="clear" w:color="auto" w:fill="F2F2F2" w:themeFill="background1" w:themeFillShade="F2"/>
            <w:vAlign w:val="center"/>
          </w:tcPr>
          <w:p w14:paraId="62FCD10E" w14:textId="77777777" w:rsidR="00741992" w:rsidRPr="00D30BFF" w:rsidRDefault="00741992" w:rsidP="007413DF">
            <w:pPr>
              <w:pStyle w:val="Tabletext"/>
              <w:spacing w:line="276" w:lineRule="auto"/>
              <w:jc w:val="right"/>
              <w:rPr>
                <w:b/>
                <w:bCs/>
                <w:sz w:val="22"/>
                <w:lang w:val="en-AU"/>
              </w:rPr>
            </w:pPr>
          </w:p>
        </w:tc>
        <w:tc>
          <w:tcPr>
            <w:tcW w:w="483" w:type="pct"/>
            <w:shd w:val="clear" w:color="auto" w:fill="F2F2F2" w:themeFill="background1" w:themeFillShade="F2"/>
            <w:vAlign w:val="center"/>
          </w:tcPr>
          <w:p w14:paraId="17ECE8EB" w14:textId="77777777" w:rsidR="00741992" w:rsidRPr="00D30BFF" w:rsidRDefault="00741992" w:rsidP="007413DF">
            <w:pPr>
              <w:pStyle w:val="Tabletext"/>
              <w:spacing w:line="276" w:lineRule="auto"/>
              <w:jc w:val="right"/>
              <w:rPr>
                <w:b/>
                <w:bCs/>
                <w:sz w:val="22"/>
                <w:lang w:val="en-AU"/>
              </w:rPr>
            </w:pPr>
          </w:p>
        </w:tc>
        <w:tc>
          <w:tcPr>
            <w:tcW w:w="482" w:type="pct"/>
            <w:shd w:val="clear" w:color="auto" w:fill="F2F2F2" w:themeFill="background1" w:themeFillShade="F2"/>
            <w:vAlign w:val="center"/>
          </w:tcPr>
          <w:p w14:paraId="76B0493F" w14:textId="77777777" w:rsidR="00741992" w:rsidRPr="00D30BFF" w:rsidRDefault="00741992" w:rsidP="007413DF">
            <w:pPr>
              <w:pStyle w:val="Tabletext"/>
              <w:spacing w:line="276" w:lineRule="auto"/>
              <w:jc w:val="right"/>
              <w:rPr>
                <w:b/>
                <w:bCs/>
                <w:sz w:val="22"/>
                <w:lang w:val="en-AU"/>
              </w:rPr>
            </w:pPr>
          </w:p>
        </w:tc>
      </w:tr>
      <w:tr w:rsidR="00741992" w:rsidRPr="00D30BFF" w14:paraId="174A8B20" w14:textId="77777777" w:rsidTr="00741992">
        <w:trPr>
          <w:trHeight w:val="113"/>
        </w:trPr>
        <w:tc>
          <w:tcPr>
            <w:tcW w:w="3071" w:type="pct"/>
          </w:tcPr>
          <w:p w14:paraId="14DB5BA4" w14:textId="77777777" w:rsidR="00741992" w:rsidRPr="00D30BFF" w:rsidRDefault="00741992" w:rsidP="007413DF">
            <w:pPr>
              <w:pStyle w:val="Tabletext"/>
              <w:spacing w:line="276" w:lineRule="auto"/>
              <w:rPr>
                <w:sz w:val="22"/>
                <w:lang w:val="en-AU"/>
              </w:rPr>
            </w:pPr>
            <w:r w:rsidRPr="00D30BFF">
              <w:rPr>
                <w:sz w:val="22"/>
                <w:lang w:val="en-AU"/>
              </w:rPr>
              <w:t xml:space="preserve">Continue the establishment of </w:t>
            </w:r>
            <w:proofErr w:type="spellStart"/>
            <w:r w:rsidRPr="00D30BFF">
              <w:rPr>
                <w:sz w:val="22"/>
                <w:lang w:val="en-AU"/>
              </w:rPr>
              <w:t>Liwik</w:t>
            </w:r>
            <w:proofErr w:type="spellEnd"/>
            <w:r w:rsidRPr="00D30BFF">
              <w:rPr>
                <w:sz w:val="22"/>
                <w:lang w:val="en-AU"/>
              </w:rPr>
              <w:t xml:space="preserve"> Barring conservation area and protect Victoria’s faunal emblems</w:t>
            </w:r>
          </w:p>
        </w:tc>
        <w:tc>
          <w:tcPr>
            <w:tcW w:w="482" w:type="pct"/>
            <w:vAlign w:val="center"/>
          </w:tcPr>
          <w:p w14:paraId="3E574E56" w14:textId="77777777" w:rsidR="00741992" w:rsidRPr="00D30BFF" w:rsidRDefault="00741992" w:rsidP="007413DF">
            <w:pPr>
              <w:pStyle w:val="Tabletext"/>
              <w:spacing w:line="276" w:lineRule="auto"/>
              <w:jc w:val="right"/>
              <w:rPr>
                <w:sz w:val="22"/>
                <w:lang w:val="en-AU"/>
              </w:rPr>
            </w:pPr>
            <w:r w:rsidRPr="00D30BFF">
              <w:rPr>
                <w:sz w:val="22"/>
                <w:lang w:val="en-AU"/>
              </w:rPr>
              <w:t>1.5</w:t>
            </w:r>
          </w:p>
        </w:tc>
        <w:tc>
          <w:tcPr>
            <w:tcW w:w="482" w:type="pct"/>
            <w:vAlign w:val="center"/>
          </w:tcPr>
          <w:p w14:paraId="36651614" w14:textId="77777777" w:rsidR="00741992" w:rsidRPr="00D30BFF" w:rsidRDefault="00741992" w:rsidP="007413DF">
            <w:pPr>
              <w:pStyle w:val="Tabletext"/>
              <w:spacing w:line="276" w:lineRule="auto"/>
              <w:jc w:val="right"/>
              <w:rPr>
                <w:sz w:val="22"/>
                <w:lang w:val="en-AU"/>
              </w:rPr>
            </w:pPr>
            <w:r w:rsidRPr="00D30BFF">
              <w:rPr>
                <w:sz w:val="22"/>
                <w:lang w:val="en-AU"/>
              </w:rPr>
              <w:t>1.5</w:t>
            </w:r>
          </w:p>
        </w:tc>
        <w:tc>
          <w:tcPr>
            <w:tcW w:w="483" w:type="pct"/>
            <w:vAlign w:val="center"/>
          </w:tcPr>
          <w:p w14:paraId="5F0CD920" w14:textId="2C115EDF" w:rsidR="00741992" w:rsidRPr="00D30BFF" w:rsidRDefault="00D72639" w:rsidP="007413DF">
            <w:pPr>
              <w:pStyle w:val="Tabletext"/>
              <w:spacing w:line="276" w:lineRule="auto"/>
              <w:jc w:val="right"/>
              <w:rPr>
                <w:sz w:val="22"/>
                <w:lang w:val="en-AU"/>
              </w:rPr>
            </w:pPr>
            <w:r w:rsidRPr="00D30BFF">
              <w:rPr>
                <w:sz w:val="22"/>
                <w:lang w:val="en-AU"/>
              </w:rPr>
              <w:t>–</w:t>
            </w:r>
          </w:p>
        </w:tc>
        <w:tc>
          <w:tcPr>
            <w:tcW w:w="482" w:type="pct"/>
            <w:vAlign w:val="center"/>
          </w:tcPr>
          <w:p w14:paraId="0AF294FE" w14:textId="66200A3F" w:rsidR="00741992" w:rsidRPr="00D30BFF" w:rsidRDefault="00D72639" w:rsidP="007413DF">
            <w:pPr>
              <w:pStyle w:val="Tabletext"/>
              <w:spacing w:line="276" w:lineRule="auto"/>
              <w:jc w:val="right"/>
              <w:rPr>
                <w:sz w:val="22"/>
                <w:lang w:val="en-AU"/>
              </w:rPr>
            </w:pPr>
            <w:r w:rsidRPr="00D30BFF">
              <w:rPr>
                <w:sz w:val="22"/>
                <w:lang w:val="en-AU"/>
              </w:rPr>
              <w:t>–</w:t>
            </w:r>
          </w:p>
        </w:tc>
      </w:tr>
      <w:tr w:rsidR="00741992" w:rsidRPr="00D30BFF" w14:paraId="29CC10F3" w14:textId="77777777" w:rsidTr="00741992">
        <w:trPr>
          <w:trHeight w:val="113"/>
        </w:trPr>
        <w:tc>
          <w:tcPr>
            <w:tcW w:w="3071" w:type="pct"/>
          </w:tcPr>
          <w:p w14:paraId="21C7FC9B" w14:textId="77777777" w:rsidR="00741992" w:rsidRPr="00D30BFF" w:rsidRDefault="00741992" w:rsidP="007413DF">
            <w:pPr>
              <w:pStyle w:val="Tabletext"/>
              <w:spacing w:line="276" w:lineRule="auto"/>
              <w:rPr>
                <w:sz w:val="22"/>
                <w:lang w:val="en-AU"/>
              </w:rPr>
            </w:pPr>
            <w:r w:rsidRPr="00D30BFF">
              <w:rPr>
                <w:sz w:val="22"/>
                <w:lang w:val="en-AU"/>
              </w:rPr>
              <w:t>Delivering outdoor recreation and tourism</w:t>
            </w:r>
          </w:p>
        </w:tc>
        <w:tc>
          <w:tcPr>
            <w:tcW w:w="482" w:type="pct"/>
            <w:vAlign w:val="center"/>
          </w:tcPr>
          <w:p w14:paraId="10327FB5" w14:textId="77777777" w:rsidR="00741992" w:rsidRPr="00D30BFF" w:rsidRDefault="00741992" w:rsidP="007413DF">
            <w:pPr>
              <w:pStyle w:val="Tabletext"/>
              <w:spacing w:line="276" w:lineRule="auto"/>
              <w:jc w:val="right"/>
              <w:rPr>
                <w:sz w:val="22"/>
                <w:lang w:val="en-AU"/>
              </w:rPr>
            </w:pPr>
            <w:r w:rsidRPr="00D30BFF">
              <w:rPr>
                <w:sz w:val="22"/>
                <w:lang w:val="en-AU"/>
              </w:rPr>
              <w:t>0.4</w:t>
            </w:r>
          </w:p>
        </w:tc>
        <w:tc>
          <w:tcPr>
            <w:tcW w:w="482" w:type="pct"/>
            <w:vAlign w:val="center"/>
          </w:tcPr>
          <w:p w14:paraId="7C59FB79" w14:textId="10511005" w:rsidR="00741992" w:rsidRPr="00D30BFF" w:rsidRDefault="00D72639" w:rsidP="007413DF">
            <w:pPr>
              <w:pStyle w:val="Tabletext"/>
              <w:spacing w:line="276" w:lineRule="auto"/>
              <w:jc w:val="right"/>
              <w:rPr>
                <w:sz w:val="22"/>
                <w:lang w:val="en-AU"/>
              </w:rPr>
            </w:pPr>
            <w:r w:rsidRPr="00D30BFF">
              <w:rPr>
                <w:sz w:val="22"/>
                <w:lang w:val="en-AU"/>
              </w:rPr>
              <w:t>–</w:t>
            </w:r>
          </w:p>
        </w:tc>
        <w:tc>
          <w:tcPr>
            <w:tcW w:w="483" w:type="pct"/>
            <w:vAlign w:val="center"/>
          </w:tcPr>
          <w:p w14:paraId="23113E0E" w14:textId="04D8F910" w:rsidR="00741992" w:rsidRPr="00D30BFF" w:rsidRDefault="00D72639" w:rsidP="007413DF">
            <w:pPr>
              <w:pStyle w:val="Tabletext"/>
              <w:spacing w:line="276" w:lineRule="auto"/>
              <w:jc w:val="right"/>
              <w:rPr>
                <w:sz w:val="22"/>
                <w:lang w:val="en-AU"/>
              </w:rPr>
            </w:pPr>
            <w:r w:rsidRPr="00D30BFF">
              <w:rPr>
                <w:sz w:val="22"/>
                <w:lang w:val="en-AU"/>
              </w:rPr>
              <w:t>–</w:t>
            </w:r>
          </w:p>
        </w:tc>
        <w:tc>
          <w:tcPr>
            <w:tcW w:w="482" w:type="pct"/>
            <w:vAlign w:val="center"/>
          </w:tcPr>
          <w:p w14:paraId="6786648B" w14:textId="71D3C60E" w:rsidR="00741992" w:rsidRPr="00D30BFF" w:rsidRDefault="00D72639" w:rsidP="007413DF">
            <w:pPr>
              <w:pStyle w:val="Tabletext"/>
              <w:spacing w:line="276" w:lineRule="auto"/>
              <w:jc w:val="right"/>
              <w:rPr>
                <w:sz w:val="22"/>
                <w:lang w:val="en-AU"/>
              </w:rPr>
            </w:pPr>
            <w:r w:rsidRPr="00D30BFF">
              <w:rPr>
                <w:sz w:val="22"/>
                <w:lang w:val="en-AU"/>
              </w:rPr>
              <w:t>–</w:t>
            </w:r>
          </w:p>
        </w:tc>
      </w:tr>
      <w:tr w:rsidR="00741992" w:rsidRPr="00D30BFF" w14:paraId="02218C3B" w14:textId="77777777" w:rsidTr="00741992">
        <w:trPr>
          <w:trHeight w:val="293"/>
        </w:trPr>
        <w:tc>
          <w:tcPr>
            <w:tcW w:w="3071" w:type="pct"/>
          </w:tcPr>
          <w:p w14:paraId="14B2F5B3" w14:textId="77777777" w:rsidR="00741992" w:rsidRPr="00D30BFF" w:rsidRDefault="00741992" w:rsidP="007413DF">
            <w:pPr>
              <w:pStyle w:val="Tabletext"/>
              <w:spacing w:line="276" w:lineRule="auto"/>
              <w:rPr>
                <w:sz w:val="22"/>
                <w:lang w:val="en-AU"/>
              </w:rPr>
            </w:pPr>
            <w:r w:rsidRPr="00D30BFF">
              <w:rPr>
                <w:sz w:val="22"/>
                <w:lang w:val="en-AU"/>
              </w:rPr>
              <w:t>Half price camping fees</w:t>
            </w:r>
          </w:p>
        </w:tc>
        <w:tc>
          <w:tcPr>
            <w:tcW w:w="482" w:type="pct"/>
            <w:vAlign w:val="center"/>
          </w:tcPr>
          <w:p w14:paraId="30888914" w14:textId="77777777" w:rsidR="00741992" w:rsidRPr="00D30BFF" w:rsidRDefault="00741992" w:rsidP="007413DF">
            <w:pPr>
              <w:pStyle w:val="Tabletext"/>
              <w:spacing w:line="276" w:lineRule="auto"/>
              <w:jc w:val="right"/>
              <w:rPr>
                <w:sz w:val="22"/>
                <w:lang w:val="en-AU"/>
              </w:rPr>
            </w:pPr>
            <w:r w:rsidRPr="00D30BFF">
              <w:rPr>
                <w:sz w:val="22"/>
                <w:lang w:val="en-AU"/>
              </w:rPr>
              <w:t>5.2</w:t>
            </w:r>
          </w:p>
        </w:tc>
        <w:tc>
          <w:tcPr>
            <w:tcW w:w="482" w:type="pct"/>
            <w:vAlign w:val="center"/>
          </w:tcPr>
          <w:p w14:paraId="00FF8ED3" w14:textId="77777777" w:rsidR="00741992" w:rsidRPr="00D30BFF" w:rsidRDefault="00741992" w:rsidP="007413DF">
            <w:pPr>
              <w:pStyle w:val="Tabletext"/>
              <w:spacing w:line="276" w:lineRule="auto"/>
              <w:jc w:val="right"/>
              <w:rPr>
                <w:sz w:val="22"/>
                <w:lang w:val="en-AU"/>
              </w:rPr>
            </w:pPr>
            <w:r w:rsidRPr="00D30BFF">
              <w:rPr>
                <w:sz w:val="22"/>
                <w:lang w:val="en-AU"/>
              </w:rPr>
              <w:t>5.3</w:t>
            </w:r>
          </w:p>
        </w:tc>
        <w:tc>
          <w:tcPr>
            <w:tcW w:w="483" w:type="pct"/>
            <w:vAlign w:val="center"/>
          </w:tcPr>
          <w:p w14:paraId="6716DDDC" w14:textId="1B40A75D" w:rsidR="00741992" w:rsidRPr="00D30BFF" w:rsidRDefault="00D72639" w:rsidP="007413DF">
            <w:pPr>
              <w:pStyle w:val="Tabletext"/>
              <w:spacing w:line="276" w:lineRule="auto"/>
              <w:jc w:val="right"/>
              <w:rPr>
                <w:sz w:val="22"/>
                <w:lang w:val="en-AU"/>
              </w:rPr>
            </w:pPr>
            <w:r w:rsidRPr="00D30BFF">
              <w:rPr>
                <w:sz w:val="22"/>
                <w:lang w:val="en-AU"/>
              </w:rPr>
              <w:t>–</w:t>
            </w:r>
          </w:p>
        </w:tc>
        <w:tc>
          <w:tcPr>
            <w:tcW w:w="482" w:type="pct"/>
            <w:vAlign w:val="center"/>
          </w:tcPr>
          <w:p w14:paraId="734A3D60" w14:textId="22D048D5" w:rsidR="00741992" w:rsidRPr="00D30BFF" w:rsidRDefault="00D72639" w:rsidP="007413DF">
            <w:pPr>
              <w:pStyle w:val="Tabletext"/>
              <w:spacing w:line="276" w:lineRule="auto"/>
              <w:jc w:val="right"/>
              <w:rPr>
                <w:sz w:val="22"/>
                <w:lang w:val="en-AU"/>
              </w:rPr>
            </w:pPr>
            <w:r w:rsidRPr="00D30BFF">
              <w:rPr>
                <w:sz w:val="22"/>
                <w:lang w:val="en-AU"/>
              </w:rPr>
              <w:t>–</w:t>
            </w:r>
          </w:p>
        </w:tc>
      </w:tr>
      <w:tr w:rsidR="00741992" w:rsidRPr="00D30BFF" w14:paraId="0C64C78A" w14:textId="77777777" w:rsidTr="00741992">
        <w:trPr>
          <w:trHeight w:val="113"/>
        </w:trPr>
        <w:tc>
          <w:tcPr>
            <w:tcW w:w="3071" w:type="pct"/>
          </w:tcPr>
          <w:p w14:paraId="5C0D6CC1" w14:textId="77777777" w:rsidR="00741992" w:rsidRPr="00D30BFF" w:rsidRDefault="00741992" w:rsidP="007413DF">
            <w:pPr>
              <w:pStyle w:val="Tabletext"/>
              <w:spacing w:line="276" w:lineRule="auto"/>
              <w:rPr>
                <w:sz w:val="22"/>
                <w:lang w:val="en-AU"/>
              </w:rPr>
            </w:pPr>
            <w:r w:rsidRPr="00D30BFF">
              <w:rPr>
                <w:sz w:val="22"/>
                <w:lang w:val="en-AU"/>
              </w:rPr>
              <w:t>Kangaroo Harvesting Program</w:t>
            </w:r>
          </w:p>
        </w:tc>
        <w:tc>
          <w:tcPr>
            <w:tcW w:w="482" w:type="pct"/>
            <w:vAlign w:val="center"/>
          </w:tcPr>
          <w:p w14:paraId="0A12003C" w14:textId="77777777" w:rsidR="00741992" w:rsidRPr="00D30BFF" w:rsidRDefault="00741992" w:rsidP="007413DF">
            <w:pPr>
              <w:pStyle w:val="Tabletext"/>
              <w:spacing w:line="276" w:lineRule="auto"/>
              <w:jc w:val="right"/>
              <w:rPr>
                <w:sz w:val="22"/>
                <w:lang w:val="en-AU"/>
              </w:rPr>
            </w:pPr>
            <w:r w:rsidRPr="00D30BFF">
              <w:rPr>
                <w:sz w:val="22"/>
                <w:lang w:val="en-AU"/>
              </w:rPr>
              <w:t>0.2</w:t>
            </w:r>
          </w:p>
        </w:tc>
        <w:tc>
          <w:tcPr>
            <w:tcW w:w="482" w:type="pct"/>
            <w:vAlign w:val="center"/>
          </w:tcPr>
          <w:p w14:paraId="6F9FB94A" w14:textId="77777777" w:rsidR="00741992" w:rsidRPr="00D30BFF" w:rsidRDefault="00741992" w:rsidP="007413DF">
            <w:pPr>
              <w:pStyle w:val="Tabletext"/>
              <w:spacing w:line="276" w:lineRule="auto"/>
              <w:jc w:val="right"/>
              <w:rPr>
                <w:sz w:val="22"/>
                <w:lang w:val="en-AU"/>
              </w:rPr>
            </w:pPr>
            <w:r w:rsidRPr="00D30BFF">
              <w:rPr>
                <w:sz w:val="22"/>
                <w:lang w:val="en-AU"/>
              </w:rPr>
              <w:t>0.6</w:t>
            </w:r>
          </w:p>
        </w:tc>
        <w:tc>
          <w:tcPr>
            <w:tcW w:w="483" w:type="pct"/>
            <w:vAlign w:val="center"/>
          </w:tcPr>
          <w:p w14:paraId="5D942E43" w14:textId="6E9B594D" w:rsidR="00741992" w:rsidRPr="00D30BFF" w:rsidRDefault="00D72639" w:rsidP="007413DF">
            <w:pPr>
              <w:pStyle w:val="Tabletext"/>
              <w:spacing w:line="276" w:lineRule="auto"/>
              <w:jc w:val="right"/>
              <w:rPr>
                <w:sz w:val="22"/>
                <w:lang w:val="en-AU"/>
              </w:rPr>
            </w:pPr>
            <w:r w:rsidRPr="00D30BFF">
              <w:rPr>
                <w:sz w:val="22"/>
                <w:lang w:val="en-AU"/>
              </w:rPr>
              <w:t>–</w:t>
            </w:r>
          </w:p>
        </w:tc>
        <w:tc>
          <w:tcPr>
            <w:tcW w:w="482" w:type="pct"/>
            <w:vAlign w:val="center"/>
          </w:tcPr>
          <w:p w14:paraId="18BFAD37" w14:textId="07D12B65" w:rsidR="00741992" w:rsidRPr="00D30BFF" w:rsidRDefault="00D72639" w:rsidP="007413DF">
            <w:pPr>
              <w:pStyle w:val="Tabletext"/>
              <w:spacing w:line="276" w:lineRule="auto"/>
              <w:jc w:val="right"/>
              <w:rPr>
                <w:sz w:val="22"/>
                <w:lang w:val="en-AU"/>
              </w:rPr>
            </w:pPr>
            <w:r w:rsidRPr="00D30BFF">
              <w:rPr>
                <w:sz w:val="22"/>
                <w:lang w:val="en-AU"/>
              </w:rPr>
              <w:t>–</w:t>
            </w:r>
          </w:p>
        </w:tc>
      </w:tr>
      <w:tr w:rsidR="00741992" w:rsidRPr="00D30BFF" w14:paraId="70C997A5" w14:textId="77777777" w:rsidTr="00741992">
        <w:trPr>
          <w:trHeight w:val="113"/>
        </w:trPr>
        <w:tc>
          <w:tcPr>
            <w:tcW w:w="3071" w:type="pct"/>
          </w:tcPr>
          <w:p w14:paraId="1147A139" w14:textId="77777777" w:rsidR="00741992" w:rsidRPr="00D30BFF" w:rsidRDefault="00741992" w:rsidP="007413DF">
            <w:pPr>
              <w:pStyle w:val="Tabletext"/>
              <w:spacing w:line="276" w:lineRule="auto"/>
              <w:rPr>
                <w:sz w:val="22"/>
                <w:lang w:val="en-AU"/>
              </w:rPr>
            </w:pPr>
            <w:r w:rsidRPr="00D30BFF">
              <w:rPr>
                <w:sz w:val="22"/>
                <w:lang w:val="en-AU"/>
              </w:rPr>
              <w:t>Luna Park building works</w:t>
            </w:r>
          </w:p>
        </w:tc>
        <w:tc>
          <w:tcPr>
            <w:tcW w:w="482" w:type="pct"/>
            <w:vAlign w:val="center"/>
          </w:tcPr>
          <w:p w14:paraId="0400C201" w14:textId="77777777" w:rsidR="00741992" w:rsidRPr="00D30BFF" w:rsidRDefault="00741992" w:rsidP="007413DF">
            <w:pPr>
              <w:pStyle w:val="Tabletext"/>
              <w:spacing w:line="276" w:lineRule="auto"/>
              <w:jc w:val="right"/>
              <w:rPr>
                <w:sz w:val="22"/>
                <w:lang w:val="en-AU"/>
              </w:rPr>
            </w:pPr>
            <w:r w:rsidRPr="00D30BFF">
              <w:rPr>
                <w:sz w:val="22"/>
                <w:lang w:val="en-AU"/>
              </w:rPr>
              <w:t>tbc</w:t>
            </w:r>
          </w:p>
        </w:tc>
        <w:tc>
          <w:tcPr>
            <w:tcW w:w="482" w:type="pct"/>
            <w:vAlign w:val="center"/>
          </w:tcPr>
          <w:p w14:paraId="2C1F5FFB" w14:textId="77777777" w:rsidR="00741992" w:rsidRPr="00D30BFF" w:rsidRDefault="00741992" w:rsidP="007413DF">
            <w:pPr>
              <w:pStyle w:val="Tabletext"/>
              <w:spacing w:line="276" w:lineRule="auto"/>
              <w:jc w:val="right"/>
              <w:rPr>
                <w:sz w:val="22"/>
                <w:lang w:val="en-AU"/>
              </w:rPr>
            </w:pPr>
            <w:r w:rsidRPr="00D30BFF">
              <w:rPr>
                <w:sz w:val="22"/>
                <w:lang w:val="en-AU"/>
              </w:rPr>
              <w:t>tbc</w:t>
            </w:r>
          </w:p>
        </w:tc>
        <w:tc>
          <w:tcPr>
            <w:tcW w:w="483" w:type="pct"/>
            <w:vAlign w:val="center"/>
          </w:tcPr>
          <w:p w14:paraId="4AB1DBD4" w14:textId="77777777" w:rsidR="00741992" w:rsidRPr="00D30BFF" w:rsidRDefault="00741992" w:rsidP="007413DF">
            <w:pPr>
              <w:pStyle w:val="Tabletext"/>
              <w:spacing w:line="276" w:lineRule="auto"/>
              <w:jc w:val="right"/>
              <w:rPr>
                <w:sz w:val="22"/>
                <w:lang w:val="en-AU"/>
              </w:rPr>
            </w:pPr>
            <w:r w:rsidRPr="00D30BFF">
              <w:rPr>
                <w:sz w:val="22"/>
                <w:lang w:val="en-AU"/>
              </w:rPr>
              <w:t>tbc</w:t>
            </w:r>
          </w:p>
        </w:tc>
        <w:tc>
          <w:tcPr>
            <w:tcW w:w="482" w:type="pct"/>
            <w:vAlign w:val="center"/>
          </w:tcPr>
          <w:p w14:paraId="244B1DF9" w14:textId="77777777" w:rsidR="00741992" w:rsidRPr="00D30BFF" w:rsidRDefault="00741992" w:rsidP="007413DF">
            <w:pPr>
              <w:pStyle w:val="Tabletext"/>
              <w:spacing w:line="276" w:lineRule="auto"/>
              <w:jc w:val="right"/>
              <w:rPr>
                <w:sz w:val="22"/>
                <w:lang w:val="en-AU"/>
              </w:rPr>
            </w:pPr>
            <w:r w:rsidRPr="00D30BFF">
              <w:rPr>
                <w:sz w:val="22"/>
                <w:lang w:val="en-AU"/>
              </w:rPr>
              <w:t>tbc</w:t>
            </w:r>
          </w:p>
        </w:tc>
      </w:tr>
      <w:tr w:rsidR="00741992" w:rsidRPr="00D30BFF" w14:paraId="049FA74D" w14:textId="77777777" w:rsidTr="00741992">
        <w:trPr>
          <w:trHeight w:val="113"/>
        </w:trPr>
        <w:tc>
          <w:tcPr>
            <w:tcW w:w="3071" w:type="pct"/>
          </w:tcPr>
          <w:p w14:paraId="00CB8C02" w14:textId="77777777" w:rsidR="00741992" w:rsidRPr="00D30BFF" w:rsidRDefault="00741992" w:rsidP="007413DF">
            <w:pPr>
              <w:pStyle w:val="Tabletext"/>
              <w:spacing w:line="276" w:lineRule="auto"/>
              <w:rPr>
                <w:sz w:val="22"/>
                <w:lang w:val="en-AU"/>
              </w:rPr>
            </w:pPr>
            <w:r w:rsidRPr="00D30BFF">
              <w:rPr>
                <w:sz w:val="22"/>
                <w:lang w:val="en-AU"/>
              </w:rPr>
              <w:t>Protecting public land</w:t>
            </w:r>
          </w:p>
        </w:tc>
        <w:tc>
          <w:tcPr>
            <w:tcW w:w="482" w:type="pct"/>
            <w:vAlign w:val="center"/>
          </w:tcPr>
          <w:p w14:paraId="1BC6CDF8" w14:textId="77777777" w:rsidR="00741992" w:rsidRPr="00D30BFF" w:rsidRDefault="00741992" w:rsidP="007413DF">
            <w:pPr>
              <w:pStyle w:val="Tabletext"/>
              <w:spacing w:line="276" w:lineRule="auto"/>
              <w:jc w:val="right"/>
              <w:rPr>
                <w:sz w:val="22"/>
                <w:lang w:val="en-AU"/>
              </w:rPr>
            </w:pPr>
            <w:r w:rsidRPr="00D30BFF">
              <w:rPr>
                <w:sz w:val="22"/>
                <w:lang w:val="en-AU"/>
              </w:rPr>
              <w:t>1.0</w:t>
            </w:r>
          </w:p>
        </w:tc>
        <w:tc>
          <w:tcPr>
            <w:tcW w:w="482" w:type="pct"/>
            <w:vAlign w:val="center"/>
          </w:tcPr>
          <w:p w14:paraId="34D86123" w14:textId="77777777" w:rsidR="00741992" w:rsidRPr="00D30BFF" w:rsidRDefault="00741992" w:rsidP="007413DF">
            <w:pPr>
              <w:pStyle w:val="Tabletext"/>
              <w:spacing w:line="276" w:lineRule="auto"/>
              <w:jc w:val="right"/>
              <w:rPr>
                <w:sz w:val="22"/>
                <w:lang w:val="en-AU"/>
              </w:rPr>
            </w:pPr>
            <w:r w:rsidRPr="00D30BFF">
              <w:rPr>
                <w:sz w:val="22"/>
                <w:lang w:val="en-AU"/>
              </w:rPr>
              <w:t>1.0</w:t>
            </w:r>
          </w:p>
        </w:tc>
        <w:tc>
          <w:tcPr>
            <w:tcW w:w="483" w:type="pct"/>
            <w:vAlign w:val="center"/>
          </w:tcPr>
          <w:p w14:paraId="6C1349FA" w14:textId="38EB3B71" w:rsidR="00741992" w:rsidRPr="00D30BFF" w:rsidRDefault="00D72639" w:rsidP="007413DF">
            <w:pPr>
              <w:pStyle w:val="Tabletext"/>
              <w:spacing w:line="276" w:lineRule="auto"/>
              <w:jc w:val="right"/>
              <w:rPr>
                <w:sz w:val="22"/>
                <w:lang w:val="en-AU"/>
              </w:rPr>
            </w:pPr>
            <w:r w:rsidRPr="00D30BFF">
              <w:rPr>
                <w:sz w:val="22"/>
                <w:lang w:val="en-AU"/>
              </w:rPr>
              <w:t>–</w:t>
            </w:r>
          </w:p>
        </w:tc>
        <w:tc>
          <w:tcPr>
            <w:tcW w:w="482" w:type="pct"/>
            <w:vAlign w:val="center"/>
          </w:tcPr>
          <w:p w14:paraId="3B09DE3D" w14:textId="4232E904" w:rsidR="00741992" w:rsidRPr="00D30BFF" w:rsidRDefault="00D72639" w:rsidP="007413DF">
            <w:pPr>
              <w:pStyle w:val="Tabletext"/>
              <w:spacing w:line="276" w:lineRule="auto"/>
              <w:jc w:val="right"/>
              <w:rPr>
                <w:sz w:val="22"/>
                <w:lang w:val="en-AU"/>
              </w:rPr>
            </w:pPr>
            <w:r w:rsidRPr="00D30BFF">
              <w:rPr>
                <w:sz w:val="22"/>
                <w:lang w:val="en-AU"/>
              </w:rPr>
              <w:t>–</w:t>
            </w:r>
          </w:p>
        </w:tc>
      </w:tr>
      <w:tr w:rsidR="00741992" w:rsidRPr="00D30BFF" w14:paraId="3387633F" w14:textId="77777777" w:rsidTr="00741992">
        <w:trPr>
          <w:trHeight w:val="113"/>
        </w:trPr>
        <w:tc>
          <w:tcPr>
            <w:tcW w:w="3071" w:type="pct"/>
          </w:tcPr>
          <w:p w14:paraId="7BE1DFFA" w14:textId="77777777" w:rsidR="00741992" w:rsidRPr="00D30BFF" w:rsidRDefault="00741992" w:rsidP="007413DF">
            <w:pPr>
              <w:pStyle w:val="Tabletext"/>
              <w:spacing w:line="276" w:lineRule="auto"/>
              <w:rPr>
                <w:sz w:val="22"/>
                <w:lang w:val="en-AU"/>
              </w:rPr>
            </w:pPr>
            <w:r w:rsidRPr="00D30BFF">
              <w:rPr>
                <w:sz w:val="22"/>
                <w:lang w:val="en-AU"/>
              </w:rPr>
              <w:t>Severe weather event recovery</w:t>
            </w:r>
          </w:p>
        </w:tc>
        <w:tc>
          <w:tcPr>
            <w:tcW w:w="482" w:type="pct"/>
            <w:vAlign w:val="center"/>
          </w:tcPr>
          <w:p w14:paraId="235A8411" w14:textId="77777777" w:rsidR="00741992" w:rsidRPr="00D30BFF" w:rsidRDefault="00741992" w:rsidP="007413DF">
            <w:pPr>
              <w:pStyle w:val="Tabletext"/>
              <w:spacing w:line="276" w:lineRule="auto"/>
              <w:jc w:val="right"/>
              <w:rPr>
                <w:sz w:val="22"/>
                <w:lang w:val="en-AU"/>
              </w:rPr>
            </w:pPr>
            <w:r w:rsidRPr="00D30BFF">
              <w:rPr>
                <w:sz w:val="22"/>
                <w:lang w:val="en-AU"/>
              </w:rPr>
              <w:t>tbc</w:t>
            </w:r>
          </w:p>
        </w:tc>
        <w:tc>
          <w:tcPr>
            <w:tcW w:w="482" w:type="pct"/>
            <w:vAlign w:val="center"/>
          </w:tcPr>
          <w:p w14:paraId="62893898" w14:textId="77777777" w:rsidR="00741992" w:rsidRPr="00D30BFF" w:rsidRDefault="00741992" w:rsidP="007413DF">
            <w:pPr>
              <w:pStyle w:val="Tabletext"/>
              <w:spacing w:line="276" w:lineRule="auto"/>
              <w:jc w:val="right"/>
              <w:rPr>
                <w:sz w:val="22"/>
                <w:lang w:val="en-AU"/>
              </w:rPr>
            </w:pPr>
            <w:r w:rsidRPr="00D30BFF">
              <w:rPr>
                <w:sz w:val="22"/>
                <w:lang w:val="en-AU"/>
              </w:rPr>
              <w:t>tbc</w:t>
            </w:r>
          </w:p>
        </w:tc>
        <w:tc>
          <w:tcPr>
            <w:tcW w:w="483" w:type="pct"/>
            <w:vAlign w:val="center"/>
          </w:tcPr>
          <w:p w14:paraId="454D16CE" w14:textId="77777777" w:rsidR="00741992" w:rsidRPr="00D30BFF" w:rsidRDefault="00741992" w:rsidP="007413DF">
            <w:pPr>
              <w:pStyle w:val="Tabletext"/>
              <w:spacing w:line="276" w:lineRule="auto"/>
              <w:jc w:val="right"/>
              <w:rPr>
                <w:sz w:val="22"/>
                <w:lang w:val="en-AU"/>
              </w:rPr>
            </w:pPr>
            <w:r w:rsidRPr="00D30BFF">
              <w:rPr>
                <w:sz w:val="22"/>
                <w:lang w:val="en-AU"/>
              </w:rPr>
              <w:t>tbc</w:t>
            </w:r>
          </w:p>
        </w:tc>
        <w:tc>
          <w:tcPr>
            <w:tcW w:w="482" w:type="pct"/>
            <w:vAlign w:val="center"/>
          </w:tcPr>
          <w:p w14:paraId="3970B2C8" w14:textId="77777777" w:rsidR="00741992" w:rsidRPr="00D30BFF" w:rsidRDefault="00741992" w:rsidP="007413DF">
            <w:pPr>
              <w:pStyle w:val="Tabletext"/>
              <w:spacing w:line="276" w:lineRule="auto"/>
              <w:jc w:val="right"/>
              <w:rPr>
                <w:sz w:val="22"/>
                <w:lang w:val="en-AU"/>
              </w:rPr>
            </w:pPr>
            <w:r w:rsidRPr="00D30BFF">
              <w:rPr>
                <w:sz w:val="22"/>
                <w:lang w:val="en-AU"/>
              </w:rPr>
              <w:t>tbc</w:t>
            </w:r>
          </w:p>
        </w:tc>
      </w:tr>
      <w:tr w:rsidR="00741992" w:rsidRPr="00D30BFF" w14:paraId="24DF6C99" w14:textId="77777777" w:rsidTr="00741992">
        <w:trPr>
          <w:trHeight w:val="113"/>
        </w:trPr>
        <w:tc>
          <w:tcPr>
            <w:tcW w:w="3071" w:type="pct"/>
          </w:tcPr>
          <w:p w14:paraId="6BF73164" w14:textId="77777777" w:rsidR="00741992" w:rsidRPr="00D30BFF" w:rsidRDefault="00741992" w:rsidP="007413DF">
            <w:pPr>
              <w:pStyle w:val="Tabletext"/>
              <w:spacing w:line="276" w:lineRule="auto"/>
              <w:rPr>
                <w:sz w:val="22"/>
                <w:lang w:val="en-AU"/>
              </w:rPr>
            </w:pPr>
            <w:r w:rsidRPr="00D30BFF">
              <w:rPr>
                <w:sz w:val="22"/>
                <w:lang w:val="en-AU"/>
              </w:rPr>
              <w:t>Supporting nature-based tourism and the environment along the Great Ocean Road</w:t>
            </w:r>
          </w:p>
        </w:tc>
        <w:tc>
          <w:tcPr>
            <w:tcW w:w="482" w:type="pct"/>
            <w:vAlign w:val="center"/>
          </w:tcPr>
          <w:p w14:paraId="052EAA70" w14:textId="77777777" w:rsidR="00741992" w:rsidRPr="00D30BFF" w:rsidRDefault="00741992" w:rsidP="007413DF">
            <w:pPr>
              <w:pStyle w:val="Tabletext"/>
              <w:spacing w:line="276" w:lineRule="auto"/>
              <w:jc w:val="right"/>
              <w:rPr>
                <w:sz w:val="22"/>
                <w:lang w:val="en-AU"/>
              </w:rPr>
            </w:pPr>
            <w:r w:rsidRPr="00D30BFF">
              <w:rPr>
                <w:sz w:val="22"/>
                <w:lang w:val="en-AU"/>
              </w:rPr>
              <w:t>3.7</w:t>
            </w:r>
          </w:p>
        </w:tc>
        <w:tc>
          <w:tcPr>
            <w:tcW w:w="482" w:type="pct"/>
            <w:vAlign w:val="center"/>
          </w:tcPr>
          <w:p w14:paraId="6A4D4DBF" w14:textId="54CB89C3" w:rsidR="00741992" w:rsidRPr="00D30BFF" w:rsidRDefault="00D72639" w:rsidP="007413DF">
            <w:pPr>
              <w:pStyle w:val="Tabletext"/>
              <w:spacing w:line="276" w:lineRule="auto"/>
              <w:jc w:val="right"/>
              <w:rPr>
                <w:sz w:val="22"/>
                <w:lang w:val="en-AU"/>
              </w:rPr>
            </w:pPr>
            <w:r w:rsidRPr="00D30BFF">
              <w:rPr>
                <w:sz w:val="22"/>
                <w:lang w:val="en-AU"/>
              </w:rPr>
              <w:t>–</w:t>
            </w:r>
          </w:p>
        </w:tc>
        <w:tc>
          <w:tcPr>
            <w:tcW w:w="483" w:type="pct"/>
            <w:vAlign w:val="center"/>
          </w:tcPr>
          <w:p w14:paraId="32AC8808" w14:textId="4914689B" w:rsidR="00741992" w:rsidRPr="00D30BFF" w:rsidRDefault="00D72639" w:rsidP="007413DF">
            <w:pPr>
              <w:pStyle w:val="Tabletext"/>
              <w:spacing w:line="276" w:lineRule="auto"/>
              <w:jc w:val="right"/>
              <w:rPr>
                <w:sz w:val="22"/>
                <w:lang w:val="en-AU"/>
              </w:rPr>
            </w:pPr>
            <w:r w:rsidRPr="00D30BFF">
              <w:rPr>
                <w:sz w:val="22"/>
                <w:lang w:val="en-AU"/>
              </w:rPr>
              <w:t>–</w:t>
            </w:r>
          </w:p>
        </w:tc>
        <w:tc>
          <w:tcPr>
            <w:tcW w:w="482" w:type="pct"/>
            <w:vAlign w:val="center"/>
          </w:tcPr>
          <w:p w14:paraId="1FEB671C" w14:textId="59F3C67F" w:rsidR="00741992" w:rsidRPr="00D30BFF" w:rsidRDefault="00D72639" w:rsidP="007413DF">
            <w:pPr>
              <w:pStyle w:val="Tabletext"/>
              <w:spacing w:line="276" w:lineRule="auto"/>
              <w:jc w:val="right"/>
              <w:rPr>
                <w:sz w:val="22"/>
                <w:lang w:val="en-AU"/>
              </w:rPr>
            </w:pPr>
            <w:r w:rsidRPr="00D30BFF">
              <w:rPr>
                <w:sz w:val="22"/>
                <w:lang w:val="en-AU"/>
              </w:rPr>
              <w:t>–</w:t>
            </w:r>
          </w:p>
        </w:tc>
      </w:tr>
      <w:tr w:rsidR="00741992" w:rsidRPr="00D30BFF" w14:paraId="3AA2C212" w14:textId="77777777" w:rsidTr="00741992">
        <w:trPr>
          <w:trHeight w:val="113"/>
        </w:trPr>
        <w:tc>
          <w:tcPr>
            <w:tcW w:w="3071" w:type="pct"/>
          </w:tcPr>
          <w:p w14:paraId="2A55F1BD" w14:textId="77777777" w:rsidR="00741992" w:rsidRPr="00D30BFF" w:rsidRDefault="00741992" w:rsidP="007413DF">
            <w:pPr>
              <w:pStyle w:val="Tabletext"/>
              <w:spacing w:line="276" w:lineRule="auto"/>
              <w:rPr>
                <w:sz w:val="22"/>
                <w:lang w:val="en-AU"/>
              </w:rPr>
            </w:pPr>
            <w:r w:rsidRPr="00D30BFF">
              <w:rPr>
                <w:sz w:val="22"/>
                <w:lang w:val="en-AU"/>
              </w:rPr>
              <w:t>Zoos Victoria Kids Go Free</w:t>
            </w:r>
          </w:p>
        </w:tc>
        <w:tc>
          <w:tcPr>
            <w:tcW w:w="482" w:type="pct"/>
            <w:vAlign w:val="center"/>
          </w:tcPr>
          <w:p w14:paraId="3E27B66D" w14:textId="77777777" w:rsidR="00741992" w:rsidRPr="00D30BFF" w:rsidRDefault="00741992" w:rsidP="007413DF">
            <w:pPr>
              <w:pStyle w:val="Tabletext"/>
              <w:spacing w:line="276" w:lineRule="auto"/>
              <w:jc w:val="right"/>
              <w:rPr>
                <w:sz w:val="22"/>
                <w:lang w:val="en-AU"/>
              </w:rPr>
            </w:pPr>
            <w:r w:rsidRPr="00D30BFF">
              <w:rPr>
                <w:sz w:val="22"/>
                <w:lang w:val="en-AU"/>
              </w:rPr>
              <w:t>15.3</w:t>
            </w:r>
          </w:p>
        </w:tc>
        <w:tc>
          <w:tcPr>
            <w:tcW w:w="482" w:type="pct"/>
            <w:vAlign w:val="center"/>
          </w:tcPr>
          <w:p w14:paraId="148E5A7A" w14:textId="05627441" w:rsidR="00741992" w:rsidRPr="00D30BFF" w:rsidRDefault="00D72639" w:rsidP="007413DF">
            <w:pPr>
              <w:pStyle w:val="Tabletext"/>
              <w:spacing w:line="276" w:lineRule="auto"/>
              <w:jc w:val="right"/>
              <w:rPr>
                <w:sz w:val="22"/>
                <w:lang w:val="en-AU"/>
              </w:rPr>
            </w:pPr>
            <w:r w:rsidRPr="00D30BFF">
              <w:rPr>
                <w:sz w:val="22"/>
                <w:lang w:val="en-AU"/>
              </w:rPr>
              <w:t>–</w:t>
            </w:r>
          </w:p>
        </w:tc>
        <w:tc>
          <w:tcPr>
            <w:tcW w:w="483" w:type="pct"/>
            <w:vAlign w:val="center"/>
          </w:tcPr>
          <w:p w14:paraId="3431BCDC" w14:textId="3CC626D7" w:rsidR="00741992" w:rsidRPr="00D30BFF" w:rsidRDefault="00D72639" w:rsidP="007413DF">
            <w:pPr>
              <w:pStyle w:val="Tabletext"/>
              <w:spacing w:line="276" w:lineRule="auto"/>
              <w:jc w:val="right"/>
              <w:rPr>
                <w:sz w:val="22"/>
                <w:lang w:val="en-AU"/>
              </w:rPr>
            </w:pPr>
            <w:r w:rsidRPr="00D30BFF">
              <w:rPr>
                <w:sz w:val="22"/>
                <w:lang w:val="en-AU"/>
              </w:rPr>
              <w:t>–</w:t>
            </w:r>
          </w:p>
        </w:tc>
        <w:tc>
          <w:tcPr>
            <w:tcW w:w="482" w:type="pct"/>
            <w:vAlign w:val="center"/>
          </w:tcPr>
          <w:p w14:paraId="732702C9" w14:textId="03CCBA37" w:rsidR="00741992" w:rsidRPr="00D30BFF" w:rsidRDefault="00D72639" w:rsidP="007413DF">
            <w:pPr>
              <w:pStyle w:val="Tabletext"/>
              <w:spacing w:line="276" w:lineRule="auto"/>
              <w:jc w:val="right"/>
              <w:rPr>
                <w:sz w:val="22"/>
                <w:lang w:val="en-AU"/>
              </w:rPr>
            </w:pPr>
            <w:r w:rsidRPr="00D30BFF">
              <w:rPr>
                <w:sz w:val="22"/>
                <w:lang w:val="en-AU"/>
              </w:rPr>
              <w:t>–</w:t>
            </w:r>
          </w:p>
        </w:tc>
      </w:tr>
      <w:tr w:rsidR="00741992" w:rsidRPr="00D30BFF" w14:paraId="6CC99F15" w14:textId="77777777" w:rsidTr="007413DF">
        <w:trPr>
          <w:trHeight w:val="113"/>
        </w:trPr>
        <w:tc>
          <w:tcPr>
            <w:tcW w:w="3071" w:type="pct"/>
            <w:shd w:val="clear" w:color="auto" w:fill="F2F2F2" w:themeFill="background1" w:themeFillShade="F2"/>
          </w:tcPr>
          <w:p w14:paraId="10FBF958" w14:textId="77777777" w:rsidR="00741992" w:rsidRPr="00D30BFF" w:rsidRDefault="00741992" w:rsidP="007413DF">
            <w:pPr>
              <w:pStyle w:val="Tabletext"/>
              <w:spacing w:line="276" w:lineRule="auto"/>
              <w:rPr>
                <w:b/>
                <w:bCs/>
                <w:sz w:val="22"/>
                <w:lang w:val="en-AU"/>
              </w:rPr>
            </w:pPr>
            <w:r w:rsidRPr="00D30BFF">
              <w:rPr>
                <w:b/>
                <w:bCs/>
                <w:sz w:val="22"/>
                <w:lang w:val="en-AU"/>
              </w:rPr>
              <w:t>Resources</w:t>
            </w:r>
          </w:p>
        </w:tc>
        <w:tc>
          <w:tcPr>
            <w:tcW w:w="482" w:type="pct"/>
            <w:shd w:val="clear" w:color="auto" w:fill="F2F2F2" w:themeFill="background1" w:themeFillShade="F2"/>
            <w:vAlign w:val="center"/>
          </w:tcPr>
          <w:p w14:paraId="2D995F6A" w14:textId="77777777" w:rsidR="00741992" w:rsidRPr="00D30BFF" w:rsidRDefault="00741992" w:rsidP="007413DF">
            <w:pPr>
              <w:pStyle w:val="Tabletext"/>
              <w:spacing w:line="276" w:lineRule="auto"/>
              <w:jc w:val="right"/>
              <w:rPr>
                <w:b/>
                <w:bCs/>
                <w:sz w:val="22"/>
                <w:lang w:val="en-AU"/>
              </w:rPr>
            </w:pPr>
            <w:r w:rsidRPr="00D30BFF">
              <w:rPr>
                <w:b/>
                <w:bCs/>
                <w:sz w:val="22"/>
                <w:lang w:val="en-AU"/>
              </w:rPr>
              <w:t> </w:t>
            </w:r>
          </w:p>
        </w:tc>
        <w:tc>
          <w:tcPr>
            <w:tcW w:w="482" w:type="pct"/>
            <w:shd w:val="clear" w:color="auto" w:fill="F2F2F2" w:themeFill="background1" w:themeFillShade="F2"/>
            <w:vAlign w:val="center"/>
          </w:tcPr>
          <w:p w14:paraId="6FEE330E" w14:textId="77777777" w:rsidR="00741992" w:rsidRPr="00D30BFF" w:rsidRDefault="00741992" w:rsidP="007413DF">
            <w:pPr>
              <w:pStyle w:val="Tabletext"/>
              <w:spacing w:line="276" w:lineRule="auto"/>
              <w:jc w:val="right"/>
              <w:rPr>
                <w:b/>
                <w:bCs/>
                <w:sz w:val="22"/>
                <w:lang w:val="en-AU"/>
              </w:rPr>
            </w:pPr>
            <w:r w:rsidRPr="00D30BFF">
              <w:rPr>
                <w:b/>
                <w:bCs/>
                <w:sz w:val="22"/>
                <w:lang w:val="en-AU"/>
              </w:rPr>
              <w:t> </w:t>
            </w:r>
          </w:p>
        </w:tc>
        <w:tc>
          <w:tcPr>
            <w:tcW w:w="483" w:type="pct"/>
            <w:shd w:val="clear" w:color="auto" w:fill="F2F2F2" w:themeFill="background1" w:themeFillShade="F2"/>
            <w:vAlign w:val="center"/>
          </w:tcPr>
          <w:p w14:paraId="2029A037" w14:textId="77777777" w:rsidR="00741992" w:rsidRPr="00D30BFF" w:rsidRDefault="00741992" w:rsidP="007413DF">
            <w:pPr>
              <w:pStyle w:val="Tabletext"/>
              <w:spacing w:line="276" w:lineRule="auto"/>
              <w:jc w:val="right"/>
              <w:rPr>
                <w:b/>
                <w:bCs/>
                <w:sz w:val="22"/>
                <w:lang w:val="en-AU"/>
              </w:rPr>
            </w:pPr>
            <w:r w:rsidRPr="00D30BFF">
              <w:rPr>
                <w:b/>
                <w:bCs/>
                <w:sz w:val="22"/>
                <w:lang w:val="en-AU"/>
              </w:rPr>
              <w:t> </w:t>
            </w:r>
          </w:p>
        </w:tc>
        <w:tc>
          <w:tcPr>
            <w:tcW w:w="482" w:type="pct"/>
            <w:shd w:val="clear" w:color="auto" w:fill="F2F2F2" w:themeFill="background1" w:themeFillShade="F2"/>
            <w:vAlign w:val="center"/>
          </w:tcPr>
          <w:p w14:paraId="77F428AE" w14:textId="77777777" w:rsidR="00741992" w:rsidRPr="00D30BFF" w:rsidRDefault="00741992" w:rsidP="007413DF">
            <w:pPr>
              <w:pStyle w:val="Tabletext"/>
              <w:spacing w:line="276" w:lineRule="auto"/>
              <w:jc w:val="right"/>
              <w:rPr>
                <w:b/>
                <w:bCs/>
                <w:sz w:val="22"/>
                <w:lang w:val="en-AU"/>
              </w:rPr>
            </w:pPr>
            <w:r w:rsidRPr="00D30BFF">
              <w:rPr>
                <w:b/>
                <w:bCs/>
                <w:sz w:val="22"/>
                <w:lang w:val="en-AU"/>
              </w:rPr>
              <w:t> </w:t>
            </w:r>
          </w:p>
        </w:tc>
      </w:tr>
      <w:tr w:rsidR="00741992" w:rsidRPr="00D30BFF" w14:paraId="6574F488" w14:textId="77777777" w:rsidTr="00741992">
        <w:trPr>
          <w:trHeight w:val="113"/>
        </w:trPr>
        <w:tc>
          <w:tcPr>
            <w:tcW w:w="3071" w:type="pct"/>
          </w:tcPr>
          <w:p w14:paraId="0DE8DCD9" w14:textId="77777777" w:rsidR="00741992" w:rsidRPr="00D30BFF" w:rsidRDefault="00741992" w:rsidP="007413DF">
            <w:pPr>
              <w:pStyle w:val="Tabletext"/>
              <w:spacing w:line="276" w:lineRule="auto"/>
              <w:rPr>
                <w:sz w:val="22"/>
                <w:lang w:val="en-AU"/>
              </w:rPr>
            </w:pPr>
            <w:r w:rsidRPr="00D30BFF">
              <w:rPr>
                <w:sz w:val="22"/>
                <w:lang w:val="en-AU"/>
              </w:rPr>
              <w:t>Efficient and strengthened earth resources regulation</w:t>
            </w:r>
          </w:p>
        </w:tc>
        <w:tc>
          <w:tcPr>
            <w:tcW w:w="482" w:type="pct"/>
            <w:vAlign w:val="center"/>
          </w:tcPr>
          <w:p w14:paraId="396D19D2" w14:textId="77777777" w:rsidR="00741992" w:rsidRPr="00D30BFF" w:rsidRDefault="00741992" w:rsidP="007413DF">
            <w:pPr>
              <w:pStyle w:val="Tabletext"/>
              <w:spacing w:line="276" w:lineRule="auto"/>
              <w:jc w:val="right"/>
              <w:rPr>
                <w:sz w:val="22"/>
                <w:lang w:val="en-AU"/>
              </w:rPr>
            </w:pPr>
            <w:r w:rsidRPr="00D30BFF">
              <w:rPr>
                <w:sz w:val="22"/>
                <w:lang w:val="en-AU"/>
              </w:rPr>
              <w:t>6.7</w:t>
            </w:r>
          </w:p>
        </w:tc>
        <w:tc>
          <w:tcPr>
            <w:tcW w:w="482" w:type="pct"/>
            <w:vAlign w:val="center"/>
          </w:tcPr>
          <w:p w14:paraId="29844E7A" w14:textId="77777777" w:rsidR="00741992" w:rsidRPr="00D30BFF" w:rsidRDefault="00741992" w:rsidP="007413DF">
            <w:pPr>
              <w:pStyle w:val="Tabletext"/>
              <w:spacing w:line="276" w:lineRule="auto"/>
              <w:jc w:val="right"/>
              <w:rPr>
                <w:sz w:val="22"/>
                <w:lang w:val="en-AU"/>
              </w:rPr>
            </w:pPr>
            <w:r w:rsidRPr="00D30BFF">
              <w:rPr>
                <w:sz w:val="22"/>
                <w:lang w:val="en-AU"/>
              </w:rPr>
              <w:t>9.8</w:t>
            </w:r>
          </w:p>
        </w:tc>
        <w:tc>
          <w:tcPr>
            <w:tcW w:w="483" w:type="pct"/>
            <w:vAlign w:val="center"/>
          </w:tcPr>
          <w:p w14:paraId="53C37935" w14:textId="77777777" w:rsidR="00741992" w:rsidRPr="00D30BFF" w:rsidRDefault="00741992" w:rsidP="007413DF">
            <w:pPr>
              <w:pStyle w:val="Tabletext"/>
              <w:spacing w:line="276" w:lineRule="auto"/>
              <w:jc w:val="right"/>
              <w:rPr>
                <w:sz w:val="22"/>
                <w:lang w:val="en-AU"/>
              </w:rPr>
            </w:pPr>
            <w:r w:rsidRPr="00D30BFF">
              <w:rPr>
                <w:sz w:val="22"/>
                <w:lang w:val="en-AU"/>
              </w:rPr>
              <w:t>10.2</w:t>
            </w:r>
          </w:p>
        </w:tc>
        <w:tc>
          <w:tcPr>
            <w:tcW w:w="482" w:type="pct"/>
            <w:vAlign w:val="center"/>
          </w:tcPr>
          <w:p w14:paraId="0D0DCCC2" w14:textId="77777777" w:rsidR="00741992" w:rsidRPr="00D30BFF" w:rsidRDefault="00741992" w:rsidP="007413DF">
            <w:pPr>
              <w:pStyle w:val="Tabletext"/>
              <w:spacing w:line="276" w:lineRule="auto"/>
              <w:jc w:val="right"/>
              <w:rPr>
                <w:sz w:val="22"/>
                <w:lang w:val="en-AU"/>
              </w:rPr>
            </w:pPr>
            <w:r w:rsidRPr="00D30BFF">
              <w:rPr>
                <w:sz w:val="22"/>
                <w:lang w:val="en-AU"/>
              </w:rPr>
              <w:t>11.2</w:t>
            </w:r>
          </w:p>
        </w:tc>
      </w:tr>
      <w:tr w:rsidR="00741992" w:rsidRPr="00D30BFF" w14:paraId="1BB18D2B" w14:textId="77777777" w:rsidTr="00741992">
        <w:trPr>
          <w:trHeight w:val="113"/>
        </w:trPr>
        <w:tc>
          <w:tcPr>
            <w:tcW w:w="3071" w:type="pct"/>
          </w:tcPr>
          <w:p w14:paraId="52D5FF3D" w14:textId="77777777" w:rsidR="00741992" w:rsidRPr="00D30BFF" w:rsidRDefault="00741992" w:rsidP="007413DF">
            <w:pPr>
              <w:pStyle w:val="Tabletext"/>
              <w:spacing w:line="276" w:lineRule="auto"/>
              <w:rPr>
                <w:sz w:val="22"/>
                <w:lang w:val="en-AU"/>
              </w:rPr>
            </w:pPr>
            <w:r w:rsidRPr="00D30BFF">
              <w:rPr>
                <w:sz w:val="22"/>
                <w:lang w:val="en-AU"/>
              </w:rPr>
              <w:lastRenderedPageBreak/>
              <w:t>Safeguarding Victoria from former mines and quarries</w:t>
            </w:r>
          </w:p>
        </w:tc>
        <w:tc>
          <w:tcPr>
            <w:tcW w:w="482" w:type="pct"/>
            <w:vAlign w:val="center"/>
          </w:tcPr>
          <w:p w14:paraId="76ADAE55" w14:textId="77777777" w:rsidR="00741992" w:rsidRPr="00D30BFF" w:rsidRDefault="00741992" w:rsidP="007413DF">
            <w:pPr>
              <w:pStyle w:val="Tabletext"/>
              <w:spacing w:line="276" w:lineRule="auto"/>
              <w:jc w:val="right"/>
              <w:rPr>
                <w:sz w:val="22"/>
                <w:lang w:val="en-AU"/>
              </w:rPr>
            </w:pPr>
            <w:r w:rsidRPr="00D30BFF">
              <w:rPr>
                <w:sz w:val="22"/>
                <w:lang w:val="en-AU"/>
              </w:rPr>
              <w:t>1.7</w:t>
            </w:r>
          </w:p>
        </w:tc>
        <w:tc>
          <w:tcPr>
            <w:tcW w:w="482" w:type="pct"/>
            <w:vAlign w:val="center"/>
          </w:tcPr>
          <w:p w14:paraId="0005F7A8" w14:textId="7417369B" w:rsidR="00741992" w:rsidRPr="00D30BFF" w:rsidRDefault="00D72639" w:rsidP="007413DF">
            <w:pPr>
              <w:pStyle w:val="Tabletext"/>
              <w:spacing w:line="276" w:lineRule="auto"/>
              <w:jc w:val="right"/>
              <w:rPr>
                <w:sz w:val="22"/>
                <w:lang w:val="en-AU"/>
              </w:rPr>
            </w:pPr>
            <w:r w:rsidRPr="00D30BFF">
              <w:rPr>
                <w:sz w:val="22"/>
                <w:lang w:val="en-AU"/>
              </w:rPr>
              <w:t>–</w:t>
            </w:r>
          </w:p>
        </w:tc>
        <w:tc>
          <w:tcPr>
            <w:tcW w:w="483" w:type="pct"/>
            <w:vAlign w:val="center"/>
          </w:tcPr>
          <w:p w14:paraId="7FFA9669" w14:textId="681D0C71" w:rsidR="00741992" w:rsidRPr="00D30BFF" w:rsidRDefault="00D72639" w:rsidP="007413DF">
            <w:pPr>
              <w:pStyle w:val="Tabletext"/>
              <w:spacing w:line="276" w:lineRule="auto"/>
              <w:jc w:val="right"/>
              <w:rPr>
                <w:sz w:val="22"/>
                <w:lang w:val="en-AU"/>
              </w:rPr>
            </w:pPr>
            <w:r w:rsidRPr="00D30BFF">
              <w:rPr>
                <w:sz w:val="22"/>
                <w:lang w:val="en-AU"/>
              </w:rPr>
              <w:t>–</w:t>
            </w:r>
          </w:p>
        </w:tc>
        <w:tc>
          <w:tcPr>
            <w:tcW w:w="482" w:type="pct"/>
            <w:vAlign w:val="center"/>
          </w:tcPr>
          <w:p w14:paraId="4B6924B2" w14:textId="09350425" w:rsidR="00741992" w:rsidRPr="00D30BFF" w:rsidRDefault="00D72639" w:rsidP="007413DF">
            <w:pPr>
              <w:pStyle w:val="Tabletext"/>
              <w:spacing w:line="276" w:lineRule="auto"/>
              <w:jc w:val="right"/>
              <w:rPr>
                <w:sz w:val="22"/>
                <w:lang w:val="en-AU"/>
              </w:rPr>
            </w:pPr>
            <w:r w:rsidRPr="00D30BFF">
              <w:rPr>
                <w:sz w:val="22"/>
                <w:lang w:val="en-AU"/>
              </w:rPr>
              <w:t>–</w:t>
            </w:r>
          </w:p>
        </w:tc>
      </w:tr>
      <w:tr w:rsidR="00741992" w:rsidRPr="00D30BFF" w14:paraId="2A4B535A" w14:textId="77777777" w:rsidTr="007413DF">
        <w:trPr>
          <w:trHeight w:val="113"/>
        </w:trPr>
        <w:tc>
          <w:tcPr>
            <w:tcW w:w="3071" w:type="pct"/>
            <w:shd w:val="clear" w:color="auto" w:fill="F2F2F2" w:themeFill="background1" w:themeFillShade="F2"/>
          </w:tcPr>
          <w:p w14:paraId="05816F8F" w14:textId="77777777" w:rsidR="00741992" w:rsidRPr="00D30BFF" w:rsidRDefault="00741992" w:rsidP="007413DF">
            <w:pPr>
              <w:pStyle w:val="Tabletext"/>
              <w:spacing w:line="276" w:lineRule="auto"/>
              <w:rPr>
                <w:b/>
                <w:bCs/>
                <w:sz w:val="22"/>
                <w:lang w:val="en-AU"/>
              </w:rPr>
            </w:pPr>
            <w:r w:rsidRPr="00D30BFF">
              <w:rPr>
                <w:b/>
                <w:bCs/>
                <w:sz w:val="22"/>
                <w:lang w:val="en-AU"/>
              </w:rPr>
              <w:t>Solar Victoria</w:t>
            </w:r>
          </w:p>
        </w:tc>
        <w:tc>
          <w:tcPr>
            <w:tcW w:w="482" w:type="pct"/>
            <w:shd w:val="clear" w:color="auto" w:fill="F2F2F2" w:themeFill="background1" w:themeFillShade="F2"/>
            <w:vAlign w:val="center"/>
          </w:tcPr>
          <w:p w14:paraId="51A1789F" w14:textId="77777777" w:rsidR="00741992" w:rsidRPr="00D30BFF" w:rsidRDefault="00741992" w:rsidP="007413DF">
            <w:pPr>
              <w:pStyle w:val="Tabletext"/>
              <w:spacing w:line="276" w:lineRule="auto"/>
              <w:jc w:val="right"/>
              <w:rPr>
                <w:b/>
                <w:bCs/>
                <w:sz w:val="22"/>
                <w:lang w:val="en-AU"/>
              </w:rPr>
            </w:pPr>
            <w:r w:rsidRPr="00D30BFF">
              <w:rPr>
                <w:b/>
                <w:bCs/>
                <w:sz w:val="22"/>
                <w:lang w:val="en-AU"/>
              </w:rPr>
              <w:t> </w:t>
            </w:r>
          </w:p>
        </w:tc>
        <w:tc>
          <w:tcPr>
            <w:tcW w:w="482" w:type="pct"/>
            <w:shd w:val="clear" w:color="auto" w:fill="F2F2F2" w:themeFill="background1" w:themeFillShade="F2"/>
            <w:vAlign w:val="center"/>
          </w:tcPr>
          <w:p w14:paraId="3A9D4407" w14:textId="77777777" w:rsidR="00741992" w:rsidRPr="00D30BFF" w:rsidRDefault="00741992" w:rsidP="007413DF">
            <w:pPr>
              <w:pStyle w:val="Tabletext"/>
              <w:spacing w:line="276" w:lineRule="auto"/>
              <w:jc w:val="right"/>
              <w:rPr>
                <w:b/>
                <w:bCs/>
                <w:sz w:val="22"/>
                <w:lang w:val="en-AU"/>
              </w:rPr>
            </w:pPr>
            <w:r w:rsidRPr="00D30BFF">
              <w:rPr>
                <w:b/>
                <w:bCs/>
                <w:sz w:val="22"/>
                <w:lang w:val="en-AU"/>
              </w:rPr>
              <w:t> </w:t>
            </w:r>
          </w:p>
        </w:tc>
        <w:tc>
          <w:tcPr>
            <w:tcW w:w="483" w:type="pct"/>
            <w:shd w:val="clear" w:color="auto" w:fill="F2F2F2" w:themeFill="background1" w:themeFillShade="F2"/>
            <w:vAlign w:val="center"/>
          </w:tcPr>
          <w:p w14:paraId="3E479955" w14:textId="77777777" w:rsidR="00741992" w:rsidRPr="00D30BFF" w:rsidRDefault="00741992" w:rsidP="007413DF">
            <w:pPr>
              <w:pStyle w:val="Tabletext"/>
              <w:spacing w:line="276" w:lineRule="auto"/>
              <w:jc w:val="right"/>
              <w:rPr>
                <w:b/>
                <w:bCs/>
                <w:sz w:val="22"/>
                <w:lang w:val="en-AU"/>
              </w:rPr>
            </w:pPr>
            <w:r w:rsidRPr="00D30BFF">
              <w:rPr>
                <w:b/>
                <w:bCs/>
                <w:sz w:val="22"/>
                <w:lang w:val="en-AU"/>
              </w:rPr>
              <w:t> </w:t>
            </w:r>
          </w:p>
        </w:tc>
        <w:tc>
          <w:tcPr>
            <w:tcW w:w="482" w:type="pct"/>
            <w:shd w:val="clear" w:color="auto" w:fill="F2F2F2" w:themeFill="background1" w:themeFillShade="F2"/>
            <w:vAlign w:val="center"/>
          </w:tcPr>
          <w:p w14:paraId="5BD23515" w14:textId="77777777" w:rsidR="00741992" w:rsidRPr="00D30BFF" w:rsidRDefault="00741992" w:rsidP="007413DF">
            <w:pPr>
              <w:pStyle w:val="Tabletext"/>
              <w:spacing w:line="276" w:lineRule="auto"/>
              <w:jc w:val="right"/>
              <w:rPr>
                <w:b/>
                <w:bCs/>
                <w:sz w:val="22"/>
                <w:lang w:val="en-AU"/>
              </w:rPr>
            </w:pPr>
            <w:r w:rsidRPr="00D30BFF">
              <w:rPr>
                <w:b/>
                <w:bCs/>
                <w:sz w:val="22"/>
                <w:lang w:val="en-AU"/>
              </w:rPr>
              <w:t> </w:t>
            </w:r>
          </w:p>
        </w:tc>
      </w:tr>
      <w:tr w:rsidR="00741992" w:rsidRPr="00D30BFF" w14:paraId="3855DAC3" w14:textId="77777777" w:rsidTr="00741992">
        <w:trPr>
          <w:trHeight w:val="113"/>
        </w:trPr>
        <w:tc>
          <w:tcPr>
            <w:tcW w:w="3071" w:type="pct"/>
          </w:tcPr>
          <w:p w14:paraId="26C96CAD" w14:textId="77777777" w:rsidR="00741992" w:rsidRPr="00D30BFF" w:rsidRDefault="00741992" w:rsidP="007413DF">
            <w:pPr>
              <w:pStyle w:val="Tabletext"/>
              <w:spacing w:line="276" w:lineRule="auto"/>
              <w:rPr>
                <w:sz w:val="22"/>
                <w:lang w:val="en-AU"/>
              </w:rPr>
            </w:pPr>
            <w:r w:rsidRPr="00D30BFF">
              <w:rPr>
                <w:sz w:val="22"/>
                <w:lang w:val="en-AU"/>
              </w:rPr>
              <w:t>Solar Homes Program – Hot water rebates</w:t>
            </w:r>
          </w:p>
        </w:tc>
        <w:tc>
          <w:tcPr>
            <w:tcW w:w="482" w:type="pct"/>
            <w:vAlign w:val="center"/>
          </w:tcPr>
          <w:p w14:paraId="185AFF8B" w14:textId="77777777" w:rsidR="00741992" w:rsidRPr="00D30BFF" w:rsidRDefault="00741992" w:rsidP="007413DF">
            <w:pPr>
              <w:pStyle w:val="Tabletext"/>
              <w:spacing w:line="276" w:lineRule="auto"/>
              <w:jc w:val="right"/>
              <w:rPr>
                <w:sz w:val="22"/>
                <w:lang w:val="en-AU"/>
              </w:rPr>
            </w:pPr>
            <w:r w:rsidRPr="00D30BFF">
              <w:rPr>
                <w:sz w:val="22"/>
                <w:lang w:val="en-AU"/>
              </w:rPr>
              <w:t>29.7</w:t>
            </w:r>
          </w:p>
        </w:tc>
        <w:tc>
          <w:tcPr>
            <w:tcW w:w="482" w:type="pct"/>
            <w:vAlign w:val="center"/>
          </w:tcPr>
          <w:p w14:paraId="760A310A" w14:textId="016A899B" w:rsidR="00741992" w:rsidRPr="00D30BFF" w:rsidRDefault="00D72639" w:rsidP="007413DF">
            <w:pPr>
              <w:pStyle w:val="Tabletext"/>
              <w:spacing w:line="276" w:lineRule="auto"/>
              <w:jc w:val="right"/>
              <w:rPr>
                <w:sz w:val="22"/>
                <w:lang w:val="en-AU"/>
              </w:rPr>
            </w:pPr>
            <w:r w:rsidRPr="00D30BFF">
              <w:rPr>
                <w:sz w:val="22"/>
                <w:lang w:val="en-AU"/>
              </w:rPr>
              <w:t>–</w:t>
            </w:r>
          </w:p>
        </w:tc>
        <w:tc>
          <w:tcPr>
            <w:tcW w:w="483" w:type="pct"/>
            <w:vAlign w:val="center"/>
          </w:tcPr>
          <w:p w14:paraId="000839A8" w14:textId="480830FE" w:rsidR="00741992" w:rsidRPr="00D30BFF" w:rsidRDefault="00D72639" w:rsidP="007413DF">
            <w:pPr>
              <w:pStyle w:val="Tabletext"/>
              <w:spacing w:line="276" w:lineRule="auto"/>
              <w:jc w:val="right"/>
              <w:rPr>
                <w:sz w:val="22"/>
                <w:lang w:val="en-AU"/>
              </w:rPr>
            </w:pPr>
            <w:r w:rsidRPr="00D30BFF">
              <w:rPr>
                <w:sz w:val="22"/>
                <w:lang w:val="en-AU"/>
              </w:rPr>
              <w:t>–</w:t>
            </w:r>
          </w:p>
        </w:tc>
        <w:tc>
          <w:tcPr>
            <w:tcW w:w="482" w:type="pct"/>
            <w:vAlign w:val="center"/>
          </w:tcPr>
          <w:p w14:paraId="5698A098" w14:textId="767D0CF2" w:rsidR="00741992" w:rsidRPr="00D30BFF" w:rsidRDefault="00D72639" w:rsidP="007413DF">
            <w:pPr>
              <w:pStyle w:val="Tabletext"/>
              <w:spacing w:line="276" w:lineRule="auto"/>
              <w:jc w:val="right"/>
              <w:rPr>
                <w:sz w:val="22"/>
                <w:lang w:val="en-AU"/>
              </w:rPr>
            </w:pPr>
            <w:r w:rsidRPr="00D30BFF">
              <w:rPr>
                <w:sz w:val="22"/>
                <w:lang w:val="en-AU"/>
              </w:rPr>
              <w:t>–</w:t>
            </w:r>
          </w:p>
        </w:tc>
      </w:tr>
      <w:tr w:rsidR="00741992" w:rsidRPr="00D30BFF" w14:paraId="69A1828D" w14:textId="77777777" w:rsidTr="007413DF">
        <w:trPr>
          <w:trHeight w:val="113"/>
        </w:trPr>
        <w:tc>
          <w:tcPr>
            <w:tcW w:w="3071" w:type="pct"/>
            <w:shd w:val="clear" w:color="auto" w:fill="F2F2F2" w:themeFill="background1" w:themeFillShade="F2"/>
          </w:tcPr>
          <w:p w14:paraId="50B62F66" w14:textId="77777777" w:rsidR="00741992" w:rsidRPr="00D30BFF" w:rsidRDefault="00741992" w:rsidP="007413DF">
            <w:pPr>
              <w:pStyle w:val="Tabletext"/>
              <w:spacing w:line="276" w:lineRule="auto"/>
              <w:rPr>
                <w:b/>
                <w:bCs/>
                <w:sz w:val="22"/>
                <w:lang w:val="en-AU"/>
              </w:rPr>
            </w:pPr>
            <w:r w:rsidRPr="00D30BFF">
              <w:rPr>
                <w:b/>
                <w:bCs/>
                <w:sz w:val="22"/>
                <w:lang w:val="en-AU"/>
              </w:rPr>
              <w:t>Statutory Activities and Environment Protection</w:t>
            </w:r>
          </w:p>
        </w:tc>
        <w:tc>
          <w:tcPr>
            <w:tcW w:w="482" w:type="pct"/>
            <w:shd w:val="clear" w:color="auto" w:fill="F2F2F2" w:themeFill="background1" w:themeFillShade="F2"/>
            <w:vAlign w:val="center"/>
          </w:tcPr>
          <w:p w14:paraId="78453D9C" w14:textId="77777777" w:rsidR="00741992" w:rsidRPr="00D30BFF" w:rsidRDefault="00741992" w:rsidP="007413DF">
            <w:pPr>
              <w:pStyle w:val="Tabletext"/>
              <w:spacing w:line="276" w:lineRule="auto"/>
              <w:jc w:val="right"/>
              <w:rPr>
                <w:b/>
                <w:bCs/>
                <w:sz w:val="22"/>
                <w:lang w:val="en-AU"/>
              </w:rPr>
            </w:pPr>
            <w:r w:rsidRPr="00D30BFF">
              <w:rPr>
                <w:b/>
                <w:bCs/>
                <w:sz w:val="22"/>
                <w:lang w:val="en-AU"/>
              </w:rPr>
              <w:t> </w:t>
            </w:r>
          </w:p>
        </w:tc>
        <w:tc>
          <w:tcPr>
            <w:tcW w:w="482" w:type="pct"/>
            <w:shd w:val="clear" w:color="auto" w:fill="F2F2F2" w:themeFill="background1" w:themeFillShade="F2"/>
            <w:vAlign w:val="center"/>
          </w:tcPr>
          <w:p w14:paraId="1359768C" w14:textId="77777777" w:rsidR="00741992" w:rsidRPr="00D30BFF" w:rsidRDefault="00741992" w:rsidP="007413DF">
            <w:pPr>
              <w:pStyle w:val="Tabletext"/>
              <w:spacing w:line="276" w:lineRule="auto"/>
              <w:jc w:val="right"/>
              <w:rPr>
                <w:b/>
                <w:bCs/>
                <w:sz w:val="22"/>
                <w:lang w:val="en-AU"/>
              </w:rPr>
            </w:pPr>
            <w:r w:rsidRPr="00D30BFF">
              <w:rPr>
                <w:b/>
                <w:bCs/>
                <w:sz w:val="22"/>
                <w:lang w:val="en-AU"/>
              </w:rPr>
              <w:t> </w:t>
            </w:r>
          </w:p>
        </w:tc>
        <w:tc>
          <w:tcPr>
            <w:tcW w:w="483" w:type="pct"/>
            <w:shd w:val="clear" w:color="auto" w:fill="F2F2F2" w:themeFill="background1" w:themeFillShade="F2"/>
            <w:vAlign w:val="center"/>
          </w:tcPr>
          <w:p w14:paraId="6A25897C" w14:textId="77777777" w:rsidR="00741992" w:rsidRPr="00D30BFF" w:rsidRDefault="00741992" w:rsidP="007413DF">
            <w:pPr>
              <w:pStyle w:val="Tabletext"/>
              <w:spacing w:line="276" w:lineRule="auto"/>
              <w:jc w:val="right"/>
              <w:rPr>
                <w:b/>
                <w:bCs/>
                <w:sz w:val="22"/>
                <w:lang w:val="en-AU"/>
              </w:rPr>
            </w:pPr>
            <w:r w:rsidRPr="00D30BFF">
              <w:rPr>
                <w:b/>
                <w:bCs/>
                <w:sz w:val="22"/>
                <w:lang w:val="en-AU"/>
              </w:rPr>
              <w:t> </w:t>
            </w:r>
          </w:p>
        </w:tc>
        <w:tc>
          <w:tcPr>
            <w:tcW w:w="482" w:type="pct"/>
            <w:shd w:val="clear" w:color="auto" w:fill="F2F2F2" w:themeFill="background1" w:themeFillShade="F2"/>
            <w:vAlign w:val="center"/>
          </w:tcPr>
          <w:p w14:paraId="3D1855D4" w14:textId="77777777" w:rsidR="00741992" w:rsidRPr="00D30BFF" w:rsidRDefault="00741992" w:rsidP="007413DF">
            <w:pPr>
              <w:pStyle w:val="Tabletext"/>
              <w:spacing w:line="276" w:lineRule="auto"/>
              <w:jc w:val="right"/>
              <w:rPr>
                <w:b/>
                <w:bCs/>
                <w:sz w:val="22"/>
                <w:lang w:val="en-AU"/>
              </w:rPr>
            </w:pPr>
            <w:r w:rsidRPr="00D30BFF">
              <w:rPr>
                <w:b/>
                <w:bCs/>
                <w:sz w:val="22"/>
                <w:lang w:val="en-AU"/>
              </w:rPr>
              <w:t> </w:t>
            </w:r>
          </w:p>
        </w:tc>
      </w:tr>
      <w:tr w:rsidR="00741992" w:rsidRPr="00D30BFF" w14:paraId="7778CA64" w14:textId="77777777" w:rsidTr="007413DF">
        <w:trPr>
          <w:trHeight w:val="113"/>
        </w:trPr>
        <w:tc>
          <w:tcPr>
            <w:tcW w:w="3071" w:type="pct"/>
            <w:tcBorders>
              <w:bottom w:val="single" w:sz="12" w:space="0" w:color="auto"/>
            </w:tcBorders>
          </w:tcPr>
          <w:p w14:paraId="741A4192" w14:textId="77777777" w:rsidR="00741992" w:rsidRPr="00D30BFF" w:rsidRDefault="00741992" w:rsidP="007413DF">
            <w:pPr>
              <w:pStyle w:val="Tabletext"/>
              <w:spacing w:line="276" w:lineRule="auto"/>
              <w:rPr>
                <w:sz w:val="22"/>
                <w:lang w:val="en-AU"/>
              </w:rPr>
            </w:pPr>
            <w:r w:rsidRPr="00D30BFF">
              <w:rPr>
                <w:sz w:val="22"/>
                <w:lang w:val="en-AU"/>
              </w:rPr>
              <w:t>Sustaining the EPA’s strengthened regulatory functions</w:t>
            </w:r>
          </w:p>
        </w:tc>
        <w:tc>
          <w:tcPr>
            <w:tcW w:w="482" w:type="pct"/>
            <w:tcBorders>
              <w:bottom w:val="single" w:sz="12" w:space="0" w:color="auto"/>
            </w:tcBorders>
            <w:vAlign w:val="center"/>
          </w:tcPr>
          <w:p w14:paraId="2E5282E3" w14:textId="77777777" w:rsidR="00741992" w:rsidRPr="00D30BFF" w:rsidRDefault="00741992" w:rsidP="007413DF">
            <w:pPr>
              <w:pStyle w:val="Tabletext"/>
              <w:spacing w:line="276" w:lineRule="auto"/>
              <w:jc w:val="right"/>
              <w:rPr>
                <w:sz w:val="22"/>
                <w:lang w:val="en-AU"/>
              </w:rPr>
            </w:pPr>
            <w:r w:rsidRPr="00D30BFF">
              <w:rPr>
                <w:sz w:val="22"/>
                <w:lang w:val="en-AU"/>
              </w:rPr>
              <w:t>23.7</w:t>
            </w:r>
          </w:p>
        </w:tc>
        <w:tc>
          <w:tcPr>
            <w:tcW w:w="482" w:type="pct"/>
            <w:tcBorders>
              <w:bottom w:val="single" w:sz="12" w:space="0" w:color="auto"/>
            </w:tcBorders>
            <w:vAlign w:val="center"/>
          </w:tcPr>
          <w:p w14:paraId="2E741A41" w14:textId="77777777" w:rsidR="00741992" w:rsidRPr="00D30BFF" w:rsidRDefault="00741992" w:rsidP="007413DF">
            <w:pPr>
              <w:pStyle w:val="Tabletext"/>
              <w:spacing w:line="276" w:lineRule="auto"/>
              <w:jc w:val="right"/>
              <w:rPr>
                <w:sz w:val="22"/>
                <w:lang w:val="en-AU"/>
              </w:rPr>
            </w:pPr>
            <w:r w:rsidRPr="00D30BFF">
              <w:rPr>
                <w:sz w:val="22"/>
                <w:lang w:val="en-AU"/>
              </w:rPr>
              <w:t>23.7</w:t>
            </w:r>
          </w:p>
        </w:tc>
        <w:tc>
          <w:tcPr>
            <w:tcW w:w="483" w:type="pct"/>
            <w:tcBorders>
              <w:bottom w:val="single" w:sz="12" w:space="0" w:color="auto"/>
            </w:tcBorders>
            <w:vAlign w:val="center"/>
          </w:tcPr>
          <w:p w14:paraId="371FF6A5" w14:textId="77777777" w:rsidR="00741992" w:rsidRPr="00D30BFF" w:rsidRDefault="00741992" w:rsidP="007413DF">
            <w:pPr>
              <w:pStyle w:val="Tabletext"/>
              <w:spacing w:line="276" w:lineRule="auto"/>
              <w:jc w:val="right"/>
              <w:rPr>
                <w:sz w:val="22"/>
                <w:lang w:val="en-AU"/>
              </w:rPr>
            </w:pPr>
            <w:r w:rsidRPr="00D30BFF">
              <w:rPr>
                <w:sz w:val="22"/>
                <w:lang w:val="en-AU"/>
              </w:rPr>
              <w:t>23.7</w:t>
            </w:r>
          </w:p>
        </w:tc>
        <w:tc>
          <w:tcPr>
            <w:tcW w:w="482" w:type="pct"/>
            <w:tcBorders>
              <w:bottom w:val="single" w:sz="12" w:space="0" w:color="auto"/>
            </w:tcBorders>
            <w:vAlign w:val="center"/>
          </w:tcPr>
          <w:p w14:paraId="6045F946" w14:textId="77777777" w:rsidR="00741992" w:rsidRPr="00D30BFF" w:rsidRDefault="00741992" w:rsidP="007413DF">
            <w:pPr>
              <w:pStyle w:val="Tabletext"/>
              <w:spacing w:line="276" w:lineRule="auto"/>
              <w:jc w:val="right"/>
              <w:rPr>
                <w:sz w:val="22"/>
                <w:lang w:val="en-AU"/>
              </w:rPr>
            </w:pPr>
            <w:r w:rsidRPr="00D30BFF">
              <w:rPr>
                <w:sz w:val="22"/>
                <w:lang w:val="en-AU"/>
              </w:rPr>
              <w:t>23.7</w:t>
            </w:r>
          </w:p>
        </w:tc>
      </w:tr>
      <w:tr w:rsidR="00741992" w:rsidRPr="00D30BFF" w14:paraId="1D566EB2" w14:textId="77777777" w:rsidTr="007413DF">
        <w:trPr>
          <w:trHeight w:val="113"/>
        </w:trPr>
        <w:tc>
          <w:tcPr>
            <w:tcW w:w="3071" w:type="pct"/>
            <w:tcBorders>
              <w:top w:val="single" w:sz="12" w:space="0" w:color="auto"/>
              <w:bottom w:val="single" w:sz="12" w:space="0" w:color="auto"/>
            </w:tcBorders>
          </w:tcPr>
          <w:p w14:paraId="6FF967F8" w14:textId="77777777" w:rsidR="00741992" w:rsidRPr="00D30BFF" w:rsidRDefault="00741992" w:rsidP="007413DF">
            <w:pPr>
              <w:pStyle w:val="Tabletext"/>
              <w:spacing w:line="276" w:lineRule="auto"/>
              <w:rPr>
                <w:b/>
                <w:bCs/>
                <w:sz w:val="22"/>
                <w:lang w:val="en-AU"/>
              </w:rPr>
            </w:pPr>
            <w:r w:rsidRPr="00D30BFF">
              <w:rPr>
                <w:b/>
                <w:bCs/>
                <w:sz w:val="22"/>
                <w:lang w:val="en-AU"/>
              </w:rPr>
              <w:t>Total output initiatives</w:t>
            </w:r>
          </w:p>
        </w:tc>
        <w:tc>
          <w:tcPr>
            <w:tcW w:w="482" w:type="pct"/>
            <w:tcBorders>
              <w:top w:val="single" w:sz="12" w:space="0" w:color="auto"/>
              <w:bottom w:val="single" w:sz="12" w:space="0" w:color="auto"/>
            </w:tcBorders>
            <w:vAlign w:val="center"/>
          </w:tcPr>
          <w:p w14:paraId="4E1688DC" w14:textId="77777777" w:rsidR="00741992" w:rsidRPr="00D30BFF" w:rsidRDefault="00741992" w:rsidP="007413DF">
            <w:pPr>
              <w:pStyle w:val="Tabletext"/>
              <w:spacing w:line="276" w:lineRule="auto"/>
              <w:jc w:val="right"/>
              <w:rPr>
                <w:b/>
                <w:bCs/>
                <w:sz w:val="22"/>
                <w:lang w:val="en-AU"/>
              </w:rPr>
            </w:pPr>
            <w:r w:rsidRPr="00D30BFF">
              <w:rPr>
                <w:b/>
                <w:bCs/>
                <w:sz w:val="22"/>
                <w:lang w:val="en-AU"/>
              </w:rPr>
              <w:t>255.8</w:t>
            </w:r>
          </w:p>
        </w:tc>
        <w:tc>
          <w:tcPr>
            <w:tcW w:w="482" w:type="pct"/>
            <w:tcBorders>
              <w:top w:val="single" w:sz="12" w:space="0" w:color="auto"/>
              <w:bottom w:val="single" w:sz="12" w:space="0" w:color="auto"/>
            </w:tcBorders>
            <w:vAlign w:val="center"/>
          </w:tcPr>
          <w:p w14:paraId="518D2BD3" w14:textId="77777777" w:rsidR="00741992" w:rsidRPr="00D30BFF" w:rsidRDefault="00741992" w:rsidP="007413DF">
            <w:pPr>
              <w:pStyle w:val="Tabletext"/>
              <w:spacing w:line="276" w:lineRule="auto"/>
              <w:jc w:val="right"/>
              <w:rPr>
                <w:b/>
                <w:bCs/>
                <w:sz w:val="22"/>
                <w:lang w:val="en-AU"/>
              </w:rPr>
            </w:pPr>
            <w:r w:rsidRPr="00D30BFF">
              <w:rPr>
                <w:b/>
                <w:bCs/>
                <w:sz w:val="22"/>
                <w:lang w:val="en-AU"/>
              </w:rPr>
              <w:t>122.6</w:t>
            </w:r>
          </w:p>
        </w:tc>
        <w:tc>
          <w:tcPr>
            <w:tcW w:w="483" w:type="pct"/>
            <w:tcBorders>
              <w:top w:val="single" w:sz="12" w:space="0" w:color="auto"/>
              <w:bottom w:val="single" w:sz="12" w:space="0" w:color="auto"/>
            </w:tcBorders>
            <w:vAlign w:val="center"/>
          </w:tcPr>
          <w:p w14:paraId="2FD71791" w14:textId="77777777" w:rsidR="00741992" w:rsidRPr="00D30BFF" w:rsidRDefault="00741992" w:rsidP="007413DF">
            <w:pPr>
              <w:pStyle w:val="Tabletext"/>
              <w:spacing w:line="276" w:lineRule="auto"/>
              <w:jc w:val="right"/>
              <w:rPr>
                <w:b/>
                <w:bCs/>
                <w:sz w:val="22"/>
                <w:lang w:val="en-AU"/>
              </w:rPr>
            </w:pPr>
            <w:r w:rsidRPr="00D30BFF">
              <w:rPr>
                <w:b/>
                <w:bCs/>
                <w:sz w:val="22"/>
                <w:lang w:val="en-AU"/>
              </w:rPr>
              <w:t>76.7</w:t>
            </w:r>
          </w:p>
        </w:tc>
        <w:tc>
          <w:tcPr>
            <w:tcW w:w="482" w:type="pct"/>
            <w:tcBorders>
              <w:top w:val="single" w:sz="12" w:space="0" w:color="auto"/>
              <w:bottom w:val="single" w:sz="12" w:space="0" w:color="auto"/>
            </w:tcBorders>
            <w:vAlign w:val="center"/>
          </w:tcPr>
          <w:p w14:paraId="69AFEE50" w14:textId="77777777" w:rsidR="00741992" w:rsidRPr="00D30BFF" w:rsidRDefault="00741992" w:rsidP="007413DF">
            <w:pPr>
              <w:pStyle w:val="Tabletext"/>
              <w:spacing w:line="276" w:lineRule="auto"/>
              <w:jc w:val="right"/>
              <w:rPr>
                <w:b/>
                <w:bCs/>
                <w:sz w:val="22"/>
                <w:lang w:val="en-AU"/>
              </w:rPr>
            </w:pPr>
            <w:r w:rsidRPr="00D30BFF">
              <w:rPr>
                <w:b/>
                <w:bCs/>
                <w:sz w:val="22"/>
                <w:lang w:val="en-AU"/>
              </w:rPr>
              <w:t>76.4</w:t>
            </w:r>
          </w:p>
        </w:tc>
      </w:tr>
    </w:tbl>
    <w:p w14:paraId="6DF8FAED" w14:textId="77777777" w:rsidR="00C74864" w:rsidRPr="00D30BFF" w:rsidRDefault="00C74864" w:rsidP="008436DF">
      <w:pPr>
        <w:pStyle w:val="BodyText"/>
        <w:rPr>
          <w:lang w:val="en-AU"/>
        </w:rPr>
      </w:pPr>
    </w:p>
    <w:p w14:paraId="28F24890" w14:textId="77777777" w:rsidR="00C74864" w:rsidRPr="00D30BFF" w:rsidRDefault="00C74864" w:rsidP="00404D6D">
      <w:pPr>
        <w:pStyle w:val="Heading3"/>
        <w:pageBreakBefore/>
        <w:rPr>
          <w:lang w:val="en-AU"/>
        </w:rPr>
      </w:pPr>
      <w:r w:rsidRPr="00D30BFF">
        <w:rPr>
          <w:lang w:val="en-AU"/>
        </w:rPr>
        <w:lastRenderedPageBreak/>
        <w:t>Asset initiatives</w:t>
      </w:r>
      <w:r w:rsidR="00E56263" w:rsidRPr="00D30BFF">
        <w:rPr>
          <w:lang w:val="en-AU"/>
        </w:rPr>
        <w:t xml:space="preserve"> </w:t>
      </w:r>
      <w:r w:rsidRPr="00D30BFF">
        <w:rPr>
          <w:lang w:val="en-AU"/>
        </w:rPr>
        <w:t>($ million)</w:t>
      </w:r>
    </w:p>
    <w:p w14:paraId="212D4DC4" w14:textId="03867D5B" w:rsidR="00E56263" w:rsidRPr="00D30BFF" w:rsidRDefault="00E56263" w:rsidP="00E56263">
      <w:pPr>
        <w:pStyle w:val="Caption"/>
        <w:keepNext/>
      </w:pPr>
      <w:r w:rsidRPr="00D30BFF">
        <w:t xml:space="preserve">Table </w:t>
      </w:r>
      <w:r>
        <w:fldChar w:fldCharType="begin"/>
      </w:r>
      <w:r>
        <w:instrText xml:space="preserve"> SEQ Table \* ARABIC </w:instrText>
      </w:r>
      <w:r>
        <w:fldChar w:fldCharType="separate"/>
      </w:r>
      <w:r w:rsidRPr="00D30BFF">
        <w:rPr>
          <w:noProof/>
        </w:rPr>
        <w:t>4</w:t>
      </w:r>
      <w:r>
        <w:rPr>
          <w:noProof/>
        </w:rPr>
        <w:fldChar w:fldCharType="end"/>
      </w:r>
      <w:r w:rsidRPr="00D30BFF">
        <w:t>: Asset initiatives ($ million)</w:t>
      </w:r>
    </w:p>
    <w:tbl>
      <w:tblPr>
        <w:tblStyle w:val="Style2"/>
        <w:tblW w:w="5000" w:type="pct"/>
        <w:tblLook w:val="0020" w:firstRow="1" w:lastRow="0" w:firstColumn="0" w:lastColumn="0" w:noHBand="0" w:noVBand="0"/>
        <w:tblCaption w:val="Table 4: Asset initiatives ($ million)"/>
        <w:tblDescription w:val="Table 4: Asset initiatives ($ million)"/>
      </w:tblPr>
      <w:tblGrid>
        <w:gridCol w:w="6653"/>
        <w:gridCol w:w="1488"/>
        <w:gridCol w:w="1488"/>
        <w:gridCol w:w="1487"/>
        <w:gridCol w:w="1490"/>
        <w:gridCol w:w="1944"/>
      </w:tblGrid>
      <w:tr w:rsidR="00404D6D" w:rsidRPr="00D30BFF" w14:paraId="6A958F3C" w14:textId="77777777" w:rsidTr="00404D6D">
        <w:trPr>
          <w:cnfStyle w:val="100000000000" w:firstRow="1" w:lastRow="0" w:firstColumn="0" w:lastColumn="0" w:oddVBand="0" w:evenVBand="0" w:oddHBand="0" w:evenHBand="0" w:firstRowFirstColumn="0" w:firstRowLastColumn="0" w:lastRowFirstColumn="0" w:lastRowLastColumn="0"/>
          <w:cantSplit/>
          <w:trHeight w:val="60"/>
          <w:tblHeader/>
        </w:trPr>
        <w:tc>
          <w:tcPr>
            <w:tcW w:w="2286" w:type="pct"/>
          </w:tcPr>
          <w:p w14:paraId="507A5412" w14:textId="77777777" w:rsidR="00E56263" w:rsidRPr="00D30BFF" w:rsidRDefault="00E56263" w:rsidP="00E56263">
            <w:pPr>
              <w:pStyle w:val="Tabletext"/>
              <w:spacing w:line="276" w:lineRule="auto"/>
              <w:rPr>
                <w:sz w:val="22"/>
                <w:lang w:val="en-AU"/>
              </w:rPr>
            </w:pPr>
            <w:r w:rsidRPr="00D30BFF">
              <w:rPr>
                <w:sz w:val="22"/>
                <w:lang w:val="en-AU"/>
              </w:rPr>
              <w:t>The department’s objectives and outputs</w:t>
            </w:r>
          </w:p>
        </w:tc>
        <w:tc>
          <w:tcPr>
            <w:tcW w:w="511" w:type="pct"/>
          </w:tcPr>
          <w:p w14:paraId="7FF80E6D" w14:textId="77777777" w:rsidR="00E56263" w:rsidRPr="00D30BFF" w:rsidRDefault="00E56263" w:rsidP="00E56263">
            <w:pPr>
              <w:pStyle w:val="Tabletext"/>
              <w:spacing w:line="276" w:lineRule="auto"/>
              <w:jc w:val="right"/>
              <w:rPr>
                <w:sz w:val="22"/>
                <w:lang w:val="en-AU"/>
              </w:rPr>
            </w:pPr>
            <w:r w:rsidRPr="00D30BFF">
              <w:rPr>
                <w:sz w:val="22"/>
                <w:lang w:val="en-AU"/>
              </w:rPr>
              <w:t>2025-26</w:t>
            </w:r>
          </w:p>
        </w:tc>
        <w:tc>
          <w:tcPr>
            <w:tcW w:w="511" w:type="pct"/>
          </w:tcPr>
          <w:p w14:paraId="6A4E6E45" w14:textId="77777777" w:rsidR="00E56263" w:rsidRPr="00D30BFF" w:rsidRDefault="00E56263" w:rsidP="00E56263">
            <w:pPr>
              <w:pStyle w:val="Tabletext"/>
              <w:spacing w:line="276" w:lineRule="auto"/>
              <w:jc w:val="right"/>
              <w:rPr>
                <w:sz w:val="22"/>
                <w:lang w:val="en-AU"/>
              </w:rPr>
            </w:pPr>
            <w:r w:rsidRPr="00D30BFF">
              <w:rPr>
                <w:sz w:val="22"/>
                <w:lang w:val="en-AU"/>
              </w:rPr>
              <w:t>2026-27</w:t>
            </w:r>
          </w:p>
        </w:tc>
        <w:tc>
          <w:tcPr>
            <w:tcW w:w="511" w:type="pct"/>
          </w:tcPr>
          <w:p w14:paraId="5DE944E0" w14:textId="77777777" w:rsidR="00E56263" w:rsidRPr="00D30BFF" w:rsidRDefault="00E56263" w:rsidP="00E56263">
            <w:pPr>
              <w:pStyle w:val="Tabletext"/>
              <w:spacing w:line="276" w:lineRule="auto"/>
              <w:jc w:val="right"/>
              <w:rPr>
                <w:sz w:val="22"/>
                <w:lang w:val="en-AU"/>
              </w:rPr>
            </w:pPr>
            <w:r w:rsidRPr="00D30BFF">
              <w:rPr>
                <w:sz w:val="22"/>
                <w:lang w:val="en-AU"/>
              </w:rPr>
              <w:t>2027-28</w:t>
            </w:r>
          </w:p>
        </w:tc>
        <w:tc>
          <w:tcPr>
            <w:tcW w:w="512" w:type="pct"/>
          </w:tcPr>
          <w:p w14:paraId="59043039" w14:textId="77777777" w:rsidR="00E56263" w:rsidRPr="00D30BFF" w:rsidRDefault="00E56263" w:rsidP="00E56263">
            <w:pPr>
              <w:pStyle w:val="Tabletext"/>
              <w:spacing w:line="276" w:lineRule="auto"/>
              <w:jc w:val="right"/>
              <w:rPr>
                <w:sz w:val="22"/>
                <w:lang w:val="en-AU"/>
              </w:rPr>
            </w:pPr>
            <w:r w:rsidRPr="00D30BFF">
              <w:rPr>
                <w:sz w:val="22"/>
                <w:lang w:val="en-AU"/>
              </w:rPr>
              <w:t>2028-29</w:t>
            </w:r>
          </w:p>
        </w:tc>
        <w:tc>
          <w:tcPr>
            <w:tcW w:w="668" w:type="pct"/>
          </w:tcPr>
          <w:p w14:paraId="10BAD54C" w14:textId="387E4E67" w:rsidR="00E56263" w:rsidRPr="00D30BFF" w:rsidRDefault="00404D6D" w:rsidP="00E56263">
            <w:pPr>
              <w:pStyle w:val="Tabletext"/>
              <w:spacing w:line="276" w:lineRule="auto"/>
              <w:jc w:val="right"/>
              <w:rPr>
                <w:sz w:val="22"/>
                <w:lang w:val="en-AU"/>
              </w:rPr>
            </w:pPr>
            <w:r w:rsidRPr="00D30BFF">
              <w:rPr>
                <w:sz w:val="22"/>
                <w:lang w:val="en-AU"/>
              </w:rPr>
              <w:t>Total Estimated Investment (</w:t>
            </w:r>
            <w:r w:rsidR="00E56263" w:rsidRPr="00D30BFF">
              <w:rPr>
                <w:sz w:val="22"/>
                <w:lang w:val="en-AU"/>
              </w:rPr>
              <w:t>TEI</w:t>
            </w:r>
            <w:r w:rsidRPr="00D30BFF">
              <w:rPr>
                <w:sz w:val="22"/>
                <w:lang w:val="en-AU"/>
              </w:rPr>
              <w:t>)</w:t>
            </w:r>
          </w:p>
        </w:tc>
      </w:tr>
      <w:tr w:rsidR="00404D6D" w:rsidRPr="00D30BFF" w14:paraId="6CEEF66E" w14:textId="77777777" w:rsidTr="00404D6D">
        <w:trPr>
          <w:trHeight w:val="113"/>
        </w:trPr>
        <w:tc>
          <w:tcPr>
            <w:tcW w:w="2286" w:type="pct"/>
            <w:shd w:val="clear" w:color="auto" w:fill="F2F2F2" w:themeFill="background1" w:themeFillShade="F2"/>
          </w:tcPr>
          <w:p w14:paraId="5E6160B8" w14:textId="77777777" w:rsidR="00E56263" w:rsidRPr="00D30BFF" w:rsidRDefault="00E56263" w:rsidP="00E56263">
            <w:pPr>
              <w:pStyle w:val="Tabletext"/>
              <w:spacing w:line="276" w:lineRule="auto"/>
              <w:rPr>
                <w:b/>
                <w:bCs/>
                <w:sz w:val="22"/>
                <w:lang w:val="en-AU"/>
              </w:rPr>
            </w:pPr>
            <w:r w:rsidRPr="00D30BFF">
              <w:rPr>
                <w:b/>
                <w:bCs/>
                <w:sz w:val="22"/>
                <w:lang w:val="en-AU"/>
              </w:rPr>
              <w:t>Environment and Biodiversity</w:t>
            </w:r>
          </w:p>
        </w:tc>
        <w:tc>
          <w:tcPr>
            <w:tcW w:w="511" w:type="pct"/>
            <w:shd w:val="clear" w:color="auto" w:fill="F2F2F2" w:themeFill="background1" w:themeFillShade="F2"/>
          </w:tcPr>
          <w:p w14:paraId="58C85D2A" w14:textId="77777777" w:rsidR="00E56263" w:rsidRPr="00D30BFF" w:rsidRDefault="00E56263" w:rsidP="00E56263">
            <w:pPr>
              <w:pStyle w:val="Tabletext"/>
              <w:spacing w:line="276" w:lineRule="auto"/>
              <w:jc w:val="right"/>
              <w:rPr>
                <w:sz w:val="22"/>
                <w:lang w:val="en-AU"/>
              </w:rPr>
            </w:pPr>
            <w:r w:rsidRPr="00D30BFF">
              <w:rPr>
                <w:sz w:val="22"/>
                <w:lang w:val="en-AU"/>
              </w:rPr>
              <w:t xml:space="preserve"> </w:t>
            </w:r>
          </w:p>
        </w:tc>
        <w:tc>
          <w:tcPr>
            <w:tcW w:w="511" w:type="pct"/>
            <w:shd w:val="clear" w:color="auto" w:fill="F2F2F2" w:themeFill="background1" w:themeFillShade="F2"/>
          </w:tcPr>
          <w:p w14:paraId="19AB0ACC" w14:textId="77777777" w:rsidR="00E56263" w:rsidRPr="00D30BFF" w:rsidRDefault="00E56263" w:rsidP="00E56263">
            <w:pPr>
              <w:pStyle w:val="Tabletext"/>
              <w:spacing w:line="276" w:lineRule="auto"/>
              <w:jc w:val="right"/>
              <w:rPr>
                <w:sz w:val="22"/>
                <w:lang w:val="en-AU"/>
              </w:rPr>
            </w:pPr>
            <w:r w:rsidRPr="00D30BFF">
              <w:rPr>
                <w:sz w:val="22"/>
                <w:lang w:val="en-AU"/>
              </w:rPr>
              <w:t xml:space="preserve"> </w:t>
            </w:r>
          </w:p>
        </w:tc>
        <w:tc>
          <w:tcPr>
            <w:tcW w:w="511" w:type="pct"/>
            <w:shd w:val="clear" w:color="auto" w:fill="F2F2F2" w:themeFill="background1" w:themeFillShade="F2"/>
          </w:tcPr>
          <w:p w14:paraId="51C9F539" w14:textId="77777777" w:rsidR="00E56263" w:rsidRPr="00D30BFF" w:rsidRDefault="00E56263" w:rsidP="00E56263">
            <w:pPr>
              <w:pStyle w:val="Tabletext"/>
              <w:spacing w:line="276" w:lineRule="auto"/>
              <w:jc w:val="right"/>
              <w:rPr>
                <w:sz w:val="22"/>
                <w:lang w:val="en-AU"/>
              </w:rPr>
            </w:pPr>
            <w:r w:rsidRPr="00D30BFF">
              <w:rPr>
                <w:sz w:val="22"/>
                <w:lang w:val="en-AU"/>
              </w:rPr>
              <w:t xml:space="preserve"> </w:t>
            </w:r>
          </w:p>
        </w:tc>
        <w:tc>
          <w:tcPr>
            <w:tcW w:w="512" w:type="pct"/>
            <w:shd w:val="clear" w:color="auto" w:fill="F2F2F2" w:themeFill="background1" w:themeFillShade="F2"/>
          </w:tcPr>
          <w:p w14:paraId="4BD15FA0" w14:textId="77777777" w:rsidR="00E56263" w:rsidRPr="00D30BFF" w:rsidRDefault="00E56263" w:rsidP="00E56263">
            <w:pPr>
              <w:pStyle w:val="Tabletext"/>
              <w:spacing w:line="276" w:lineRule="auto"/>
              <w:jc w:val="right"/>
              <w:rPr>
                <w:sz w:val="22"/>
                <w:lang w:val="en-AU"/>
              </w:rPr>
            </w:pPr>
            <w:r w:rsidRPr="00D30BFF">
              <w:rPr>
                <w:sz w:val="22"/>
                <w:lang w:val="en-AU"/>
              </w:rPr>
              <w:t xml:space="preserve"> </w:t>
            </w:r>
          </w:p>
        </w:tc>
        <w:tc>
          <w:tcPr>
            <w:tcW w:w="668" w:type="pct"/>
            <w:shd w:val="clear" w:color="auto" w:fill="F2F2F2" w:themeFill="background1" w:themeFillShade="F2"/>
          </w:tcPr>
          <w:p w14:paraId="3A4E67C0" w14:textId="77777777" w:rsidR="00E56263" w:rsidRPr="00D30BFF" w:rsidRDefault="00E56263" w:rsidP="00E56263">
            <w:pPr>
              <w:pStyle w:val="Tabletext"/>
              <w:spacing w:line="276" w:lineRule="auto"/>
              <w:jc w:val="right"/>
              <w:rPr>
                <w:sz w:val="22"/>
                <w:lang w:val="en-AU"/>
              </w:rPr>
            </w:pPr>
            <w:r w:rsidRPr="00D30BFF">
              <w:rPr>
                <w:sz w:val="22"/>
                <w:lang w:val="en-AU"/>
              </w:rPr>
              <w:t xml:space="preserve"> </w:t>
            </w:r>
          </w:p>
        </w:tc>
      </w:tr>
      <w:tr w:rsidR="00404D6D" w:rsidRPr="00D30BFF" w14:paraId="713E3362" w14:textId="77777777" w:rsidTr="00404D6D">
        <w:trPr>
          <w:trHeight w:val="113"/>
        </w:trPr>
        <w:tc>
          <w:tcPr>
            <w:tcW w:w="2286" w:type="pct"/>
          </w:tcPr>
          <w:p w14:paraId="2670D751" w14:textId="77777777" w:rsidR="00E56263" w:rsidRPr="00D30BFF" w:rsidRDefault="00E56263" w:rsidP="00E56263">
            <w:pPr>
              <w:pStyle w:val="Tabletext"/>
              <w:spacing w:line="276" w:lineRule="auto"/>
              <w:rPr>
                <w:sz w:val="22"/>
                <w:lang w:val="en-AU"/>
              </w:rPr>
            </w:pPr>
            <w:r w:rsidRPr="00D30BFF">
              <w:rPr>
                <w:sz w:val="22"/>
                <w:lang w:val="en-AU"/>
              </w:rPr>
              <w:t>Addressing recovery needs from the Western Victoria Bushfires</w:t>
            </w:r>
          </w:p>
        </w:tc>
        <w:tc>
          <w:tcPr>
            <w:tcW w:w="511" w:type="pct"/>
          </w:tcPr>
          <w:p w14:paraId="520113EB" w14:textId="77777777" w:rsidR="00E56263" w:rsidRPr="00D30BFF" w:rsidRDefault="00E56263" w:rsidP="00E56263">
            <w:pPr>
              <w:pStyle w:val="Tabletext"/>
              <w:spacing w:line="276" w:lineRule="auto"/>
              <w:jc w:val="right"/>
              <w:rPr>
                <w:sz w:val="22"/>
                <w:lang w:val="en-AU"/>
              </w:rPr>
            </w:pPr>
            <w:r w:rsidRPr="00D30BFF">
              <w:rPr>
                <w:sz w:val="22"/>
                <w:lang w:val="en-AU"/>
              </w:rPr>
              <w:t>4.5</w:t>
            </w:r>
          </w:p>
        </w:tc>
        <w:tc>
          <w:tcPr>
            <w:tcW w:w="511" w:type="pct"/>
          </w:tcPr>
          <w:p w14:paraId="0E6601E1" w14:textId="77777777" w:rsidR="00E56263" w:rsidRPr="00D30BFF" w:rsidRDefault="00E56263" w:rsidP="00E56263">
            <w:pPr>
              <w:pStyle w:val="Tabletext"/>
              <w:spacing w:line="276" w:lineRule="auto"/>
              <w:jc w:val="right"/>
              <w:rPr>
                <w:sz w:val="22"/>
                <w:lang w:val="en-AU"/>
              </w:rPr>
            </w:pPr>
            <w:r w:rsidRPr="00D30BFF">
              <w:rPr>
                <w:sz w:val="22"/>
                <w:lang w:val="en-AU"/>
              </w:rPr>
              <w:t>2.1</w:t>
            </w:r>
          </w:p>
        </w:tc>
        <w:tc>
          <w:tcPr>
            <w:tcW w:w="511" w:type="pct"/>
          </w:tcPr>
          <w:p w14:paraId="7A62D09A" w14:textId="2CFBEC17" w:rsidR="00E56263" w:rsidRPr="00D30BFF" w:rsidRDefault="00E56263" w:rsidP="00E56263">
            <w:pPr>
              <w:pStyle w:val="Tabletext"/>
              <w:spacing w:line="276" w:lineRule="auto"/>
              <w:jc w:val="right"/>
              <w:rPr>
                <w:sz w:val="22"/>
                <w:lang w:val="en-AU"/>
              </w:rPr>
            </w:pPr>
            <w:r w:rsidRPr="00D30BFF">
              <w:rPr>
                <w:sz w:val="22"/>
                <w:lang w:val="en-AU"/>
              </w:rPr>
              <w:t>–</w:t>
            </w:r>
          </w:p>
        </w:tc>
        <w:tc>
          <w:tcPr>
            <w:tcW w:w="512" w:type="pct"/>
          </w:tcPr>
          <w:p w14:paraId="3BE9A92B" w14:textId="3E3C18BE" w:rsidR="00E56263" w:rsidRPr="00D30BFF" w:rsidRDefault="00E56263" w:rsidP="00E56263">
            <w:pPr>
              <w:pStyle w:val="Tabletext"/>
              <w:spacing w:line="276" w:lineRule="auto"/>
              <w:jc w:val="right"/>
              <w:rPr>
                <w:sz w:val="22"/>
                <w:lang w:val="en-AU"/>
              </w:rPr>
            </w:pPr>
            <w:r w:rsidRPr="00D30BFF">
              <w:rPr>
                <w:sz w:val="22"/>
                <w:lang w:val="en-AU"/>
              </w:rPr>
              <w:t>–</w:t>
            </w:r>
          </w:p>
        </w:tc>
        <w:tc>
          <w:tcPr>
            <w:tcW w:w="668" w:type="pct"/>
          </w:tcPr>
          <w:p w14:paraId="0E0BAED1" w14:textId="77777777" w:rsidR="00E56263" w:rsidRPr="00D30BFF" w:rsidRDefault="00E56263" w:rsidP="00E56263">
            <w:pPr>
              <w:pStyle w:val="Tabletext"/>
              <w:spacing w:line="276" w:lineRule="auto"/>
              <w:jc w:val="right"/>
              <w:rPr>
                <w:sz w:val="22"/>
                <w:lang w:val="en-AU"/>
              </w:rPr>
            </w:pPr>
            <w:r w:rsidRPr="00D30BFF">
              <w:rPr>
                <w:sz w:val="22"/>
                <w:lang w:val="en-AU"/>
              </w:rPr>
              <w:t>8.1</w:t>
            </w:r>
          </w:p>
        </w:tc>
      </w:tr>
      <w:tr w:rsidR="00404D6D" w:rsidRPr="00D30BFF" w14:paraId="7DA5F98F" w14:textId="77777777" w:rsidTr="00404D6D">
        <w:trPr>
          <w:trHeight w:val="113"/>
        </w:trPr>
        <w:tc>
          <w:tcPr>
            <w:tcW w:w="2286" w:type="pct"/>
            <w:shd w:val="clear" w:color="auto" w:fill="F2F2F2" w:themeFill="background1" w:themeFillShade="F2"/>
          </w:tcPr>
          <w:p w14:paraId="7A461DED" w14:textId="77777777" w:rsidR="00E56263" w:rsidRPr="00D30BFF" w:rsidRDefault="00E56263" w:rsidP="00E56263">
            <w:pPr>
              <w:pStyle w:val="Tabletext"/>
              <w:spacing w:line="276" w:lineRule="auto"/>
              <w:rPr>
                <w:b/>
                <w:bCs/>
                <w:sz w:val="22"/>
                <w:lang w:val="en-AU"/>
              </w:rPr>
            </w:pPr>
            <w:r w:rsidRPr="00D30BFF">
              <w:rPr>
                <w:b/>
                <w:bCs/>
                <w:sz w:val="22"/>
                <w:lang w:val="en-AU"/>
              </w:rPr>
              <w:t>Fire and Emergency Management</w:t>
            </w:r>
          </w:p>
        </w:tc>
        <w:tc>
          <w:tcPr>
            <w:tcW w:w="511" w:type="pct"/>
            <w:shd w:val="clear" w:color="auto" w:fill="F2F2F2" w:themeFill="background1" w:themeFillShade="F2"/>
          </w:tcPr>
          <w:p w14:paraId="6EF6F984" w14:textId="77777777" w:rsidR="00E56263" w:rsidRPr="00D30BFF" w:rsidRDefault="00E56263" w:rsidP="00E56263">
            <w:pPr>
              <w:pStyle w:val="Tabletext"/>
              <w:spacing w:line="276" w:lineRule="auto"/>
              <w:jc w:val="right"/>
              <w:rPr>
                <w:sz w:val="22"/>
                <w:lang w:val="en-AU"/>
              </w:rPr>
            </w:pPr>
            <w:r w:rsidRPr="00D30BFF">
              <w:rPr>
                <w:sz w:val="22"/>
                <w:lang w:val="en-AU"/>
              </w:rPr>
              <w:t xml:space="preserve"> </w:t>
            </w:r>
          </w:p>
        </w:tc>
        <w:tc>
          <w:tcPr>
            <w:tcW w:w="511" w:type="pct"/>
            <w:shd w:val="clear" w:color="auto" w:fill="F2F2F2" w:themeFill="background1" w:themeFillShade="F2"/>
          </w:tcPr>
          <w:p w14:paraId="13CF36DD" w14:textId="77777777" w:rsidR="00E56263" w:rsidRPr="00D30BFF" w:rsidRDefault="00E56263" w:rsidP="00E56263">
            <w:pPr>
              <w:pStyle w:val="Tabletext"/>
              <w:spacing w:line="276" w:lineRule="auto"/>
              <w:jc w:val="right"/>
              <w:rPr>
                <w:sz w:val="22"/>
                <w:lang w:val="en-AU"/>
              </w:rPr>
            </w:pPr>
            <w:r w:rsidRPr="00D30BFF">
              <w:rPr>
                <w:sz w:val="22"/>
                <w:lang w:val="en-AU"/>
              </w:rPr>
              <w:t xml:space="preserve"> </w:t>
            </w:r>
          </w:p>
        </w:tc>
        <w:tc>
          <w:tcPr>
            <w:tcW w:w="511" w:type="pct"/>
            <w:shd w:val="clear" w:color="auto" w:fill="F2F2F2" w:themeFill="background1" w:themeFillShade="F2"/>
          </w:tcPr>
          <w:p w14:paraId="0F788425" w14:textId="77777777" w:rsidR="00E56263" w:rsidRPr="00D30BFF" w:rsidRDefault="00E56263" w:rsidP="00E56263">
            <w:pPr>
              <w:pStyle w:val="Tabletext"/>
              <w:spacing w:line="276" w:lineRule="auto"/>
              <w:jc w:val="right"/>
              <w:rPr>
                <w:sz w:val="22"/>
                <w:lang w:val="en-AU"/>
              </w:rPr>
            </w:pPr>
            <w:r w:rsidRPr="00D30BFF">
              <w:rPr>
                <w:sz w:val="22"/>
                <w:lang w:val="en-AU"/>
              </w:rPr>
              <w:t xml:space="preserve"> </w:t>
            </w:r>
          </w:p>
        </w:tc>
        <w:tc>
          <w:tcPr>
            <w:tcW w:w="512" w:type="pct"/>
            <w:shd w:val="clear" w:color="auto" w:fill="F2F2F2" w:themeFill="background1" w:themeFillShade="F2"/>
          </w:tcPr>
          <w:p w14:paraId="1D723A56" w14:textId="77777777" w:rsidR="00E56263" w:rsidRPr="00D30BFF" w:rsidRDefault="00E56263" w:rsidP="00E56263">
            <w:pPr>
              <w:pStyle w:val="Tabletext"/>
              <w:spacing w:line="276" w:lineRule="auto"/>
              <w:jc w:val="right"/>
              <w:rPr>
                <w:sz w:val="22"/>
                <w:lang w:val="en-AU"/>
              </w:rPr>
            </w:pPr>
            <w:r w:rsidRPr="00D30BFF">
              <w:rPr>
                <w:sz w:val="22"/>
                <w:lang w:val="en-AU"/>
              </w:rPr>
              <w:t xml:space="preserve"> </w:t>
            </w:r>
          </w:p>
        </w:tc>
        <w:tc>
          <w:tcPr>
            <w:tcW w:w="668" w:type="pct"/>
            <w:shd w:val="clear" w:color="auto" w:fill="F2F2F2" w:themeFill="background1" w:themeFillShade="F2"/>
          </w:tcPr>
          <w:p w14:paraId="4234C63D" w14:textId="77777777" w:rsidR="00E56263" w:rsidRPr="00D30BFF" w:rsidRDefault="00E56263" w:rsidP="00E56263">
            <w:pPr>
              <w:pStyle w:val="Tabletext"/>
              <w:spacing w:line="276" w:lineRule="auto"/>
              <w:jc w:val="right"/>
              <w:rPr>
                <w:sz w:val="22"/>
                <w:lang w:val="en-AU"/>
              </w:rPr>
            </w:pPr>
            <w:r w:rsidRPr="00D30BFF">
              <w:rPr>
                <w:sz w:val="22"/>
                <w:lang w:val="en-AU"/>
              </w:rPr>
              <w:t xml:space="preserve"> </w:t>
            </w:r>
          </w:p>
        </w:tc>
      </w:tr>
      <w:tr w:rsidR="00404D6D" w:rsidRPr="00D30BFF" w14:paraId="36DC0F65" w14:textId="77777777" w:rsidTr="00404D6D">
        <w:trPr>
          <w:trHeight w:val="113"/>
        </w:trPr>
        <w:tc>
          <w:tcPr>
            <w:tcW w:w="2286" w:type="pct"/>
          </w:tcPr>
          <w:p w14:paraId="6363D643" w14:textId="77777777" w:rsidR="00E56263" w:rsidRPr="00D30BFF" w:rsidRDefault="00E56263" w:rsidP="00E56263">
            <w:pPr>
              <w:pStyle w:val="Tabletext"/>
              <w:spacing w:line="276" w:lineRule="auto"/>
              <w:rPr>
                <w:sz w:val="22"/>
                <w:lang w:val="en-AU"/>
              </w:rPr>
            </w:pPr>
            <w:r w:rsidRPr="00D30BFF">
              <w:rPr>
                <w:sz w:val="22"/>
                <w:lang w:val="en-AU"/>
              </w:rPr>
              <w:t>Maintaining critical assets essential for emergency response</w:t>
            </w:r>
          </w:p>
        </w:tc>
        <w:tc>
          <w:tcPr>
            <w:tcW w:w="511" w:type="pct"/>
          </w:tcPr>
          <w:p w14:paraId="081FB72A" w14:textId="77777777" w:rsidR="00E56263" w:rsidRPr="00D30BFF" w:rsidRDefault="00E56263" w:rsidP="00E56263">
            <w:pPr>
              <w:pStyle w:val="Tabletext"/>
              <w:spacing w:line="276" w:lineRule="auto"/>
              <w:jc w:val="right"/>
              <w:rPr>
                <w:sz w:val="22"/>
                <w:lang w:val="en-AU"/>
              </w:rPr>
            </w:pPr>
            <w:r w:rsidRPr="00D30BFF">
              <w:rPr>
                <w:sz w:val="22"/>
                <w:lang w:val="en-AU"/>
              </w:rPr>
              <w:t>10.0</w:t>
            </w:r>
          </w:p>
        </w:tc>
        <w:tc>
          <w:tcPr>
            <w:tcW w:w="511" w:type="pct"/>
          </w:tcPr>
          <w:p w14:paraId="43C26C2C" w14:textId="3CC54328" w:rsidR="00E56263" w:rsidRPr="00D30BFF" w:rsidRDefault="00E56263" w:rsidP="00E56263">
            <w:pPr>
              <w:pStyle w:val="Tabletext"/>
              <w:spacing w:line="276" w:lineRule="auto"/>
              <w:jc w:val="right"/>
              <w:rPr>
                <w:sz w:val="22"/>
                <w:lang w:val="en-AU"/>
              </w:rPr>
            </w:pPr>
            <w:r w:rsidRPr="00D30BFF">
              <w:rPr>
                <w:sz w:val="22"/>
                <w:lang w:val="en-AU"/>
              </w:rPr>
              <w:t>–</w:t>
            </w:r>
          </w:p>
        </w:tc>
        <w:tc>
          <w:tcPr>
            <w:tcW w:w="511" w:type="pct"/>
          </w:tcPr>
          <w:p w14:paraId="14BCAA61" w14:textId="14F16EF4" w:rsidR="00E56263" w:rsidRPr="00D30BFF" w:rsidRDefault="00E56263" w:rsidP="00E56263">
            <w:pPr>
              <w:pStyle w:val="Tabletext"/>
              <w:spacing w:line="276" w:lineRule="auto"/>
              <w:jc w:val="right"/>
              <w:rPr>
                <w:sz w:val="22"/>
                <w:lang w:val="en-AU"/>
              </w:rPr>
            </w:pPr>
            <w:r w:rsidRPr="00D30BFF">
              <w:rPr>
                <w:sz w:val="22"/>
                <w:lang w:val="en-AU"/>
              </w:rPr>
              <w:t>–</w:t>
            </w:r>
          </w:p>
        </w:tc>
        <w:tc>
          <w:tcPr>
            <w:tcW w:w="512" w:type="pct"/>
          </w:tcPr>
          <w:p w14:paraId="24E10F46" w14:textId="0CEE6CEB" w:rsidR="00E56263" w:rsidRPr="00D30BFF" w:rsidRDefault="00E56263" w:rsidP="00E56263">
            <w:pPr>
              <w:pStyle w:val="Tabletext"/>
              <w:spacing w:line="276" w:lineRule="auto"/>
              <w:jc w:val="right"/>
              <w:rPr>
                <w:sz w:val="22"/>
                <w:lang w:val="en-AU"/>
              </w:rPr>
            </w:pPr>
            <w:r w:rsidRPr="00D30BFF">
              <w:rPr>
                <w:sz w:val="22"/>
                <w:lang w:val="en-AU"/>
              </w:rPr>
              <w:t>–</w:t>
            </w:r>
          </w:p>
        </w:tc>
        <w:tc>
          <w:tcPr>
            <w:tcW w:w="668" w:type="pct"/>
          </w:tcPr>
          <w:p w14:paraId="6913C792" w14:textId="77777777" w:rsidR="00E56263" w:rsidRPr="00D30BFF" w:rsidRDefault="00E56263" w:rsidP="00E56263">
            <w:pPr>
              <w:pStyle w:val="Tabletext"/>
              <w:spacing w:line="276" w:lineRule="auto"/>
              <w:jc w:val="right"/>
              <w:rPr>
                <w:sz w:val="22"/>
                <w:lang w:val="en-AU"/>
              </w:rPr>
            </w:pPr>
            <w:r w:rsidRPr="00D30BFF">
              <w:rPr>
                <w:sz w:val="22"/>
                <w:lang w:val="en-AU"/>
              </w:rPr>
              <w:t>10.0</w:t>
            </w:r>
          </w:p>
        </w:tc>
      </w:tr>
      <w:tr w:rsidR="00404D6D" w:rsidRPr="00D30BFF" w14:paraId="7616C0F7" w14:textId="77777777" w:rsidTr="00404D6D">
        <w:trPr>
          <w:trHeight w:val="113"/>
        </w:trPr>
        <w:tc>
          <w:tcPr>
            <w:tcW w:w="2286" w:type="pct"/>
            <w:shd w:val="clear" w:color="auto" w:fill="F2F2F2" w:themeFill="background1" w:themeFillShade="F2"/>
          </w:tcPr>
          <w:p w14:paraId="334769FD" w14:textId="77777777" w:rsidR="00E56263" w:rsidRPr="00D30BFF" w:rsidRDefault="00E56263" w:rsidP="00E56263">
            <w:pPr>
              <w:pStyle w:val="Tabletext"/>
              <w:spacing w:line="276" w:lineRule="auto"/>
              <w:rPr>
                <w:b/>
                <w:bCs/>
                <w:sz w:val="22"/>
                <w:lang w:val="en-AU"/>
              </w:rPr>
            </w:pPr>
            <w:r w:rsidRPr="00D30BFF">
              <w:rPr>
                <w:b/>
                <w:bCs/>
                <w:sz w:val="22"/>
                <w:lang w:val="en-AU"/>
              </w:rPr>
              <w:t>Management of Public Land and Forests</w:t>
            </w:r>
          </w:p>
        </w:tc>
        <w:tc>
          <w:tcPr>
            <w:tcW w:w="511" w:type="pct"/>
            <w:shd w:val="clear" w:color="auto" w:fill="F2F2F2" w:themeFill="background1" w:themeFillShade="F2"/>
          </w:tcPr>
          <w:p w14:paraId="55B9CFA6" w14:textId="77777777" w:rsidR="00E56263" w:rsidRPr="00D30BFF" w:rsidRDefault="00E56263" w:rsidP="00E56263">
            <w:pPr>
              <w:pStyle w:val="Tabletext"/>
              <w:spacing w:line="276" w:lineRule="auto"/>
              <w:jc w:val="right"/>
              <w:rPr>
                <w:sz w:val="22"/>
                <w:lang w:val="en-AU"/>
              </w:rPr>
            </w:pPr>
            <w:r w:rsidRPr="00D30BFF">
              <w:rPr>
                <w:sz w:val="22"/>
                <w:lang w:val="en-AU"/>
              </w:rPr>
              <w:t xml:space="preserve"> </w:t>
            </w:r>
          </w:p>
        </w:tc>
        <w:tc>
          <w:tcPr>
            <w:tcW w:w="511" w:type="pct"/>
            <w:shd w:val="clear" w:color="auto" w:fill="F2F2F2" w:themeFill="background1" w:themeFillShade="F2"/>
          </w:tcPr>
          <w:p w14:paraId="545FEABF" w14:textId="77777777" w:rsidR="00E56263" w:rsidRPr="00D30BFF" w:rsidRDefault="00E56263" w:rsidP="00E56263">
            <w:pPr>
              <w:pStyle w:val="Tabletext"/>
              <w:spacing w:line="276" w:lineRule="auto"/>
              <w:jc w:val="right"/>
              <w:rPr>
                <w:sz w:val="22"/>
                <w:lang w:val="en-AU"/>
              </w:rPr>
            </w:pPr>
            <w:r w:rsidRPr="00D30BFF">
              <w:rPr>
                <w:sz w:val="22"/>
                <w:lang w:val="en-AU"/>
              </w:rPr>
              <w:t xml:space="preserve"> </w:t>
            </w:r>
          </w:p>
        </w:tc>
        <w:tc>
          <w:tcPr>
            <w:tcW w:w="511" w:type="pct"/>
            <w:shd w:val="clear" w:color="auto" w:fill="F2F2F2" w:themeFill="background1" w:themeFillShade="F2"/>
          </w:tcPr>
          <w:p w14:paraId="7EBD7A40" w14:textId="77777777" w:rsidR="00E56263" w:rsidRPr="00D30BFF" w:rsidRDefault="00E56263" w:rsidP="00E56263">
            <w:pPr>
              <w:pStyle w:val="Tabletext"/>
              <w:spacing w:line="276" w:lineRule="auto"/>
              <w:jc w:val="right"/>
              <w:rPr>
                <w:sz w:val="22"/>
                <w:lang w:val="en-AU"/>
              </w:rPr>
            </w:pPr>
            <w:r w:rsidRPr="00D30BFF">
              <w:rPr>
                <w:sz w:val="22"/>
                <w:lang w:val="en-AU"/>
              </w:rPr>
              <w:t xml:space="preserve"> </w:t>
            </w:r>
          </w:p>
        </w:tc>
        <w:tc>
          <w:tcPr>
            <w:tcW w:w="512" w:type="pct"/>
            <w:shd w:val="clear" w:color="auto" w:fill="F2F2F2" w:themeFill="background1" w:themeFillShade="F2"/>
          </w:tcPr>
          <w:p w14:paraId="4607D36C" w14:textId="77777777" w:rsidR="00E56263" w:rsidRPr="00D30BFF" w:rsidRDefault="00E56263" w:rsidP="00E56263">
            <w:pPr>
              <w:pStyle w:val="Tabletext"/>
              <w:spacing w:line="276" w:lineRule="auto"/>
              <w:jc w:val="right"/>
              <w:rPr>
                <w:sz w:val="22"/>
                <w:lang w:val="en-AU"/>
              </w:rPr>
            </w:pPr>
            <w:r w:rsidRPr="00D30BFF">
              <w:rPr>
                <w:sz w:val="22"/>
                <w:lang w:val="en-AU"/>
              </w:rPr>
              <w:t xml:space="preserve"> </w:t>
            </w:r>
          </w:p>
        </w:tc>
        <w:tc>
          <w:tcPr>
            <w:tcW w:w="668" w:type="pct"/>
            <w:shd w:val="clear" w:color="auto" w:fill="F2F2F2" w:themeFill="background1" w:themeFillShade="F2"/>
          </w:tcPr>
          <w:p w14:paraId="3546BEE9" w14:textId="77777777" w:rsidR="00E56263" w:rsidRPr="00D30BFF" w:rsidRDefault="00E56263" w:rsidP="00E56263">
            <w:pPr>
              <w:pStyle w:val="Tabletext"/>
              <w:spacing w:line="276" w:lineRule="auto"/>
              <w:jc w:val="right"/>
              <w:rPr>
                <w:sz w:val="22"/>
                <w:lang w:val="en-AU"/>
              </w:rPr>
            </w:pPr>
            <w:r w:rsidRPr="00D30BFF">
              <w:rPr>
                <w:sz w:val="22"/>
                <w:lang w:val="en-AU"/>
              </w:rPr>
              <w:t xml:space="preserve"> </w:t>
            </w:r>
          </w:p>
        </w:tc>
      </w:tr>
      <w:tr w:rsidR="00404D6D" w:rsidRPr="00D30BFF" w14:paraId="37EA8740" w14:textId="77777777" w:rsidTr="00404D6D">
        <w:trPr>
          <w:trHeight w:val="113"/>
        </w:trPr>
        <w:tc>
          <w:tcPr>
            <w:tcW w:w="2286" w:type="pct"/>
          </w:tcPr>
          <w:p w14:paraId="61F5B924" w14:textId="77777777" w:rsidR="00E56263" w:rsidRPr="00D30BFF" w:rsidRDefault="00E56263" w:rsidP="00E56263">
            <w:pPr>
              <w:pStyle w:val="Tabletext"/>
              <w:spacing w:line="276" w:lineRule="auto"/>
              <w:rPr>
                <w:sz w:val="22"/>
                <w:lang w:val="en-AU"/>
              </w:rPr>
            </w:pPr>
            <w:r w:rsidRPr="00D30BFF">
              <w:rPr>
                <w:sz w:val="22"/>
                <w:lang w:val="en-AU"/>
              </w:rPr>
              <w:t xml:space="preserve">Continue the establishment of </w:t>
            </w:r>
            <w:proofErr w:type="spellStart"/>
            <w:r w:rsidRPr="00D30BFF">
              <w:rPr>
                <w:sz w:val="22"/>
                <w:lang w:val="en-AU"/>
              </w:rPr>
              <w:t>Liwik</w:t>
            </w:r>
            <w:proofErr w:type="spellEnd"/>
            <w:r w:rsidRPr="00D30BFF">
              <w:rPr>
                <w:sz w:val="22"/>
                <w:lang w:val="en-AU"/>
              </w:rPr>
              <w:t xml:space="preserve"> Barring conservation area and protect Victoria’s faunal emblems</w:t>
            </w:r>
          </w:p>
        </w:tc>
        <w:tc>
          <w:tcPr>
            <w:tcW w:w="511" w:type="pct"/>
          </w:tcPr>
          <w:p w14:paraId="2ACC8C32" w14:textId="77777777" w:rsidR="00E56263" w:rsidRPr="00D30BFF" w:rsidRDefault="00E56263" w:rsidP="00E56263">
            <w:pPr>
              <w:pStyle w:val="Tabletext"/>
              <w:spacing w:line="276" w:lineRule="auto"/>
              <w:jc w:val="right"/>
              <w:rPr>
                <w:sz w:val="22"/>
                <w:lang w:val="en-AU"/>
              </w:rPr>
            </w:pPr>
            <w:r w:rsidRPr="00D30BFF">
              <w:rPr>
                <w:sz w:val="22"/>
                <w:lang w:val="en-AU"/>
              </w:rPr>
              <w:t>0.4</w:t>
            </w:r>
          </w:p>
        </w:tc>
        <w:tc>
          <w:tcPr>
            <w:tcW w:w="511" w:type="pct"/>
          </w:tcPr>
          <w:p w14:paraId="042B2625" w14:textId="77777777" w:rsidR="00E56263" w:rsidRPr="00D30BFF" w:rsidRDefault="00E56263" w:rsidP="00E56263">
            <w:pPr>
              <w:pStyle w:val="Tabletext"/>
              <w:spacing w:line="276" w:lineRule="auto"/>
              <w:jc w:val="right"/>
              <w:rPr>
                <w:sz w:val="22"/>
                <w:lang w:val="en-AU"/>
              </w:rPr>
            </w:pPr>
            <w:r w:rsidRPr="00D30BFF">
              <w:rPr>
                <w:sz w:val="22"/>
                <w:lang w:val="en-AU"/>
              </w:rPr>
              <w:t>0.4</w:t>
            </w:r>
          </w:p>
        </w:tc>
        <w:tc>
          <w:tcPr>
            <w:tcW w:w="511" w:type="pct"/>
          </w:tcPr>
          <w:p w14:paraId="066313F7" w14:textId="5C98BDF7" w:rsidR="00E56263" w:rsidRPr="00D30BFF" w:rsidRDefault="00E56263" w:rsidP="00E56263">
            <w:pPr>
              <w:pStyle w:val="Tabletext"/>
              <w:spacing w:line="276" w:lineRule="auto"/>
              <w:jc w:val="right"/>
              <w:rPr>
                <w:sz w:val="22"/>
                <w:lang w:val="en-AU"/>
              </w:rPr>
            </w:pPr>
            <w:r w:rsidRPr="00D30BFF">
              <w:rPr>
                <w:sz w:val="22"/>
                <w:lang w:val="en-AU"/>
              </w:rPr>
              <w:t>–</w:t>
            </w:r>
          </w:p>
        </w:tc>
        <w:tc>
          <w:tcPr>
            <w:tcW w:w="512" w:type="pct"/>
          </w:tcPr>
          <w:p w14:paraId="220198E3" w14:textId="5D60E243" w:rsidR="00E56263" w:rsidRPr="00D30BFF" w:rsidRDefault="00E56263" w:rsidP="00E56263">
            <w:pPr>
              <w:pStyle w:val="Tabletext"/>
              <w:spacing w:line="276" w:lineRule="auto"/>
              <w:jc w:val="right"/>
              <w:rPr>
                <w:sz w:val="22"/>
                <w:lang w:val="en-AU"/>
              </w:rPr>
            </w:pPr>
            <w:r w:rsidRPr="00D30BFF">
              <w:rPr>
                <w:sz w:val="22"/>
                <w:lang w:val="en-AU"/>
              </w:rPr>
              <w:t>–</w:t>
            </w:r>
          </w:p>
        </w:tc>
        <w:tc>
          <w:tcPr>
            <w:tcW w:w="668" w:type="pct"/>
          </w:tcPr>
          <w:p w14:paraId="3253121C" w14:textId="77777777" w:rsidR="00E56263" w:rsidRPr="00D30BFF" w:rsidRDefault="00E56263" w:rsidP="00E56263">
            <w:pPr>
              <w:pStyle w:val="Tabletext"/>
              <w:spacing w:line="276" w:lineRule="auto"/>
              <w:jc w:val="right"/>
              <w:rPr>
                <w:sz w:val="22"/>
                <w:lang w:val="en-AU"/>
              </w:rPr>
            </w:pPr>
            <w:r w:rsidRPr="00D30BFF">
              <w:rPr>
                <w:sz w:val="22"/>
                <w:lang w:val="en-AU"/>
              </w:rPr>
              <w:t>0.8</w:t>
            </w:r>
          </w:p>
        </w:tc>
      </w:tr>
      <w:tr w:rsidR="00404D6D" w:rsidRPr="00D30BFF" w14:paraId="0DE956CE" w14:textId="77777777" w:rsidTr="00404D6D">
        <w:trPr>
          <w:trHeight w:val="113"/>
        </w:trPr>
        <w:tc>
          <w:tcPr>
            <w:tcW w:w="2286" w:type="pct"/>
          </w:tcPr>
          <w:p w14:paraId="3B537C3D" w14:textId="77777777" w:rsidR="00E56263" w:rsidRPr="00D30BFF" w:rsidRDefault="00E56263" w:rsidP="00E56263">
            <w:pPr>
              <w:pStyle w:val="Tabletext"/>
              <w:spacing w:line="276" w:lineRule="auto"/>
              <w:rPr>
                <w:sz w:val="22"/>
                <w:lang w:val="en-AU"/>
              </w:rPr>
            </w:pPr>
            <w:r w:rsidRPr="00D30BFF">
              <w:rPr>
                <w:sz w:val="22"/>
                <w:lang w:val="en-AU"/>
              </w:rPr>
              <w:t>Supporting nature-based tourism and the environment along the Great Ocean Road</w:t>
            </w:r>
          </w:p>
        </w:tc>
        <w:tc>
          <w:tcPr>
            <w:tcW w:w="511" w:type="pct"/>
          </w:tcPr>
          <w:p w14:paraId="0CD20FC6" w14:textId="77777777" w:rsidR="00E56263" w:rsidRPr="00D30BFF" w:rsidRDefault="00E56263" w:rsidP="00E56263">
            <w:pPr>
              <w:pStyle w:val="Tabletext"/>
              <w:spacing w:line="276" w:lineRule="auto"/>
              <w:jc w:val="right"/>
              <w:rPr>
                <w:sz w:val="22"/>
                <w:lang w:val="en-AU"/>
              </w:rPr>
            </w:pPr>
            <w:r w:rsidRPr="00D30BFF">
              <w:rPr>
                <w:sz w:val="22"/>
                <w:lang w:val="en-AU"/>
              </w:rPr>
              <w:t>1.5</w:t>
            </w:r>
          </w:p>
        </w:tc>
        <w:tc>
          <w:tcPr>
            <w:tcW w:w="511" w:type="pct"/>
          </w:tcPr>
          <w:p w14:paraId="71B3C9B6" w14:textId="77777777" w:rsidR="00E56263" w:rsidRPr="00D30BFF" w:rsidRDefault="00E56263" w:rsidP="00E56263">
            <w:pPr>
              <w:pStyle w:val="Tabletext"/>
              <w:spacing w:line="276" w:lineRule="auto"/>
              <w:jc w:val="right"/>
              <w:rPr>
                <w:sz w:val="22"/>
                <w:lang w:val="en-AU"/>
              </w:rPr>
            </w:pPr>
            <w:r w:rsidRPr="00D30BFF">
              <w:rPr>
                <w:sz w:val="22"/>
                <w:lang w:val="en-AU"/>
              </w:rPr>
              <w:t>0.8</w:t>
            </w:r>
          </w:p>
        </w:tc>
        <w:tc>
          <w:tcPr>
            <w:tcW w:w="511" w:type="pct"/>
          </w:tcPr>
          <w:p w14:paraId="194E4075" w14:textId="4FC02A05" w:rsidR="00E56263" w:rsidRPr="00D30BFF" w:rsidRDefault="00E56263" w:rsidP="00E56263">
            <w:pPr>
              <w:pStyle w:val="Tabletext"/>
              <w:spacing w:line="276" w:lineRule="auto"/>
              <w:jc w:val="right"/>
              <w:rPr>
                <w:sz w:val="22"/>
                <w:lang w:val="en-AU"/>
              </w:rPr>
            </w:pPr>
            <w:r w:rsidRPr="00D30BFF">
              <w:rPr>
                <w:sz w:val="22"/>
                <w:lang w:val="en-AU"/>
              </w:rPr>
              <w:t>–</w:t>
            </w:r>
          </w:p>
        </w:tc>
        <w:tc>
          <w:tcPr>
            <w:tcW w:w="512" w:type="pct"/>
          </w:tcPr>
          <w:p w14:paraId="6A0B8D36" w14:textId="45289F4B" w:rsidR="00E56263" w:rsidRPr="00D30BFF" w:rsidRDefault="00E56263" w:rsidP="00E56263">
            <w:pPr>
              <w:pStyle w:val="Tabletext"/>
              <w:spacing w:line="276" w:lineRule="auto"/>
              <w:jc w:val="right"/>
              <w:rPr>
                <w:sz w:val="22"/>
                <w:lang w:val="en-AU"/>
              </w:rPr>
            </w:pPr>
            <w:r w:rsidRPr="00D30BFF">
              <w:rPr>
                <w:sz w:val="22"/>
                <w:lang w:val="en-AU"/>
              </w:rPr>
              <w:t>–</w:t>
            </w:r>
          </w:p>
        </w:tc>
        <w:tc>
          <w:tcPr>
            <w:tcW w:w="668" w:type="pct"/>
          </w:tcPr>
          <w:p w14:paraId="5835401C" w14:textId="77777777" w:rsidR="00E56263" w:rsidRPr="00D30BFF" w:rsidRDefault="00E56263" w:rsidP="00E56263">
            <w:pPr>
              <w:pStyle w:val="Tabletext"/>
              <w:spacing w:line="276" w:lineRule="auto"/>
              <w:jc w:val="right"/>
              <w:rPr>
                <w:sz w:val="22"/>
                <w:lang w:val="en-AU"/>
              </w:rPr>
            </w:pPr>
            <w:r w:rsidRPr="00D30BFF">
              <w:rPr>
                <w:sz w:val="22"/>
                <w:lang w:val="en-AU"/>
              </w:rPr>
              <w:t>2.3</w:t>
            </w:r>
          </w:p>
        </w:tc>
      </w:tr>
      <w:tr w:rsidR="00404D6D" w:rsidRPr="00D30BFF" w14:paraId="31D99B94" w14:textId="77777777" w:rsidTr="00404D6D">
        <w:trPr>
          <w:trHeight w:val="113"/>
        </w:trPr>
        <w:tc>
          <w:tcPr>
            <w:tcW w:w="2286" w:type="pct"/>
            <w:shd w:val="clear" w:color="auto" w:fill="F2F2F2" w:themeFill="background1" w:themeFillShade="F2"/>
          </w:tcPr>
          <w:p w14:paraId="4BB3CE23" w14:textId="77777777" w:rsidR="00E56263" w:rsidRPr="00D30BFF" w:rsidRDefault="00E56263" w:rsidP="00E56263">
            <w:pPr>
              <w:pStyle w:val="Tabletext"/>
              <w:spacing w:line="276" w:lineRule="auto"/>
              <w:rPr>
                <w:b/>
                <w:bCs/>
                <w:sz w:val="22"/>
                <w:lang w:val="en-AU"/>
              </w:rPr>
            </w:pPr>
            <w:r w:rsidRPr="00D30BFF">
              <w:rPr>
                <w:b/>
                <w:bCs/>
                <w:sz w:val="22"/>
                <w:lang w:val="en-AU"/>
              </w:rPr>
              <w:t>Resources</w:t>
            </w:r>
          </w:p>
        </w:tc>
        <w:tc>
          <w:tcPr>
            <w:tcW w:w="511" w:type="pct"/>
            <w:shd w:val="clear" w:color="auto" w:fill="F2F2F2" w:themeFill="background1" w:themeFillShade="F2"/>
          </w:tcPr>
          <w:p w14:paraId="4BF8027C" w14:textId="77777777" w:rsidR="00E56263" w:rsidRPr="00D30BFF" w:rsidRDefault="00E56263" w:rsidP="00E56263">
            <w:pPr>
              <w:pStyle w:val="Tabletext"/>
              <w:spacing w:line="276" w:lineRule="auto"/>
              <w:jc w:val="right"/>
              <w:rPr>
                <w:sz w:val="22"/>
                <w:lang w:val="en-AU"/>
              </w:rPr>
            </w:pPr>
            <w:r w:rsidRPr="00D30BFF">
              <w:rPr>
                <w:sz w:val="22"/>
                <w:lang w:val="en-AU"/>
              </w:rPr>
              <w:t xml:space="preserve"> </w:t>
            </w:r>
          </w:p>
        </w:tc>
        <w:tc>
          <w:tcPr>
            <w:tcW w:w="511" w:type="pct"/>
            <w:shd w:val="clear" w:color="auto" w:fill="F2F2F2" w:themeFill="background1" w:themeFillShade="F2"/>
          </w:tcPr>
          <w:p w14:paraId="04842CDC" w14:textId="77777777" w:rsidR="00E56263" w:rsidRPr="00D30BFF" w:rsidRDefault="00E56263" w:rsidP="00E56263">
            <w:pPr>
              <w:pStyle w:val="Tabletext"/>
              <w:spacing w:line="276" w:lineRule="auto"/>
              <w:jc w:val="right"/>
              <w:rPr>
                <w:sz w:val="22"/>
                <w:lang w:val="en-AU"/>
              </w:rPr>
            </w:pPr>
            <w:r w:rsidRPr="00D30BFF">
              <w:rPr>
                <w:sz w:val="22"/>
                <w:lang w:val="en-AU"/>
              </w:rPr>
              <w:t xml:space="preserve"> </w:t>
            </w:r>
          </w:p>
        </w:tc>
        <w:tc>
          <w:tcPr>
            <w:tcW w:w="511" w:type="pct"/>
            <w:shd w:val="clear" w:color="auto" w:fill="F2F2F2" w:themeFill="background1" w:themeFillShade="F2"/>
          </w:tcPr>
          <w:p w14:paraId="5DB9B748" w14:textId="77777777" w:rsidR="00E56263" w:rsidRPr="00D30BFF" w:rsidRDefault="00E56263" w:rsidP="00E56263">
            <w:pPr>
              <w:pStyle w:val="Tabletext"/>
              <w:spacing w:line="276" w:lineRule="auto"/>
              <w:jc w:val="right"/>
              <w:rPr>
                <w:sz w:val="22"/>
                <w:lang w:val="en-AU"/>
              </w:rPr>
            </w:pPr>
            <w:r w:rsidRPr="00D30BFF">
              <w:rPr>
                <w:sz w:val="22"/>
                <w:lang w:val="en-AU"/>
              </w:rPr>
              <w:t xml:space="preserve"> </w:t>
            </w:r>
          </w:p>
        </w:tc>
        <w:tc>
          <w:tcPr>
            <w:tcW w:w="512" w:type="pct"/>
            <w:shd w:val="clear" w:color="auto" w:fill="F2F2F2" w:themeFill="background1" w:themeFillShade="F2"/>
          </w:tcPr>
          <w:p w14:paraId="38B92A4F" w14:textId="77777777" w:rsidR="00E56263" w:rsidRPr="00D30BFF" w:rsidRDefault="00E56263" w:rsidP="00E56263">
            <w:pPr>
              <w:pStyle w:val="Tabletext"/>
              <w:spacing w:line="276" w:lineRule="auto"/>
              <w:jc w:val="right"/>
              <w:rPr>
                <w:sz w:val="22"/>
                <w:lang w:val="en-AU"/>
              </w:rPr>
            </w:pPr>
            <w:r w:rsidRPr="00D30BFF">
              <w:rPr>
                <w:sz w:val="22"/>
                <w:lang w:val="en-AU"/>
              </w:rPr>
              <w:t xml:space="preserve"> </w:t>
            </w:r>
          </w:p>
        </w:tc>
        <w:tc>
          <w:tcPr>
            <w:tcW w:w="668" w:type="pct"/>
            <w:shd w:val="clear" w:color="auto" w:fill="F2F2F2" w:themeFill="background1" w:themeFillShade="F2"/>
          </w:tcPr>
          <w:p w14:paraId="3298FAC8" w14:textId="77777777" w:rsidR="00E56263" w:rsidRPr="00D30BFF" w:rsidRDefault="00E56263" w:rsidP="00E56263">
            <w:pPr>
              <w:pStyle w:val="Tabletext"/>
              <w:spacing w:line="276" w:lineRule="auto"/>
              <w:jc w:val="right"/>
              <w:rPr>
                <w:sz w:val="22"/>
                <w:lang w:val="en-AU"/>
              </w:rPr>
            </w:pPr>
            <w:r w:rsidRPr="00D30BFF">
              <w:rPr>
                <w:sz w:val="22"/>
                <w:lang w:val="en-AU"/>
              </w:rPr>
              <w:t xml:space="preserve"> </w:t>
            </w:r>
          </w:p>
        </w:tc>
      </w:tr>
      <w:tr w:rsidR="00404D6D" w:rsidRPr="00D30BFF" w14:paraId="4CC47AF9" w14:textId="77777777" w:rsidTr="00404D6D">
        <w:trPr>
          <w:trHeight w:val="113"/>
        </w:trPr>
        <w:tc>
          <w:tcPr>
            <w:tcW w:w="2286" w:type="pct"/>
            <w:tcBorders>
              <w:bottom w:val="single" w:sz="12" w:space="0" w:color="auto"/>
            </w:tcBorders>
          </w:tcPr>
          <w:p w14:paraId="04325D34" w14:textId="77777777" w:rsidR="00E56263" w:rsidRPr="00D30BFF" w:rsidRDefault="00E56263" w:rsidP="00E56263">
            <w:pPr>
              <w:pStyle w:val="Tabletext"/>
              <w:spacing w:line="276" w:lineRule="auto"/>
              <w:rPr>
                <w:sz w:val="22"/>
                <w:lang w:val="en-AU"/>
              </w:rPr>
            </w:pPr>
            <w:r w:rsidRPr="00D30BFF">
              <w:rPr>
                <w:sz w:val="22"/>
                <w:lang w:val="en-AU"/>
              </w:rPr>
              <w:t>Efficient and strengthened earth resources regulation</w:t>
            </w:r>
          </w:p>
        </w:tc>
        <w:tc>
          <w:tcPr>
            <w:tcW w:w="511" w:type="pct"/>
            <w:tcBorders>
              <w:bottom w:val="single" w:sz="12" w:space="0" w:color="auto"/>
            </w:tcBorders>
          </w:tcPr>
          <w:p w14:paraId="1B2E3E9A" w14:textId="6F322A4D" w:rsidR="00E56263" w:rsidRPr="00D30BFF" w:rsidRDefault="00E56263" w:rsidP="00E56263">
            <w:pPr>
              <w:pStyle w:val="Tabletext"/>
              <w:spacing w:line="276" w:lineRule="auto"/>
              <w:jc w:val="right"/>
              <w:rPr>
                <w:sz w:val="22"/>
                <w:lang w:val="en-AU"/>
              </w:rPr>
            </w:pPr>
            <w:r w:rsidRPr="00D30BFF">
              <w:rPr>
                <w:sz w:val="22"/>
                <w:lang w:val="en-AU"/>
              </w:rPr>
              <w:t>–</w:t>
            </w:r>
          </w:p>
        </w:tc>
        <w:tc>
          <w:tcPr>
            <w:tcW w:w="511" w:type="pct"/>
            <w:tcBorders>
              <w:bottom w:val="single" w:sz="12" w:space="0" w:color="auto"/>
            </w:tcBorders>
          </w:tcPr>
          <w:p w14:paraId="582461F3" w14:textId="77777777" w:rsidR="00E56263" w:rsidRPr="00D30BFF" w:rsidRDefault="00E56263" w:rsidP="00E56263">
            <w:pPr>
              <w:pStyle w:val="Tabletext"/>
              <w:spacing w:line="276" w:lineRule="auto"/>
              <w:jc w:val="right"/>
              <w:rPr>
                <w:sz w:val="22"/>
                <w:lang w:val="en-AU"/>
              </w:rPr>
            </w:pPr>
            <w:r w:rsidRPr="00D30BFF">
              <w:rPr>
                <w:sz w:val="22"/>
                <w:lang w:val="en-AU"/>
              </w:rPr>
              <w:t>2.0</w:t>
            </w:r>
          </w:p>
        </w:tc>
        <w:tc>
          <w:tcPr>
            <w:tcW w:w="511" w:type="pct"/>
            <w:tcBorders>
              <w:bottom w:val="single" w:sz="12" w:space="0" w:color="auto"/>
            </w:tcBorders>
          </w:tcPr>
          <w:p w14:paraId="06CE967A" w14:textId="77777777" w:rsidR="00E56263" w:rsidRPr="00D30BFF" w:rsidRDefault="00E56263" w:rsidP="00E56263">
            <w:pPr>
              <w:pStyle w:val="Tabletext"/>
              <w:spacing w:line="276" w:lineRule="auto"/>
              <w:jc w:val="right"/>
              <w:rPr>
                <w:sz w:val="22"/>
                <w:lang w:val="en-AU"/>
              </w:rPr>
            </w:pPr>
            <w:r w:rsidRPr="00D30BFF">
              <w:rPr>
                <w:sz w:val="22"/>
                <w:lang w:val="en-AU"/>
              </w:rPr>
              <w:t>0.5</w:t>
            </w:r>
          </w:p>
        </w:tc>
        <w:tc>
          <w:tcPr>
            <w:tcW w:w="512" w:type="pct"/>
            <w:tcBorders>
              <w:bottom w:val="single" w:sz="12" w:space="0" w:color="auto"/>
            </w:tcBorders>
          </w:tcPr>
          <w:p w14:paraId="3E6F68B6" w14:textId="458B2456" w:rsidR="00E56263" w:rsidRPr="00D30BFF" w:rsidRDefault="00E56263" w:rsidP="00E56263">
            <w:pPr>
              <w:pStyle w:val="Tabletext"/>
              <w:spacing w:line="276" w:lineRule="auto"/>
              <w:jc w:val="right"/>
              <w:rPr>
                <w:sz w:val="22"/>
                <w:lang w:val="en-AU"/>
              </w:rPr>
            </w:pPr>
            <w:r w:rsidRPr="00D30BFF">
              <w:rPr>
                <w:sz w:val="22"/>
                <w:lang w:val="en-AU"/>
              </w:rPr>
              <w:t>–</w:t>
            </w:r>
          </w:p>
        </w:tc>
        <w:tc>
          <w:tcPr>
            <w:tcW w:w="668" w:type="pct"/>
            <w:tcBorders>
              <w:bottom w:val="single" w:sz="12" w:space="0" w:color="auto"/>
            </w:tcBorders>
          </w:tcPr>
          <w:p w14:paraId="5310F644" w14:textId="77777777" w:rsidR="00E56263" w:rsidRPr="00D30BFF" w:rsidRDefault="00E56263" w:rsidP="00E56263">
            <w:pPr>
              <w:pStyle w:val="Tabletext"/>
              <w:spacing w:line="276" w:lineRule="auto"/>
              <w:jc w:val="right"/>
              <w:rPr>
                <w:sz w:val="22"/>
                <w:lang w:val="en-AU"/>
              </w:rPr>
            </w:pPr>
            <w:r w:rsidRPr="00D30BFF">
              <w:rPr>
                <w:sz w:val="22"/>
                <w:lang w:val="en-AU"/>
              </w:rPr>
              <w:t>2.5</w:t>
            </w:r>
          </w:p>
        </w:tc>
      </w:tr>
      <w:tr w:rsidR="00404D6D" w:rsidRPr="00D30BFF" w14:paraId="6BDFD0E4" w14:textId="77777777" w:rsidTr="00404D6D">
        <w:trPr>
          <w:trHeight w:val="113"/>
        </w:trPr>
        <w:tc>
          <w:tcPr>
            <w:tcW w:w="2286" w:type="pct"/>
            <w:tcBorders>
              <w:top w:val="single" w:sz="12" w:space="0" w:color="auto"/>
              <w:bottom w:val="single" w:sz="12" w:space="0" w:color="auto"/>
            </w:tcBorders>
          </w:tcPr>
          <w:p w14:paraId="28AE8E5B" w14:textId="77777777" w:rsidR="00E56263" w:rsidRPr="00D30BFF" w:rsidRDefault="00E56263" w:rsidP="00E56263">
            <w:pPr>
              <w:pStyle w:val="Tabletext"/>
              <w:spacing w:line="276" w:lineRule="auto"/>
              <w:rPr>
                <w:b/>
                <w:bCs/>
                <w:sz w:val="22"/>
                <w:lang w:val="en-AU"/>
              </w:rPr>
            </w:pPr>
            <w:r w:rsidRPr="00D30BFF">
              <w:rPr>
                <w:b/>
                <w:bCs/>
                <w:sz w:val="22"/>
                <w:lang w:val="en-AU"/>
              </w:rPr>
              <w:t>Total asset initiatives</w:t>
            </w:r>
          </w:p>
        </w:tc>
        <w:tc>
          <w:tcPr>
            <w:tcW w:w="511" w:type="pct"/>
            <w:tcBorders>
              <w:top w:val="single" w:sz="12" w:space="0" w:color="auto"/>
              <w:bottom w:val="single" w:sz="12" w:space="0" w:color="auto"/>
            </w:tcBorders>
          </w:tcPr>
          <w:p w14:paraId="4B98021D" w14:textId="77777777" w:rsidR="00E56263" w:rsidRPr="00D30BFF" w:rsidRDefault="00E56263" w:rsidP="00E56263">
            <w:pPr>
              <w:pStyle w:val="Tabletext"/>
              <w:spacing w:line="276" w:lineRule="auto"/>
              <w:jc w:val="right"/>
              <w:rPr>
                <w:b/>
                <w:bCs/>
                <w:sz w:val="22"/>
                <w:lang w:val="en-AU"/>
              </w:rPr>
            </w:pPr>
            <w:r w:rsidRPr="00D30BFF">
              <w:rPr>
                <w:b/>
                <w:bCs/>
                <w:sz w:val="22"/>
                <w:lang w:val="en-AU"/>
              </w:rPr>
              <w:t>16.4</w:t>
            </w:r>
          </w:p>
        </w:tc>
        <w:tc>
          <w:tcPr>
            <w:tcW w:w="511" w:type="pct"/>
            <w:tcBorders>
              <w:top w:val="single" w:sz="12" w:space="0" w:color="auto"/>
              <w:bottom w:val="single" w:sz="12" w:space="0" w:color="auto"/>
            </w:tcBorders>
          </w:tcPr>
          <w:p w14:paraId="2195F033" w14:textId="77777777" w:rsidR="00E56263" w:rsidRPr="00D30BFF" w:rsidRDefault="00E56263" w:rsidP="00E56263">
            <w:pPr>
              <w:pStyle w:val="Tabletext"/>
              <w:spacing w:line="276" w:lineRule="auto"/>
              <w:jc w:val="right"/>
              <w:rPr>
                <w:b/>
                <w:bCs/>
                <w:sz w:val="22"/>
                <w:lang w:val="en-AU"/>
              </w:rPr>
            </w:pPr>
            <w:r w:rsidRPr="00D30BFF">
              <w:rPr>
                <w:b/>
                <w:bCs/>
                <w:sz w:val="22"/>
                <w:lang w:val="en-AU"/>
              </w:rPr>
              <w:t>5.2</w:t>
            </w:r>
          </w:p>
        </w:tc>
        <w:tc>
          <w:tcPr>
            <w:tcW w:w="511" w:type="pct"/>
            <w:tcBorders>
              <w:top w:val="single" w:sz="12" w:space="0" w:color="auto"/>
              <w:bottom w:val="single" w:sz="12" w:space="0" w:color="auto"/>
            </w:tcBorders>
          </w:tcPr>
          <w:p w14:paraId="102C89F4" w14:textId="77777777" w:rsidR="00E56263" w:rsidRPr="00D30BFF" w:rsidRDefault="00E56263" w:rsidP="00E56263">
            <w:pPr>
              <w:pStyle w:val="Tabletext"/>
              <w:spacing w:line="276" w:lineRule="auto"/>
              <w:jc w:val="right"/>
              <w:rPr>
                <w:b/>
                <w:bCs/>
                <w:sz w:val="22"/>
                <w:lang w:val="en-AU"/>
              </w:rPr>
            </w:pPr>
            <w:r w:rsidRPr="00D30BFF">
              <w:rPr>
                <w:b/>
                <w:bCs/>
                <w:sz w:val="22"/>
                <w:lang w:val="en-AU"/>
              </w:rPr>
              <w:t>0.5</w:t>
            </w:r>
          </w:p>
        </w:tc>
        <w:tc>
          <w:tcPr>
            <w:tcW w:w="512" w:type="pct"/>
            <w:tcBorders>
              <w:top w:val="single" w:sz="12" w:space="0" w:color="auto"/>
              <w:bottom w:val="single" w:sz="12" w:space="0" w:color="auto"/>
            </w:tcBorders>
          </w:tcPr>
          <w:p w14:paraId="17B51CAD" w14:textId="73B87667" w:rsidR="00E56263" w:rsidRPr="00D30BFF" w:rsidRDefault="00E56263" w:rsidP="00E56263">
            <w:pPr>
              <w:pStyle w:val="Tabletext"/>
              <w:spacing w:line="276" w:lineRule="auto"/>
              <w:jc w:val="right"/>
              <w:rPr>
                <w:b/>
                <w:bCs/>
                <w:sz w:val="22"/>
                <w:lang w:val="en-AU"/>
              </w:rPr>
            </w:pPr>
            <w:r w:rsidRPr="00D30BFF">
              <w:rPr>
                <w:b/>
                <w:bCs/>
                <w:sz w:val="22"/>
                <w:lang w:val="en-AU"/>
              </w:rPr>
              <w:t>–</w:t>
            </w:r>
          </w:p>
        </w:tc>
        <w:tc>
          <w:tcPr>
            <w:tcW w:w="668" w:type="pct"/>
            <w:tcBorders>
              <w:top w:val="single" w:sz="12" w:space="0" w:color="auto"/>
              <w:bottom w:val="single" w:sz="12" w:space="0" w:color="auto"/>
            </w:tcBorders>
          </w:tcPr>
          <w:p w14:paraId="1A19D3D2" w14:textId="77777777" w:rsidR="00E56263" w:rsidRPr="00D30BFF" w:rsidRDefault="00E56263" w:rsidP="00E56263">
            <w:pPr>
              <w:pStyle w:val="Tabletext"/>
              <w:spacing w:line="276" w:lineRule="auto"/>
              <w:jc w:val="right"/>
              <w:rPr>
                <w:b/>
                <w:bCs/>
                <w:sz w:val="22"/>
                <w:lang w:val="en-AU"/>
              </w:rPr>
            </w:pPr>
            <w:r w:rsidRPr="00D30BFF">
              <w:rPr>
                <w:b/>
                <w:bCs/>
                <w:sz w:val="22"/>
                <w:lang w:val="en-AU"/>
              </w:rPr>
              <w:t>33.4</w:t>
            </w:r>
          </w:p>
        </w:tc>
      </w:tr>
    </w:tbl>
    <w:p w14:paraId="5EC2EC84" w14:textId="072C5267" w:rsidR="00E56263" w:rsidRPr="00D30BFF" w:rsidRDefault="00E56263" w:rsidP="00E56263">
      <w:pPr>
        <w:sectPr w:rsidR="00E56263" w:rsidRPr="00D30BFF" w:rsidSect="00741992">
          <w:pgSz w:w="16838" w:h="11906" w:orient="landscape"/>
          <w:pgMar w:top="1134" w:right="1134" w:bottom="1134" w:left="1134" w:header="720" w:footer="454" w:gutter="0"/>
          <w:cols w:space="720"/>
          <w:noEndnote/>
          <w:docGrid w:linePitch="326"/>
        </w:sectPr>
      </w:pPr>
    </w:p>
    <w:p w14:paraId="2C07948D" w14:textId="77777777" w:rsidR="00404D6D" w:rsidRPr="00D30BFF" w:rsidRDefault="00404D6D" w:rsidP="00404D6D">
      <w:pPr>
        <w:pStyle w:val="Heading2"/>
        <w:rPr>
          <w:lang w:val="en-AU"/>
        </w:rPr>
      </w:pPr>
      <w:r w:rsidRPr="00D30BFF">
        <w:rPr>
          <w:lang w:val="en-AU"/>
        </w:rPr>
        <w:lastRenderedPageBreak/>
        <w:t>Approved use of accumulated State Administration Unit (SAU) surplus</w:t>
      </w:r>
    </w:p>
    <w:p w14:paraId="4A23E826" w14:textId="56372FEB" w:rsidR="004B1744" w:rsidRPr="00D30BFF" w:rsidRDefault="00404D6D" w:rsidP="004B1744">
      <w:pPr>
        <w:pStyle w:val="BodyText"/>
        <w:rPr>
          <w:lang w:val="en-AU"/>
        </w:rPr>
      </w:pPr>
      <w:r w:rsidRPr="00D30BFF">
        <w:rPr>
          <w:lang w:val="en-AU"/>
        </w:rPr>
        <w:t>The Resource Management Framework sets out the order of funding for approved asset investments. DEECA follows this order and if required, funds will be drawn down from accumulated SAU funding, after seeking approval from the Treasurer as required under S33 of the Financial Management Act 1994. Within DEECA, 7 approved Corporate Services (5) Bushfire and Forest Services (1) and Energy (1) initiatives have accessed these SAU funds to deliver additional services and infrastructure, details of which will be reported in the Annual Financial Report.</w:t>
      </w:r>
    </w:p>
    <w:p w14:paraId="214066E8" w14:textId="77777777" w:rsidR="00222FF2" w:rsidRPr="00D30BFF" w:rsidRDefault="00222FF2" w:rsidP="00885AAB">
      <w:pPr>
        <w:pStyle w:val="Heading1"/>
        <w:pageBreakBefore/>
        <w:spacing w:after="240"/>
        <w:rPr>
          <w:lang w:val="en-AU"/>
        </w:rPr>
      </w:pPr>
      <w:bookmarkStart w:id="22" w:name="_Toc184285036"/>
      <w:bookmarkStart w:id="23" w:name="_Toc207621373"/>
      <w:r w:rsidRPr="00D30BFF">
        <w:rPr>
          <w:lang w:val="en-AU"/>
        </w:rPr>
        <w:lastRenderedPageBreak/>
        <w:t>Publication information</w:t>
      </w:r>
      <w:bookmarkEnd w:id="22"/>
      <w:bookmarkEnd w:id="23"/>
    </w:p>
    <w:p w14:paraId="3EB886CF" w14:textId="77777777" w:rsidR="00222FF2" w:rsidRPr="00D30BFF" w:rsidRDefault="00222FF2" w:rsidP="00C51A83">
      <w:pPr>
        <w:pStyle w:val="Heading2"/>
        <w:spacing w:before="0" w:after="80"/>
        <w:rPr>
          <w:sz w:val="32"/>
          <w:szCs w:val="32"/>
          <w:lang w:val="en-AU"/>
        </w:rPr>
      </w:pPr>
      <w:r w:rsidRPr="00D30BFF">
        <w:rPr>
          <w:sz w:val="32"/>
          <w:szCs w:val="32"/>
          <w:lang w:val="en-AU"/>
        </w:rPr>
        <w:t>Acknowledgements</w:t>
      </w:r>
    </w:p>
    <w:p w14:paraId="481881B9" w14:textId="77777777" w:rsidR="00FF45EB" w:rsidRPr="00D30BFF" w:rsidRDefault="00FF45EB" w:rsidP="00FF45EB">
      <w:pPr>
        <w:pStyle w:val="BodyText"/>
        <w:spacing w:after="120"/>
        <w:rPr>
          <w:lang w:val="en-AU"/>
        </w:rPr>
      </w:pPr>
      <w:r w:rsidRPr="00D30BFF">
        <w:rPr>
          <w:lang w:val="en-AU"/>
        </w:rPr>
        <w:t>We acknowledge and respect Victorian Traditional Owners as the original custodians of Victoria’s land and waters, their unique ability to care for Country and deep spiritual connection to it.</w:t>
      </w:r>
    </w:p>
    <w:p w14:paraId="6F357DD5" w14:textId="77777777" w:rsidR="00FF45EB" w:rsidRPr="00D30BFF" w:rsidRDefault="00FF45EB" w:rsidP="00FF45EB">
      <w:pPr>
        <w:pStyle w:val="BodyText"/>
        <w:spacing w:after="120"/>
        <w:rPr>
          <w:lang w:val="en-AU"/>
        </w:rPr>
      </w:pPr>
      <w:r w:rsidRPr="00D30BFF">
        <w:rPr>
          <w:lang w:val="en-AU"/>
        </w:rPr>
        <w:t xml:space="preserve">We honour Elders past and present whose </w:t>
      </w:r>
      <w:proofErr w:type="gramStart"/>
      <w:r w:rsidRPr="00D30BFF">
        <w:rPr>
          <w:lang w:val="en-AU"/>
        </w:rPr>
        <w:t>knowledge</w:t>
      </w:r>
      <w:proofErr w:type="gramEnd"/>
      <w:r w:rsidRPr="00D30BFF">
        <w:rPr>
          <w:lang w:val="en-AU"/>
        </w:rPr>
        <w:t xml:space="preserve"> and wisdom has ensured the continuation of culture and traditional practices.</w:t>
      </w:r>
    </w:p>
    <w:p w14:paraId="7229363C" w14:textId="77777777" w:rsidR="00222FF2" w:rsidRPr="00D30BFF" w:rsidRDefault="00FF45EB" w:rsidP="00C51A83">
      <w:pPr>
        <w:pStyle w:val="BodyText"/>
        <w:spacing w:after="120"/>
        <w:rPr>
          <w:lang w:val="en-AU"/>
        </w:rPr>
      </w:pPr>
      <w:r w:rsidRPr="00D30BFF">
        <w:rPr>
          <w:lang w:val="en-AU"/>
        </w:rPr>
        <w:t>DEECA is committed to genuinely partnering with Victorian Traditional Owners and Victoria’s Aboriginal community to progress their aspirations.</w:t>
      </w:r>
    </w:p>
    <w:p w14:paraId="32127E2E" w14:textId="77777777" w:rsidR="00222FF2" w:rsidRPr="00D30BFF" w:rsidRDefault="00222FF2" w:rsidP="00C51A83">
      <w:pPr>
        <w:pStyle w:val="Heading2"/>
        <w:spacing w:before="0" w:after="80"/>
        <w:rPr>
          <w:sz w:val="32"/>
          <w:szCs w:val="32"/>
          <w:lang w:val="en-AU"/>
        </w:rPr>
      </w:pPr>
      <w:r w:rsidRPr="00D30BFF">
        <w:rPr>
          <w:sz w:val="32"/>
          <w:szCs w:val="32"/>
          <w:lang w:val="en-AU"/>
        </w:rPr>
        <w:t>Copyright</w:t>
      </w:r>
    </w:p>
    <w:p w14:paraId="0A7F7139" w14:textId="4FCA74BC" w:rsidR="00222FF2" w:rsidRPr="00D30BFF" w:rsidRDefault="00222FF2" w:rsidP="00C51A83">
      <w:pPr>
        <w:pStyle w:val="BodyText"/>
        <w:spacing w:after="120"/>
        <w:ind w:right="-285"/>
        <w:rPr>
          <w:lang w:val="en-AU"/>
        </w:rPr>
      </w:pPr>
      <w:r w:rsidRPr="00D30BFF">
        <w:rPr>
          <w:lang w:val="en-AU"/>
        </w:rPr>
        <w:t xml:space="preserve">© The State of Victoria Department of Energy, Environment and Climate Action, </w:t>
      </w:r>
      <w:r w:rsidR="00CD50DC" w:rsidRPr="00D30BFF">
        <w:rPr>
          <w:lang w:val="en-AU"/>
        </w:rPr>
        <w:t xml:space="preserve">August </w:t>
      </w:r>
      <w:r w:rsidRPr="00D30BFF">
        <w:rPr>
          <w:lang w:val="en-AU"/>
        </w:rPr>
        <w:t>202</w:t>
      </w:r>
      <w:r w:rsidR="00FF45EB" w:rsidRPr="00D30BFF">
        <w:rPr>
          <w:lang w:val="en-AU"/>
        </w:rPr>
        <w:t>5</w:t>
      </w:r>
      <w:r w:rsidRPr="00D30BFF">
        <w:rPr>
          <w:lang w:val="en-AU"/>
        </w:rPr>
        <w:t>.</w:t>
      </w:r>
    </w:p>
    <w:p w14:paraId="56274842" w14:textId="77777777" w:rsidR="00222FF2" w:rsidRPr="00D30BFF" w:rsidRDefault="00222FF2" w:rsidP="00C51A83">
      <w:pPr>
        <w:pStyle w:val="Heading2"/>
        <w:spacing w:before="0" w:after="80"/>
        <w:rPr>
          <w:sz w:val="32"/>
          <w:szCs w:val="32"/>
          <w:lang w:val="en-AU"/>
        </w:rPr>
      </w:pPr>
      <w:r w:rsidRPr="00D30BFF">
        <w:rPr>
          <w:sz w:val="32"/>
          <w:szCs w:val="32"/>
          <w:lang w:val="en-AU"/>
        </w:rPr>
        <w:t>Creative Commons</w:t>
      </w:r>
    </w:p>
    <w:p w14:paraId="3C0C00CA" w14:textId="13B3FA60" w:rsidR="00222FF2" w:rsidRPr="00D30BFF" w:rsidRDefault="00222FF2" w:rsidP="00222FF2">
      <w:pPr>
        <w:pStyle w:val="BodyText"/>
        <w:ind w:right="-285"/>
        <w:rPr>
          <w:lang w:val="en-AU"/>
        </w:rPr>
      </w:pPr>
      <w:r w:rsidRPr="00D30BFF">
        <w:rPr>
          <w:lang w:val="en-AU"/>
        </w:rPr>
        <w:t xml:space="preserve">This work is licensed under a Creative Commons Attribution 4.0 International licence, visit the </w:t>
      </w:r>
      <w:hyperlink r:id="rId13" w:tooltip="Hyperlink to Creative Commons website" w:history="1">
        <w:r w:rsidRPr="00D30BFF">
          <w:rPr>
            <w:rStyle w:val="Hyperlink"/>
            <w:lang w:val="en-AU"/>
          </w:rPr>
          <w:t>Creative Commons website</w:t>
        </w:r>
      </w:hyperlink>
      <w:r w:rsidRPr="00D30BFF">
        <w:rPr>
          <w:lang w:val="en-AU"/>
        </w:rPr>
        <w:t xml:space="preserve"> (</w:t>
      </w:r>
      <w:hyperlink r:id="rId14" w:tooltip="Hyperlink to Creative Commons website" w:history="1">
        <w:r w:rsidRPr="00D30BFF">
          <w:rPr>
            <w:rStyle w:val="Hyperlink"/>
            <w:lang w:val="en-AU"/>
          </w:rPr>
          <w:t>http://creativecommons.org/licenses/by/4.0/</w:t>
        </w:r>
      </w:hyperlink>
      <w:r w:rsidRPr="00D30BFF">
        <w:rPr>
          <w:lang w:val="en-AU"/>
        </w:rPr>
        <w:t>).</w:t>
      </w:r>
    </w:p>
    <w:p w14:paraId="3387260B" w14:textId="77777777" w:rsidR="00222FF2" w:rsidRPr="00D30BFF" w:rsidRDefault="00222FF2" w:rsidP="00222FF2">
      <w:pPr>
        <w:pStyle w:val="BodyText"/>
        <w:ind w:right="-285"/>
        <w:rPr>
          <w:lang w:val="en-AU"/>
        </w:rPr>
      </w:pPr>
      <w:r w:rsidRPr="00D30BFF">
        <w:rPr>
          <w:lang w:val="en-AU"/>
        </w:rPr>
        <w:t>You are free to re-use the work under that licence, on the condition that you credit the State of Victoria as author. The licence does not apply to any images, photographs or branding, including the Victorian Coat of Arms, and the Victorian Government and Department logos.</w:t>
      </w:r>
    </w:p>
    <w:p w14:paraId="5273ACBE" w14:textId="77777777" w:rsidR="00CD50DC" w:rsidRPr="00D30BFF" w:rsidRDefault="00222FF2" w:rsidP="00CD50DC">
      <w:pPr>
        <w:pStyle w:val="BodyText"/>
        <w:spacing w:after="120" w:line="276" w:lineRule="auto"/>
        <w:ind w:right="-285"/>
        <w:rPr>
          <w:lang w:val="en-AU"/>
        </w:rPr>
      </w:pPr>
      <w:r w:rsidRPr="00D30BFF">
        <w:rPr>
          <w:b/>
          <w:bCs/>
          <w:lang w:val="en-AU"/>
        </w:rPr>
        <w:t>ISBN</w:t>
      </w:r>
      <w:r w:rsidRPr="00D30BFF">
        <w:rPr>
          <w:lang w:val="en-AU"/>
        </w:rPr>
        <w:t xml:space="preserve"> </w:t>
      </w:r>
      <w:r w:rsidR="00CD50DC" w:rsidRPr="00D30BFF">
        <w:rPr>
          <w:lang w:val="en-AU"/>
        </w:rPr>
        <w:t xml:space="preserve">978-1-76176-582-7 </w:t>
      </w:r>
      <w:r w:rsidR="00CD50DC" w:rsidRPr="00D30BFF">
        <w:rPr>
          <w:b/>
          <w:bCs/>
          <w:lang w:val="en-AU"/>
        </w:rPr>
        <w:t>(Print)</w:t>
      </w:r>
    </w:p>
    <w:p w14:paraId="2887C9AE" w14:textId="13C013BA" w:rsidR="00222FF2" w:rsidRPr="00D30BFF" w:rsidRDefault="00CD50DC" w:rsidP="00CD50DC">
      <w:pPr>
        <w:pStyle w:val="BodyText"/>
        <w:spacing w:after="360" w:line="276" w:lineRule="auto"/>
        <w:ind w:right="-285"/>
        <w:rPr>
          <w:lang w:val="en-AU"/>
        </w:rPr>
      </w:pPr>
      <w:r w:rsidRPr="00D30BFF">
        <w:rPr>
          <w:b/>
          <w:bCs/>
          <w:lang w:val="en-AU"/>
        </w:rPr>
        <w:t>ISBN</w:t>
      </w:r>
      <w:r w:rsidRPr="00D30BFF">
        <w:rPr>
          <w:lang w:val="en-AU"/>
        </w:rPr>
        <w:t xml:space="preserve"> 978-1-76176-583-4 </w:t>
      </w:r>
      <w:r w:rsidRPr="00D30BFF">
        <w:rPr>
          <w:b/>
          <w:bCs/>
          <w:lang w:val="en-AU"/>
        </w:rPr>
        <w:t>(pdf/online/MS word)</w:t>
      </w:r>
    </w:p>
    <w:p w14:paraId="7C50E229" w14:textId="0A3C6C9F" w:rsidR="00222FF2" w:rsidRPr="00D30BFF" w:rsidRDefault="00222FF2" w:rsidP="00C51A83">
      <w:pPr>
        <w:pStyle w:val="Heading2"/>
        <w:spacing w:before="0" w:after="80"/>
        <w:rPr>
          <w:sz w:val="32"/>
          <w:szCs w:val="32"/>
          <w:lang w:val="en-AU"/>
        </w:rPr>
      </w:pPr>
      <w:r w:rsidRPr="00D30BFF">
        <w:rPr>
          <w:sz w:val="32"/>
          <w:szCs w:val="32"/>
          <w:lang w:val="en-AU"/>
        </w:rPr>
        <w:t>Disclaimer</w:t>
      </w:r>
    </w:p>
    <w:p w14:paraId="460149D0" w14:textId="77777777" w:rsidR="00222FF2" w:rsidRPr="00D30BFF" w:rsidRDefault="00222FF2" w:rsidP="00C51A83">
      <w:pPr>
        <w:pStyle w:val="BodyText"/>
        <w:spacing w:after="120"/>
        <w:rPr>
          <w:lang w:val="en-AU"/>
        </w:rPr>
      </w:pPr>
      <w:r w:rsidRPr="00D30BFF">
        <w:rPr>
          <w:lang w:val="en-AU"/>
        </w:rPr>
        <w:t xml:space="preserve">This publication may be of assistance to </w:t>
      </w:r>
      <w:proofErr w:type="gramStart"/>
      <w:r w:rsidRPr="00D30BFF">
        <w:rPr>
          <w:lang w:val="en-AU"/>
        </w:rPr>
        <w:t>you</w:t>
      </w:r>
      <w:proofErr w:type="gramEnd"/>
      <w:r w:rsidRPr="00D30BFF">
        <w:rPr>
          <w:lang w:val="en-AU"/>
        </w:rPr>
        <w:t xml:space="preserve"> but the State of Victoria and its employees do not guarantee that the publication is without flaw of any kind or is wholly appropriate for your </w:t>
      </w:r>
      <w:proofErr w:type="gramStart"/>
      <w:r w:rsidRPr="00D30BFF">
        <w:rPr>
          <w:lang w:val="en-AU"/>
        </w:rPr>
        <w:t>particular purposes</w:t>
      </w:r>
      <w:proofErr w:type="gramEnd"/>
      <w:r w:rsidRPr="00D30BFF">
        <w:rPr>
          <w:lang w:val="en-AU"/>
        </w:rPr>
        <w:t xml:space="preserve"> and therefore disclaims all liability for any error, loss or other consequence which may arise from you relying on any information in this publication.</w:t>
      </w:r>
    </w:p>
    <w:p w14:paraId="3A798143" w14:textId="77777777" w:rsidR="00222FF2" w:rsidRPr="00D30BFF" w:rsidRDefault="00222FF2" w:rsidP="00C51A83">
      <w:pPr>
        <w:pStyle w:val="Heading2"/>
        <w:spacing w:before="0" w:after="80"/>
        <w:rPr>
          <w:sz w:val="32"/>
          <w:szCs w:val="32"/>
          <w:lang w:val="en-AU"/>
        </w:rPr>
      </w:pPr>
      <w:r w:rsidRPr="00D30BFF">
        <w:rPr>
          <w:sz w:val="32"/>
          <w:szCs w:val="32"/>
          <w:lang w:val="en-AU"/>
        </w:rPr>
        <w:lastRenderedPageBreak/>
        <w:t>Accessibility</w:t>
      </w:r>
    </w:p>
    <w:p w14:paraId="6260B2DE" w14:textId="2A496557" w:rsidR="00222FF2" w:rsidRPr="00D30BFF" w:rsidRDefault="00222FF2" w:rsidP="00C51A83">
      <w:pPr>
        <w:pStyle w:val="BodyText"/>
        <w:spacing w:after="120"/>
        <w:rPr>
          <w:lang w:val="en-AU"/>
        </w:rPr>
      </w:pPr>
      <w:r w:rsidRPr="00D30BFF">
        <w:rPr>
          <w:lang w:val="en-AU"/>
        </w:rPr>
        <w:t xml:space="preserve">To receive this document in an alternative format, phone the Customer Service Centre on 136 186, email </w:t>
      </w:r>
      <w:hyperlink r:id="rId15" w:tooltip="Send an email to customer service" w:history="1">
        <w:r w:rsidRPr="00D30BFF">
          <w:rPr>
            <w:rStyle w:val="Hyperlink"/>
            <w:lang w:val="en-AU"/>
          </w:rPr>
          <w:t>customer.service@delwp.vic.gov.au</w:t>
        </w:r>
      </w:hyperlink>
      <w:r w:rsidRPr="00D30BFF">
        <w:rPr>
          <w:lang w:val="en-AU"/>
        </w:rPr>
        <w:t>, or contact National Relay Service on 133 677. Available at DEECA website (</w:t>
      </w:r>
      <w:hyperlink r:id="rId16" w:tooltip="Hyperlink to the DEECA website" w:history="1">
        <w:r w:rsidRPr="00D30BFF">
          <w:rPr>
            <w:rStyle w:val="Hyperlink"/>
            <w:lang w:val="en-AU"/>
          </w:rPr>
          <w:t>www.deeca.vic.gov.au</w:t>
        </w:r>
      </w:hyperlink>
      <w:r w:rsidRPr="00D30BFF">
        <w:rPr>
          <w:lang w:val="en-AU"/>
        </w:rPr>
        <w:t>).</w:t>
      </w:r>
    </w:p>
    <w:p w14:paraId="32BACC16" w14:textId="77777777" w:rsidR="00F767CD" w:rsidRPr="00D30BFF" w:rsidRDefault="00222FF2" w:rsidP="00C51A83">
      <w:pPr>
        <w:pStyle w:val="BodyText"/>
        <w:spacing w:before="240" w:after="0"/>
        <w:rPr>
          <w:b/>
          <w:bCs/>
          <w:lang w:val="en-AU"/>
        </w:rPr>
      </w:pPr>
      <w:r w:rsidRPr="00D30BFF">
        <w:rPr>
          <w:b/>
          <w:bCs/>
          <w:lang w:val="en-AU"/>
        </w:rPr>
        <w:t>End of document.</w:t>
      </w:r>
    </w:p>
    <w:sectPr w:rsidR="00F767CD" w:rsidRPr="00D30BFF" w:rsidSect="00EB277B">
      <w:pgSz w:w="11906" w:h="16838"/>
      <w:pgMar w:top="1134" w:right="1134" w:bottom="1134" w:left="1134"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66D95" w14:textId="77777777" w:rsidR="00A1520E" w:rsidRDefault="00A1520E" w:rsidP="00F2730B">
      <w:pPr>
        <w:spacing w:after="0" w:line="240" w:lineRule="auto"/>
      </w:pPr>
      <w:r>
        <w:separator/>
      </w:r>
    </w:p>
  </w:endnote>
  <w:endnote w:type="continuationSeparator" w:id="0">
    <w:p w14:paraId="731E3873" w14:textId="77777777" w:rsidR="00A1520E" w:rsidRDefault="00A1520E" w:rsidP="00F2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MinionPro-Regular">
    <w:altName w:val="Calibri"/>
    <w:panose1 w:val="00000000000000000000"/>
    <w:charset w:val="00"/>
    <w:family w:val="auto"/>
    <w:notTrueType/>
    <w:pitch w:val="default"/>
    <w:sig w:usb0="00000003" w:usb1="00000000" w:usb2="00000000" w:usb3="00000000" w:csb0="00000001" w:csb1="00000000"/>
  </w:font>
  <w:font w:name="VIC (OTF) Light Italic">
    <w:altName w:val="VIC"/>
    <w:panose1 w:val="00000000000000000000"/>
    <w:charset w:val="4D"/>
    <w:family w:val="auto"/>
    <w:notTrueType/>
    <w:pitch w:val="variable"/>
    <w:sig w:usb0="00000007" w:usb1="00000000" w:usb2="00000000" w:usb3="00000000" w:csb0="00000093" w:csb1="00000000"/>
  </w:font>
  <w:font w:name="VIC (OTF) SemiBold">
    <w:altName w:val="VIC"/>
    <w:panose1 w:val="00000000000000000000"/>
    <w:charset w:val="4D"/>
    <w:family w:val="auto"/>
    <w:notTrueType/>
    <w:pitch w:val="variable"/>
    <w:sig w:usb0="00000007" w:usb1="00000000" w:usb2="00000000" w:usb3="00000000" w:csb0="00000093" w:csb1="00000000"/>
  </w:font>
  <w:font w:name="Times New Roman (Body CS)">
    <w:altName w:val="Times New Roman"/>
    <w:panose1 w:val="00000000000000000000"/>
    <w:charset w:val="00"/>
    <w:family w:val="roman"/>
    <w:notTrueType/>
    <w:pitch w:val="default"/>
  </w:font>
  <w:font w:name="Arial (Headings)">
    <w:altName w:val="Arial"/>
    <w:charset w:val="00"/>
    <w:family w:val="roman"/>
    <w:pitch w:val="default"/>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04707089"/>
      <w:docPartObj>
        <w:docPartGallery w:val="Page Numbers (Bottom of Page)"/>
        <w:docPartUnique/>
      </w:docPartObj>
    </w:sdtPr>
    <w:sdtEndPr>
      <w:rPr>
        <w:rStyle w:val="PageNumber"/>
      </w:rPr>
    </w:sdtEndPr>
    <w:sdtContent>
      <w:p w14:paraId="0570D78D" w14:textId="77777777" w:rsidR="00B165A7" w:rsidRDefault="00B165A7" w:rsidP="00885A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09F099" w14:textId="77777777" w:rsidR="00B165A7" w:rsidRDefault="00B165A7" w:rsidP="00B165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54635306"/>
      <w:docPartObj>
        <w:docPartGallery w:val="Page Numbers (Bottom of Page)"/>
        <w:docPartUnique/>
      </w:docPartObj>
    </w:sdtPr>
    <w:sdtEndPr>
      <w:rPr>
        <w:rStyle w:val="PageNumber"/>
      </w:rPr>
    </w:sdtEndPr>
    <w:sdtContent>
      <w:p w14:paraId="7172DE1A" w14:textId="77777777" w:rsidR="00EB277B" w:rsidRDefault="00EB277B" w:rsidP="00EB27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5EBF849A" w14:textId="54611AB3" w:rsidR="00EB277B" w:rsidRDefault="00CD50DC" w:rsidP="00EB277B">
    <w:pPr>
      <w:pStyle w:val="Footer"/>
      <w:ind w:right="360"/>
    </w:pPr>
    <w:r w:rsidRPr="00CD50DC">
      <w:t>DEECA Corporate Plan 2025-2029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47704047"/>
      <w:docPartObj>
        <w:docPartGallery w:val="Page Numbers (Bottom of Page)"/>
        <w:docPartUnique/>
      </w:docPartObj>
    </w:sdtPr>
    <w:sdtEndPr>
      <w:rPr>
        <w:rStyle w:val="PageNumber"/>
      </w:rPr>
    </w:sdtEndPr>
    <w:sdtContent>
      <w:p w14:paraId="1554BE5C" w14:textId="77777777" w:rsidR="00885AAB" w:rsidRDefault="00885AAB" w:rsidP="00FE2D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F179CAC" w14:textId="1B85B72B" w:rsidR="00B165A7" w:rsidRDefault="00CD50DC" w:rsidP="00CD50DC">
    <w:pPr>
      <w:pStyle w:val="Footer"/>
      <w:ind w:right="360"/>
    </w:pPr>
    <w:r w:rsidRPr="00CD50DC">
      <w:t>DEECA Corporate Plan 2025-2029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E0594" w14:textId="77777777" w:rsidR="00A1520E" w:rsidRDefault="00A1520E" w:rsidP="00F2730B">
      <w:pPr>
        <w:spacing w:after="0" w:line="240" w:lineRule="auto"/>
      </w:pPr>
      <w:r>
        <w:separator/>
      </w:r>
    </w:p>
  </w:footnote>
  <w:footnote w:type="continuationSeparator" w:id="0">
    <w:p w14:paraId="6CAC5A8A" w14:textId="77777777" w:rsidR="00A1520E" w:rsidRDefault="00A1520E" w:rsidP="00F27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C9D69B22"/>
    <w:lvl w:ilvl="0">
      <w:start w:val="1"/>
      <w:numFmt w:val="bullet"/>
      <w:pStyle w:val="ListBullet3"/>
      <w:lvlText w:val=""/>
      <w:lvlJc w:val="left"/>
      <w:pPr>
        <w:ind w:left="926" w:hanging="360"/>
      </w:pPr>
      <w:rPr>
        <w:rFonts w:ascii="Wingdings" w:hAnsi="Wingdings" w:hint="default"/>
      </w:rPr>
    </w:lvl>
  </w:abstractNum>
  <w:abstractNum w:abstractNumId="2" w15:restartNumberingAfterBreak="0">
    <w:nsid w:val="FFFFFF88"/>
    <w:multiLevelType w:val="singleLevel"/>
    <w:tmpl w:val="C64E3856"/>
    <w:lvl w:ilvl="0">
      <w:start w:val="1"/>
      <w:numFmt w:val="decimal"/>
      <w:pStyle w:val="ListNumber"/>
      <w:lvlText w:val="%1."/>
      <w:lvlJc w:val="left"/>
      <w:pPr>
        <w:tabs>
          <w:tab w:val="num" w:pos="2345"/>
        </w:tabs>
        <w:ind w:left="2345" w:hanging="360"/>
      </w:pPr>
      <w:rPr>
        <w:rFonts w:hint="default"/>
      </w:rPr>
    </w:lvl>
  </w:abstractNum>
  <w:abstractNum w:abstractNumId="3" w15:restartNumberingAfterBreak="0">
    <w:nsid w:val="FFFFFF89"/>
    <w:multiLevelType w:val="singleLevel"/>
    <w:tmpl w:val="918404C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5"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9D4908"/>
    <w:multiLevelType w:val="multilevel"/>
    <w:tmpl w:val="4AB455C8"/>
    <w:styleLink w:val="CurrentList13"/>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7F2880"/>
    <w:multiLevelType w:val="multilevel"/>
    <w:tmpl w:val="4AB455C8"/>
    <w:styleLink w:val="CurrentList16"/>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3B9A489D"/>
    <w:multiLevelType w:val="multilevel"/>
    <w:tmpl w:val="B85C2CE2"/>
    <w:styleLink w:val="CurrentList9"/>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7"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5DB6CAA"/>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13D3B90"/>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19977DE"/>
    <w:multiLevelType w:val="multilevel"/>
    <w:tmpl w:val="86D889D8"/>
    <w:styleLink w:val="CurrentList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CA3B4C"/>
    <w:multiLevelType w:val="hybridMultilevel"/>
    <w:tmpl w:val="3FECBB80"/>
    <w:lvl w:ilvl="0" w:tplc="125A57F2">
      <w:start w:val="1"/>
      <w:numFmt w:val="lowerLetter"/>
      <w:pStyle w:val="Listparagrapha"/>
      <w:lvlText w:val="%1."/>
      <w:lvlJc w:val="left"/>
      <w:pPr>
        <w:tabs>
          <w:tab w:val="num" w:pos="697"/>
        </w:tabs>
        <w:ind w:left="697" w:hanging="34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3" w15:restartNumberingAfterBreak="0">
    <w:nsid w:val="652D2E3B"/>
    <w:multiLevelType w:val="hybridMultilevel"/>
    <w:tmpl w:val="4F829E28"/>
    <w:lvl w:ilvl="0" w:tplc="111CBC08">
      <w:start w:val="1"/>
      <w:numFmt w:val="bullet"/>
      <w:pStyle w:val="Table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F05A7E"/>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31D65E9"/>
    <w:multiLevelType w:val="hybridMultilevel"/>
    <w:tmpl w:val="8F425C38"/>
    <w:lvl w:ilvl="0" w:tplc="54303112">
      <w:start w:val="1"/>
      <w:numFmt w:val="bullet"/>
      <w:pStyle w:val="ListBullet2"/>
      <w:lvlText w:val=""/>
      <w:lvlJc w:val="left"/>
      <w:pPr>
        <w:ind w:left="732" w:hanging="360"/>
      </w:pPr>
      <w:rPr>
        <w:rFonts w:ascii="Wingdings" w:hAnsi="Wingding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26" w15:restartNumberingAfterBreak="0">
    <w:nsid w:val="7CA92CF3"/>
    <w:multiLevelType w:val="hybridMultilevel"/>
    <w:tmpl w:val="C3F40D64"/>
    <w:lvl w:ilvl="0" w:tplc="D0DE56FC">
      <w:start w:val="1"/>
      <w:numFmt w:val="bullet"/>
      <w:pStyle w:val="Bullet2"/>
      <w:lvlText w:val=""/>
      <w:lvlJc w:val="left"/>
      <w:pPr>
        <w:ind w:left="70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1570190">
    <w:abstractNumId w:val="26"/>
  </w:num>
  <w:num w:numId="2" w16cid:durableId="1813522522">
    <w:abstractNumId w:val="3"/>
  </w:num>
  <w:num w:numId="3" w16cid:durableId="533276510">
    <w:abstractNumId w:val="25"/>
  </w:num>
  <w:num w:numId="4" w16cid:durableId="771362055">
    <w:abstractNumId w:val="2"/>
  </w:num>
  <w:num w:numId="5" w16cid:durableId="3823149">
    <w:abstractNumId w:val="17"/>
  </w:num>
  <w:num w:numId="6" w16cid:durableId="338390637">
    <w:abstractNumId w:val="5"/>
  </w:num>
  <w:num w:numId="7" w16cid:durableId="182984412">
    <w:abstractNumId w:val="22"/>
  </w:num>
  <w:num w:numId="8" w16cid:durableId="853954488">
    <w:abstractNumId w:val="15"/>
  </w:num>
  <w:num w:numId="9" w16cid:durableId="307325374">
    <w:abstractNumId w:val="9"/>
  </w:num>
  <w:num w:numId="10" w16cid:durableId="1207567416">
    <w:abstractNumId w:val="12"/>
  </w:num>
  <w:num w:numId="11" w16cid:durableId="1714499310">
    <w:abstractNumId w:val="11"/>
  </w:num>
  <w:num w:numId="12" w16cid:durableId="1557817223">
    <w:abstractNumId w:val="19"/>
  </w:num>
  <w:num w:numId="13" w16cid:durableId="766468131">
    <w:abstractNumId w:val="7"/>
  </w:num>
  <w:num w:numId="14" w16cid:durableId="401634644">
    <w:abstractNumId w:val="4"/>
  </w:num>
  <w:num w:numId="15" w16cid:durableId="1333338980">
    <w:abstractNumId w:val="8"/>
  </w:num>
  <w:num w:numId="16" w16cid:durableId="2077896738">
    <w:abstractNumId w:val="14"/>
  </w:num>
  <w:num w:numId="17" w16cid:durableId="318195612">
    <w:abstractNumId w:val="0"/>
  </w:num>
  <w:num w:numId="18" w16cid:durableId="172572898">
    <w:abstractNumId w:val="16"/>
  </w:num>
  <w:num w:numId="19" w16cid:durableId="1306818322">
    <w:abstractNumId w:val="1"/>
  </w:num>
  <w:num w:numId="20" w16cid:durableId="1536767415">
    <w:abstractNumId w:val="23"/>
  </w:num>
  <w:num w:numId="21" w16cid:durableId="54209663">
    <w:abstractNumId w:val="6"/>
  </w:num>
  <w:num w:numId="22" w16cid:durableId="1336883623">
    <w:abstractNumId w:val="21"/>
  </w:num>
  <w:num w:numId="23" w16cid:durableId="1204173423">
    <w:abstractNumId w:val="20"/>
  </w:num>
  <w:num w:numId="24" w16cid:durableId="1581451535">
    <w:abstractNumId w:val="10"/>
  </w:num>
  <w:num w:numId="25" w16cid:durableId="1754938255">
    <w:abstractNumId w:val="13"/>
  </w:num>
  <w:num w:numId="26" w16cid:durableId="1013340051">
    <w:abstractNumId w:val="24"/>
  </w:num>
  <w:num w:numId="27" w16cid:durableId="888301183">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A85"/>
    <w:rsid w:val="00001E7A"/>
    <w:rsid w:val="000025D7"/>
    <w:rsid w:val="000031BB"/>
    <w:rsid w:val="000055D4"/>
    <w:rsid w:val="00010851"/>
    <w:rsid w:val="00010D69"/>
    <w:rsid w:val="000138AF"/>
    <w:rsid w:val="00015679"/>
    <w:rsid w:val="000159E0"/>
    <w:rsid w:val="00016269"/>
    <w:rsid w:val="0001795D"/>
    <w:rsid w:val="000210D8"/>
    <w:rsid w:val="00021E90"/>
    <w:rsid w:val="00024973"/>
    <w:rsid w:val="00024EED"/>
    <w:rsid w:val="00026504"/>
    <w:rsid w:val="00031E8A"/>
    <w:rsid w:val="0003252D"/>
    <w:rsid w:val="00033D9B"/>
    <w:rsid w:val="00035E6B"/>
    <w:rsid w:val="000378C7"/>
    <w:rsid w:val="0004007B"/>
    <w:rsid w:val="000403E9"/>
    <w:rsid w:val="000407F7"/>
    <w:rsid w:val="00040921"/>
    <w:rsid w:val="00045691"/>
    <w:rsid w:val="00046FB2"/>
    <w:rsid w:val="000473FF"/>
    <w:rsid w:val="000505A5"/>
    <w:rsid w:val="00050A02"/>
    <w:rsid w:val="00051ABC"/>
    <w:rsid w:val="00055918"/>
    <w:rsid w:val="00057DAA"/>
    <w:rsid w:val="00060F88"/>
    <w:rsid w:val="0006211F"/>
    <w:rsid w:val="00062635"/>
    <w:rsid w:val="000636DD"/>
    <w:rsid w:val="00063821"/>
    <w:rsid w:val="000670B1"/>
    <w:rsid w:val="00067C5F"/>
    <w:rsid w:val="00070BB3"/>
    <w:rsid w:val="000747B4"/>
    <w:rsid w:val="00077243"/>
    <w:rsid w:val="00083F92"/>
    <w:rsid w:val="00096052"/>
    <w:rsid w:val="00096F20"/>
    <w:rsid w:val="000A06C8"/>
    <w:rsid w:val="000A07D7"/>
    <w:rsid w:val="000A09C6"/>
    <w:rsid w:val="000A2C96"/>
    <w:rsid w:val="000A2E17"/>
    <w:rsid w:val="000A49E3"/>
    <w:rsid w:val="000B0305"/>
    <w:rsid w:val="000B181D"/>
    <w:rsid w:val="000B62B5"/>
    <w:rsid w:val="000C021F"/>
    <w:rsid w:val="000C259F"/>
    <w:rsid w:val="000C377A"/>
    <w:rsid w:val="000C3DAF"/>
    <w:rsid w:val="000C4A37"/>
    <w:rsid w:val="000C4B11"/>
    <w:rsid w:val="000C5968"/>
    <w:rsid w:val="000D4E1A"/>
    <w:rsid w:val="000D7F89"/>
    <w:rsid w:val="000F00F6"/>
    <w:rsid w:val="000F1864"/>
    <w:rsid w:val="000F2ED2"/>
    <w:rsid w:val="000F3D21"/>
    <w:rsid w:val="000F46F4"/>
    <w:rsid w:val="000F4892"/>
    <w:rsid w:val="000F491B"/>
    <w:rsid w:val="000F4C2F"/>
    <w:rsid w:val="000F7ED6"/>
    <w:rsid w:val="00101019"/>
    <w:rsid w:val="0010210E"/>
    <w:rsid w:val="00104647"/>
    <w:rsid w:val="00105A0B"/>
    <w:rsid w:val="001069F6"/>
    <w:rsid w:val="001073C1"/>
    <w:rsid w:val="001104F7"/>
    <w:rsid w:val="00114AA6"/>
    <w:rsid w:val="0011571F"/>
    <w:rsid w:val="001164EC"/>
    <w:rsid w:val="00121F0D"/>
    <w:rsid w:val="00124CDD"/>
    <w:rsid w:val="00125150"/>
    <w:rsid w:val="001252BF"/>
    <w:rsid w:val="001273C5"/>
    <w:rsid w:val="00131B14"/>
    <w:rsid w:val="00132474"/>
    <w:rsid w:val="001326C2"/>
    <w:rsid w:val="0013327E"/>
    <w:rsid w:val="00135B36"/>
    <w:rsid w:val="001450B6"/>
    <w:rsid w:val="001475FA"/>
    <w:rsid w:val="001500AB"/>
    <w:rsid w:val="00150D75"/>
    <w:rsid w:val="00151489"/>
    <w:rsid w:val="00152A02"/>
    <w:rsid w:val="00152A8B"/>
    <w:rsid w:val="00156D15"/>
    <w:rsid w:val="00163F36"/>
    <w:rsid w:val="00164E6C"/>
    <w:rsid w:val="0016764A"/>
    <w:rsid w:val="001679C2"/>
    <w:rsid w:val="001708FE"/>
    <w:rsid w:val="00170B1E"/>
    <w:rsid w:val="00171185"/>
    <w:rsid w:val="00172357"/>
    <w:rsid w:val="00175022"/>
    <w:rsid w:val="00185ABC"/>
    <w:rsid w:val="00185F2D"/>
    <w:rsid w:val="00187524"/>
    <w:rsid w:val="00187BEB"/>
    <w:rsid w:val="00191553"/>
    <w:rsid w:val="001920A5"/>
    <w:rsid w:val="00192DC5"/>
    <w:rsid w:val="0019451B"/>
    <w:rsid w:val="001950EE"/>
    <w:rsid w:val="001A118C"/>
    <w:rsid w:val="001A358E"/>
    <w:rsid w:val="001A4A2B"/>
    <w:rsid w:val="001A5DB2"/>
    <w:rsid w:val="001A6F8B"/>
    <w:rsid w:val="001A714A"/>
    <w:rsid w:val="001B02D0"/>
    <w:rsid w:val="001B1361"/>
    <w:rsid w:val="001B1B3A"/>
    <w:rsid w:val="001B2A51"/>
    <w:rsid w:val="001B37AF"/>
    <w:rsid w:val="001B4C0B"/>
    <w:rsid w:val="001B72F0"/>
    <w:rsid w:val="001C10D8"/>
    <w:rsid w:val="001C1D65"/>
    <w:rsid w:val="001C2B23"/>
    <w:rsid w:val="001C7E9F"/>
    <w:rsid w:val="001D023D"/>
    <w:rsid w:val="001D3828"/>
    <w:rsid w:val="001D441D"/>
    <w:rsid w:val="001D5686"/>
    <w:rsid w:val="001E0685"/>
    <w:rsid w:val="001E332A"/>
    <w:rsid w:val="001E3511"/>
    <w:rsid w:val="001E3FB4"/>
    <w:rsid w:val="001E4386"/>
    <w:rsid w:val="001E4846"/>
    <w:rsid w:val="001E5B9F"/>
    <w:rsid w:val="001E6288"/>
    <w:rsid w:val="001F01C9"/>
    <w:rsid w:val="001F18D2"/>
    <w:rsid w:val="001F1BBD"/>
    <w:rsid w:val="001F2925"/>
    <w:rsid w:val="001F45C5"/>
    <w:rsid w:val="001F4B3E"/>
    <w:rsid w:val="001F5C59"/>
    <w:rsid w:val="001F5FF3"/>
    <w:rsid w:val="002020A7"/>
    <w:rsid w:val="00202A5B"/>
    <w:rsid w:val="0020318C"/>
    <w:rsid w:val="00203251"/>
    <w:rsid w:val="00207F89"/>
    <w:rsid w:val="00210E8C"/>
    <w:rsid w:val="00212461"/>
    <w:rsid w:val="00214345"/>
    <w:rsid w:val="002143C5"/>
    <w:rsid w:val="0021482C"/>
    <w:rsid w:val="002152A5"/>
    <w:rsid w:val="00215E01"/>
    <w:rsid w:val="00220839"/>
    <w:rsid w:val="00222FF2"/>
    <w:rsid w:val="00231129"/>
    <w:rsid w:val="002336CC"/>
    <w:rsid w:val="00233B8B"/>
    <w:rsid w:val="00236EB6"/>
    <w:rsid w:val="00241796"/>
    <w:rsid w:val="00241E12"/>
    <w:rsid w:val="00244E10"/>
    <w:rsid w:val="0024556C"/>
    <w:rsid w:val="002460FA"/>
    <w:rsid w:val="00246623"/>
    <w:rsid w:val="002528F3"/>
    <w:rsid w:val="00252A99"/>
    <w:rsid w:val="00252B69"/>
    <w:rsid w:val="002533B0"/>
    <w:rsid w:val="00253B39"/>
    <w:rsid w:val="00253CE5"/>
    <w:rsid w:val="00253E2B"/>
    <w:rsid w:val="002565F3"/>
    <w:rsid w:val="0026107A"/>
    <w:rsid w:val="002612BF"/>
    <w:rsid w:val="0026182E"/>
    <w:rsid w:val="002623BE"/>
    <w:rsid w:val="002629BE"/>
    <w:rsid w:val="0026417C"/>
    <w:rsid w:val="00266DF9"/>
    <w:rsid w:val="0027313B"/>
    <w:rsid w:val="002742CF"/>
    <w:rsid w:val="00276F9F"/>
    <w:rsid w:val="0028015F"/>
    <w:rsid w:val="00281939"/>
    <w:rsid w:val="00283316"/>
    <w:rsid w:val="00283702"/>
    <w:rsid w:val="00283D59"/>
    <w:rsid w:val="00284372"/>
    <w:rsid w:val="002848F0"/>
    <w:rsid w:val="00285B57"/>
    <w:rsid w:val="00287102"/>
    <w:rsid w:val="00287AA8"/>
    <w:rsid w:val="00287CD4"/>
    <w:rsid w:val="00291546"/>
    <w:rsid w:val="00292641"/>
    <w:rsid w:val="00292E19"/>
    <w:rsid w:val="00295CE3"/>
    <w:rsid w:val="002A2BEF"/>
    <w:rsid w:val="002A3002"/>
    <w:rsid w:val="002B01C3"/>
    <w:rsid w:val="002B109E"/>
    <w:rsid w:val="002C3499"/>
    <w:rsid w:val="002C41F0"/>
    <w:rsid w:val="002C75FC"/>
    <w:rsid w:val="002C7725"/>
    <w:rsid w:val="002D0B3A"/>
    <w:rsid w:val="002D2205"/>
    <w:rsid w:val="002D26FB"/>
    <w:rsid w:val="002D5D38"/>
    <w:rsid w:val="002D6BC2"/>
    <w:rsid w:val="002D70AB"/>
    <w:rsid w:val="002D75AD"/>
    <w:rsid w:val="002E1F5B"/>
    <w:rsid w:val="002E1FA8"/>
    <w:rsid w:val="002E34E8"/>
    <w:rsid w:val="002E4FE6"/>
    <w:rsid w:val="002E5F4D"/>
    <w:rsid w:val="002E748D"/>
    <w:rsid w:val="002F0246"/>
    <w:rsid w:val="002F08A3"/>
    <w:rsid w:val="002F0A22"/>
    <w:rsid w:val="002F239E"/>
    <w:rsid w:val="002F2CD2"/>
    <w:rsid w:val="002F38E2"/>
    <w:rsid w:val="002F5028"/>
    <w:rsid w:val="002F7F10"/>
    <w:rsid w:val="003016EC"/>
    <w:rsid w:val="00305C9D"/>
    <w:rsid w:val="0030735D"/>
    <w:rsid w:val="00307463"/>
    <w:rsid w:val="00307AE3"/>
    <w:rsid w:val="0031002A"/>
    <w:rsid w:val="00310309"/>
    <w:rsid w:val="003116DC"/>
    <w:rsid w:val="00311725"/>
    <w:rsid w:val="00320AAB"/>
    <w:rsid w:val="00320E94"/>
    <w:rsid w:val="003211A9"/>
    <w:rsid w:val="003226E3"/>
    <w:rsid w:val="00324579"/>
    <w:rsid w:val="00332FE6"/>
    <w:rsid w:val="003360B7"/>
    <w:rsid w:val="003367D8"/>
    <w:rsid w:val="00336EEE"/>
    <w:rsid w:val="00337320"/>
    <w:rsid w:val="0034155C"/>
    <w:rsid w:val="0034757B"/>
    <w:rsid w:val="00350920"/>
    <w:rsid w:val="00352F44"/>
    <w:rsid w:val="003560A1"/>
    <w:rsid w:val="003616B0"/>
    <w:rsid w:val="00365074"/>
    <w:rsid w:val="00365844"/>
    <w:rsid w:val="0036602E"/>
    <w:rsid w:val="00367F37"/>
    <w:rsid w:val="00377A31"/>
    <w:rsid w:val="003815C1"/>
    <w:rsid w:val="0038278D"/>
    <w:rsid w:val="0038291F"/>
    <w:rsid w:val="00384270"/>
    <w:rsid w:val="003842AB"/>
    <w:rsid w:val="003857A1"/>
    <w:rsid w:val="00387EBD"/>
    <w:rsid w:val="003931F4"/>
    <w:rsid w:val="003939D3"/>
    <w:rsid w:val="00395B17"/>
    <w:rsid w:val="00395DD4"/>
    <w:rsid w:val="00397BEF"/>
    <w:rsid w:val="003A0ADE"/>
    <w:rsid w:val="003A1991"/>
    <w:rsid w:val="003A393C"/>
    <w:rsid w:val="003A42CC"/>
    <w:rsid w:val="003A5555"/>
    <w:rsid w:val="003A6086"/>
    <w:rsid w:val="003A7094"/>
    <w:rsid w:val="003A72CF"/>
    <w:rsid w:val="003B25BA"/>
    <w:rsid w:val="003B4284"/>
    <w:rsid w:val="003B4A00"/>
    <w:rsid w:val="003C0AAC"/>
    <w:rsid w:val="003C2291"/>
    <w:rsid w:val="003C43C1"/>
    <w:rsid w:val="003C7412"/>
    <w:rsid w:val="003C7DED"/>
    <w:rsid w:val="003D0365"/>
    <w:rsid w:val="003D16D7"/>
    <w:rsid w:val="003D1F96"/>
    <w:rsid w:val="003D4796"/>
    <w:rsid w:val="003E2730"/>
    <w:rsid w:val="003E3C61"/>
    <w:rsid w:val="003E5B1D"/>
    <w:rsid w:val="003E6B4D"/>
    <w:rsid w:val="003E76E9"/>
    <w:rsid w:val="003F0FE0"/>
    <w:rsid w:val="003F1409"/>
    <w:rsid w:val="003F26AC"/>
    <w:rsid w:val="003F3BF3"/>
    <w:rsid w:val="003F3D0A"/>
    <w:rsid w:val="003F5AFF"/>
    <w:rsid w:val="003F5CCE"/>
    <w:rsid w:val="003F682C"/>
    <w:rsid w:val="0040019B"/>
    <w:rsid w:val="00400E4D"/>
    <w:rsid w:val="0040225E"/>
    <w:rsid w:val="00402AA5"/>
    <w:rsid w:val="00404B9B"/>
    <w:rsid w:val="00404D6D"/>
    <w:rsid w:val="00404F0E"/>
    <w:rsid w:val="00407A5A"/>
    <w:rsid w:val="0041109B"/>
    <w:rsid w:val="00413A1C"/>
    <w:rsid w:val="004153F9"/>
    <w:rsid w:val="004163B5"/>
    <w:rsid w:val="0041681E"/>
    <w:rsid w:val="00423210"/>
    <w:rsid w:val="004233C0"/>
    <w:rsid w:val="00433E87"/>
    <w:rsid w:val="00434824"/>
    <w:rsid w:val="00434D39"/>
    <w:rsid w:val="00434D8A"/>
    <w:rsid w:val="00450334"/>
    <w:rsid w:val="004511D5"/>
    <w:rsid w:val="00451ABC"/>
    <w:rsid w:val="00452CA4"/>
    <w:rsid w:val="0045371F"/>
    <w:rsid w:val="00454FF3"/>
    <w:rsid w:val="004554EA"/>
    <w:rsid w:val="00460D9F"/>
    <w:rsid w:val="00463C15"/>
    <w:rsid w:val="00464889"/>
    <w:rsid w:val="0046520A"/>
    <w:rsid w:val="00467943"/>
    <w:rsid w:val="004702C7"/>
    <w:rsid w:val="00471616"/>
    <w:rsid w:val="00471860"/>
    <w:rsid w:val="0047195C"/>
    <w:rsid w:val="004732CA"/>
    <w:rsid w:val="00473A1E"/>
    <w:rsid w:val="00473D14"/>
    <w:rsid w:val="00477532"/>
    <w:rsid w:val="00480600"/>
    <w:rsid w:val="00482AF4"/>
    <w:rsid w:val="00484253"/>
    <w:rsid w:val="004875F9"/>
    <w:rsid w:val="00490B9B"/>
    <w:rsid w:val="00490E07"/>
    <w:rsid w:val="0049105A"/>
    <w:rsid w:val="00492757"/>
    <w:rsid w:val="004976B7"/>
    <w:rsid w:val="004A0E5A"/>
    <w:rsid w:val="004A4826"/>
    <w:rsid w:val="004A68CA"/>
    <w:rsid w:val="004B12B2"/>
    <w:rsid w:val="004B1744"/>
    <w:rsid w:val="004B20C4"/>
    <w:rsid w:val="004B30FB"/>
    <w:rsid w:val="004B44F8"/>
    <w:rsid w:val="004B5A85"/>
    <w:rsid w:val="004B752D"/>
    <w:rsid w:val="004B791C"/>
    <w:rsid w:val="004C32A5"/>
    <w:rsid w:val="004C5429"/>
    <w:rsid w:val="004D2D64"/>
    <w:rsid w:val="004D2E96"/>
    <w:rsid w:val="004D4014"/>
    <w:rsid w:val="004D502A"/>
    <w:rsid w:val="004D5F6A"/>
    <w:rsid w:val="004D603C"/>
    <w:rsid w:val="004E1EBD"/>
    <w:rsid w:val="004E2D9F"/>
    <w:rsid w:val="004E4CB9"/>
    <w:rsid w:val="004E6D88"/>
    <w:rsid w:val="004F3F5B"/>
    <w:rsid w:val="004F7042"/>
    <w:rsid w:val="004F724A"/>
    <w:rsid w:val="004F77CA"/>
    <w:rsid w:val="00506B0D"/>
    <w:rsid w:val="00510677"/>
    <w:rsid w:val="005122BD"/>
    <w:rsid w:val="00513A03"/>
    <w:rsid w:val="00515813"/>
    <w:rsid w:val="00515C9C"/>
    <w:rsid w:val="00515EE5"/>
    <w:rsid w:val="0051674C"/>
    <w:rsid w:val="005204D5"/>
    <w:rsid w:val="00526FFF"/>
    <w:rsid w:val="00527384"/>
    <w:rsid w:val="00532EA0"/>
    <w:rsid w:val="0053353B"/>
    <w:rsid w:val="0053537A"/>
    <w:rsid w:val="00535FEF"/>
    <w:rsid w:val="00536DD7"/>
    <w:rsid w:val="005400B9"/>
    <w:rsid w:val="005406CC"/>
    <w:rsid w:val="0054395D"/>
    <w:rsid w:val="00543A98"/>
    <w:rsid w:val="00546380"/>
    <w:rsid w:val="005478D8"/>
    <w:rsid w:val="005479C6"/>
    <w:rsid w:val="00547D4F"/>
    <w:rsid w:val="0055238D"/>
    <w:rsid w:val="00552F27"/>
    <w:rsid w:val="00553012"/>
    <w:rsid w:val="005554F3"/>
    <w:rsid w:val="00555CD9"/>
    <w:rsid w:val="00556105"/>
    <w:rsid w:val="005576D8"/>
    <w:rsid w:val="00560C0D"/>
    <w:rsid w:val="00561FF9"/>
    <w:rsid w:val="00562EF3"/>
    <w:rsid w:val="00563326"/>
    <w:rsid w:val="00564079"/>
    <w:rsid w:val="005659D9"/>
    <w:rsid w:val="00565E34"/>
    <w:rsid w:val="00573734"/>
    <w:rsid w:val="005739A2"/>
    <w:rsid w:val="005740D5"/>
    <w:rsid w:val="0057561A"/>
    <w:rsid w:val="00576223"/>
    <w:rsid w:val="00577C9B"/>
    <w:rsid w:val="00587AC8"/>
    <w:rsid w:val="00595BC4"/>
    <w:rsid w:val="00597962"/>
    <w:rsid w:val="005A0001"/>
    <w:rsid w:val="005A0FCC"/>
    <w:rsid w:val="005A1B66"/>
    <w:rsid w:val="005A1BCD"/>
    <w:rsid w:val="005A2D1B"/>
    <w:rsid w:val="005A35B7"/>
    <w:rsid w:val="005A3AC9"/>
    <w:rsid w:val="005A5FCD"/>
    <w:rsid w:val="005A6B8F"/>
    <w:rsid w:val="005A7BF4"/>
    <w:rsid w:val="005B0BB4"/>
    <w:rsid w:val="005B593D"/>
    <w:rsid w:val="005B5FC2"/>
    <w:rsid w:val="005C1D42"/>
    <w:rsid w:val="005C4602"/>
    <w:rsid w:val="005C4CEF"/>
    <w:rsid w:val="005C53CF"/>
    <w:rsid w:val="005C79C1"/>
    <w:rsid w:val="005D14B1"/>
    <w:rsid w:val="005D1F35"/>
    <w:rsid w:val="005D2DCB"/>
    <w:rsid w:val="005D4BBC"/>
    <w:rsid w:val="005D4D35"/>
    <w:rsid w:val="005D5FC8"/>
    <w:rsid w:val="005D632D"/>
    <w:rsid w:val="005D72B8"/>
    <w:rsid w:val="005E06E2"/>
    <w:rsid w:val="005E0BF1"/>
    <w:rsid w:val="005E2B4C"/>
    <w:rsid w:val="005E393E"/>
    <w:rsid w:val="005E3F95"/>
    <w:rsid w:val="005E730C"/>
    <w:rsid w:val="005E7912"/>
    <w:rsid w:val="005E7E0B"/>
    <w:rsid w:val="005F05E4"/>
    <w:rsid w:val="005F1A1C"/>
    <w:rsid w:val="005F1D94"/>
    <w:rsid w:val="005F28AC"/>
    <w:rsid w:val="00600114"/>
    <w:rsid w:val="00601DBE"/>
    <w:rsid w:val="00605A83"/>
    <w:rsid w:val="0061034E"/>
    <w:rsid w:val="00611355"/>
    <w:rsid w:val="006116FA"/>
    <w:rsid w:val="0061249E"/>
    <w:rsid w:val="006125D7"/>
    <w:rsid w:val="00614C33"/>
    <w:rsid w:val="00616CF4"/>
    <w:rsid w:val="00620098"/>
    <w:rsid w:val="0062672B"/>
    <w:rsid w:val="0062675C"/>
    <w:rsid w:val="00627C9D"/>
    <w:rsid w:val="00635211"/>
    <w:rsid w:val="006353A0"/>
    <w:rsid w:val="00636344"/>
    <w:rsid w:val="006368F9"/>
    <w:rsid w:val="00642F1E"/>
    <w:rsid w:val="00642FFB"/>
    <w:rsid w:val="00643DDC"/>
    <w:rsid w:val="006445E6"/>
    <w:rsid w:val="00645230"/>
    <w:rsid w:val="006462C8"/>
    <w:rsid w:val="006466AF"/>
    <w:rsid w:val="00646D7A"/>
    <w:rsid w:val="00650CD2"/>
    <w:rsid w:val="006528C9"/>
    <w:rsid w:val="0065528D"/>
    <w:rsid w:val="00655413"/>
    <w:rsid w:val="0065671E"/>
    <w:rsid w:val="006568C7"/>
    <w:rsid w:val="00661813"/>
    <w:rsid w:val="00661920"/>
    <w:rsid w:val="0066651F"/>
    <w:rsid w:val="00673096"/>
    <w:rsid w:val="006738F0"/>
    <w:rsid w:val="006810F9"/>
    <w:rsid w:val="0068129E"/>
    <w:rsid w:val="006835A0"/>
    <w:rsid w:val="00684BBF"/>
    <w:rsid w:val="00685936"/>
    <w:rsid w:val="006872C0"/>
    <w:rsid w:val="00690194"/>
    <w:rsid w:val="006931BB"/>
    <w:rsid w:val="006948B3"/>
    <w:rsid w:val="00694C93"/>
    <w:rsid w:val="0069501F"/>
    <w:rsid w:val="006955A0"/>
    <w:rsid w:val="006968E3"/>
    <w:rsid w:val="00696E55"/>
    <w:rsid w:val="00697519"/>
    <w:rsid w:val="006A25FE"/>
    <w:rsid w:val="006A3A6E"/>
    <w:rsid w:val="006A4557"/>
    <w:rsid w:val="006A4DC0"/>
    <w:rsid w:val="006B1AFC"/>
    <w:rsid w:val="006B35A1"/>
    <w:rsid w:val="006B4853"/>
    <w:rsid w:val="006B4C87"/>
    <w:rsid w:val="006B6218"/>
    <w:rsid w:val="006C32E8"/>
    <w:rsid w:val="006C66A6"/>
    <w:rsid w:val="006D30B7"/>
    <w:rsid w:val="006D4F10"/>
    <w:rsid w:val="006D5080"/>
    <w:rsid w:val="006D5699"/>
    <w:rsid w:val="006D78FD"/>
    <w:rsid w:val="006E5AC4"/>
    <w:rsid w:val="006E5B70"/>
    <w:rsid w:val="006E7774"/>
    <w:rsid w:val="006E786E"/>
    <w:rsid w:val="006F1B27"/>
    <w:rsid w:val="006F6B4C"/>
    <w:rsid w:val="00700646"/>
    <w:rsid w:val="00700BF1"/>
    <w:rsid w:val="007012DF"/>
    <w:rsid w:val="00706908"/>
    <w:rsid w:val="0071440E"/>
    <w:rsid w:val="0071469C"/>
    <w:rsid w:val="00715677"/>
    <w:rsid w:val="00726F73"/>
    <w:rsid w:val="0073035C"/>
    <w:rsid w:val="0073158C"/>
    <w:rsid w:val="007317D7"/>
    <w:rsid w:val="0073229A"/>
    <w:rsid w:val="007334FF"/>
    <w:rsid w:val="00733E6C"/>
    <w:rsid w:val="007366CD"/>
    <w:rsid w:val="007374A8"/>
    <w:rsid w:val="00740461"/>
    <w:rsid w:val="007413DF"/>
    <w:rsid w:val="0074162B"/>
    <w:rsid w:val="00741992"/>
    <w:rsid w:val="00741E55"/>
    <w:rsid w:val="00744AA7"/>
    <w:rsid w:val="00746868"/>
    <w:rsid w:val="00750D1B"/>
    <w:rsid w:val="007520C4"/>
    <w:rsid w:val="00752E0C"/>
    <w:rsid w:val="00753D3B"/>
    <w:rsid w:val="00753ECA"/>
    <w:rsid w:val="007547F5"/>
    <w:rsid w:val="00760099"/>
    <w:rsid w:val="00764EAB"/>
    <w:rsid w:val="00766822"/>
    <w:rsid w:val="00767C6C"/>
    <w:rsid w:val="00772A54"/>
    <w:rsid w:val="00775061"/>
    <w:rsid w:val="0077748E"/>
    <w:rsid w:val="00782B24"/>
    <w:rsid w:val="00782F87"/>
    <w:rsid w:val="00785918"/>
    <w:rsid w:val="00792C27"/>
    <w:rsid w:val="00793193"/>
    <w:rsid w:val="00793EC8"/>
    <w:rsid w:val="007968FE"/>
    <w:rsid w:val="007972D5"/>
    <w:rsid w:val="007A006C"/>
    <w:rsid w:val="007A019C"/>
    <w:rsid w:val="007A02EE"/>
    <w:rsid w:val="007A16FB"/>
    <w:rsid w:val="007A261A"/>
    <w:rsid w:val="007A526F"/>
    <w:rsid w:val="007A5657"/>
    <w:rsid w:val="007A5FC5"/>
    <w:rsid w:val="007A7ED1"/>
    <w:rsid w:val="007B211D"/>
    <w:rsid w:val="007B23BC"/>
    <w:rsid w:val="007B37C8"/>
    <w:rsid w:val="007B509C"/>
    <w:rsid w:val="007B65B8"/>
    <w:rsid w:val="007C0899"/>
    <w:rsid w:val="007C1092"/>
    <w:rsid w:val="007C1E53"/>
    <w:rsid w:val="007C23F2"/>
    <w:rsid w:val="007C24A9"/>
    <w:rsid w:val="007C41AA"/>
    <w:rsid w:val="007C4DAC"/>
    <w:rsid w:val="007C7776"/>
    <w:rsid w:val="007D3A61"/>
    <w:rsid w:val="007D5225"/>
    <w:rsid w:val="007D58CB"/>
    <w:rsid w:val="007D6D7F"/>
    <w:rsid w:val="007E04F5"/>
    <w:rsid w:val="007E1BDA"/>
    <w:rsid w:val="007E2A3D"/>
    <w:rsid w:val="007E2EB8"/>
    <w:rsid w:val="007E6240"/>
    <w:rsid w:val="007E64C8"/>
    <w:rsid w:val="007E7AAD"/>
    <w:rsid w:val="007E7DD5"/>
    <w:rsid w:val="007F07C4"/>
    <w:rsid w:val="007F180E"/>
    <w:rsid w:val="007F1AB7"/>
    <w:rsid w:val="007F1EE1"/>
    <w:rsid w:val="007F37EE"/>
    <w:rsid w:val="007F39FA"/>
    <w:rsid w:val="007F4039"/>
    <w:rsid w:val="007F58BA"/>
    <w:rsid w:val="007F6BDB"/>
    <w:rsid w:val="007F748D"/>
    <w:rsid w:val="00801702"/>
    <w:rsid w:val="00801F8F"/>
    <w:rsid w:val="00803E96"/>
    <w:rsid w:val="00807062"/>
    <w:rsid w:val="008071AB"/>
    <w:rsid w:val="00810C3B"/>
    <w:rsid w:val="008118D0"/>
    <w:rsid w:val="00811E7F"/>
    <w:rsid w:val="008124B6"/>
    <w:rsid w:val="00812580"/>
    <w:rsid w:val="00821025"/>
    <w:rsid w:val="00823811"/>
    <w:rsid w:val="0082692C"/>
    <w:rsid w:val="00827815"/>
    <w:rsid w:val="00827C53"/>
    <w:rsid w:val="008325FC"/>
    <w:rsid w:val="008335CF"/>
    <w:rsid w:val="00834303"/>
    <w:rsid w:val="008364D5"/>
    <w:rsid w:val="0083693A"/>
    <w:rsid w:val="00840E7A"/>
    <w:rsid w:val="008436DF"/>
    <w:rsid w:val="0084376B"/>
    <w:rsid w:val="008452F6"/>
    <w:rsid w:val="00846AB0"/>
    <w:rsid w:val="008475CB"/>
    <w:rsid w:val="00852A79"/>
    <w:rsid w:val="008562E7"/>
    <w:rsid w:val="008563EE"/>
    <w:rsid w:val="00857C5C"/>
    <w:rsid w:val="008620C1"/>
    <w:rsid w:val="00862D18"/>
    <w:rsid w:val="00863E6B"/>
    <w:rsid w:val="00874D3A"/>
    <w:rsid w:val="00875B2C"/>
    <w:rsid w:val="008766CE"/>
    <w:rsid w:val="00876D01"/>
    <w:rsid w:val="00876FBF"/>
    <w:rsid w:val="00880B31"/>
    <w:rsid w:val="0088165C"/>
    <w:rsid w:val="00881924"/>
    <w:rsid w:val="00883471"/>
    <w:rsid w:val="00883DBD"/>
    <w:rsid w:val="008847C1"/>
    <w:rsid w:val="00884818"/>
    <w:rsid w:val="00885AAB"/>
    <w:rsid w:val="00886D42"/>
    <w:rsid w:val="008935B5"/>
    <w:rsid w:val="008941D0"/>
    <w:rsid w:val="0089467E"/>
    <w:rsid w:val="00897169"/>
    <w:rsid w:val="008A06F8"/>
    <w:rsid w:val="008A150E"/>
    <w:rsid w:val="008A2489"/>
    <w:rsid w:val="008A440E"/>
    <w:rsid w:val="008A44D0"/>
    <w:rsid w:val="008A6042"/>
    <w:rsid w:val="008A7CA1"/>
    <w:rsid w:val="008B0D01"/>
    <w:rsid w:val="008B38A1"/>
    <w:rsid w:val="008B79D0"/>
    <w:rsid w:val="008B7A3D"/>
    <w:rsid w:val="008C31DE"/>
    <w:rsid w:val="008C3BE0"/>
    <w:rsid w:val="008C3D83"/>
    <w:rsid w:val="008C6B1D"/>
    <w:rsid w:val="008C71C0"/>
    <w:rsid w:val="008C7BCB"/>
    <w:rsid w:val="008D1B1A"/>
    <w:rsid w:val="008D1EAB"/>
    <w:rsid w:val="008D2803"/>
    <w:rsid w:val="008D2EAE"/>
    <w:rsid w:val="008D347F"/>
    <w:rsid w:val="008D5755"/>
    <w:rsid w:val="008D5EA9"/>
    <w:rsid w:val="008D6C60"/>
    <w:rsid w:val="008D6FD9"/>
    <w:rsid w:val="008E06BF"/>
    <w:rsid w:val="008E0DEB"/>
    <w:rsid w:val="008E0E71"/>
    <w:rsid w:val="008E3973"/>
    <w:rsid w:val="008E6603"/>
    <w:rsid w:val="008E69E6"/>
    <w:rsid w:val="008F350A"/>
    <w:rsid w:val="00900F9F"/>
    <w:rsid w:val="009019BC"/>
    <w:rsid w:val="009033BD"/>
    <w:rsid w:val="00904039"/>
    <w:rsid w:val="0090795E"/>
    <w:rsid w:val="00910401"/>
    <w:rsid w:val="00911A34"/>
    <w:rsid w:val="00912327"/>
    <w:rsid w:val="00912683"/>
    <w:rsid w:val="00912B69"/>
    <w:rsid w:val="00912DD1"/>
    <w:rsid w:val="00920E49"/>
    <w:rsid w:val="0092332B"/>
    <w:rsid w:val="00926553"/>
    <w:rsid w:val="00932479"/>
    <w:rsid w:val="00932E1F"/>
    <w:rsid w:val="009337EB"/>
    <w:rsid w:val="00933FE2"/>
    <w:rsid w:val="0093403C"/>
    <w:rsid w:val="00935387"/>
    <w:rsid w:val="009434B7"/>
    <w:rsid w:val="00944A06"/>
    <w:rsid w:val="0094720E"/>
    <w:rsid w:val="009506BB"/>
    <w:rsid w:val="00953CAC"/>
    <w:rsid w:val="00955571"/>
    <w:rsid w:val="0096063F"/>
    <w:rsid w:val="009620CC"/>
    <w:rsid w:val="009628AD"/>
    <w:rsid w:val="00962DA1"/>
    <w:rsid w:val="0096541E"/>
    <w:rsid w:val="00965F42"/>
    <w:rsid w:val="00967BC8"/>
    <w:rsid w:val="00970792"/>
    <w:rsid w:val="009746FC"/>
    <w:rsid w:val="00975227"/>
    <w:rsid w:val="00980033"/>
    <w:rsid w:val="0098122F"/>
    <w:rsid w:val="00990684"/>
    <w:rsid w:val="0099081D"/>
    <w:rsid w:val="00992F4F"/>
    <w:rsid w:val="00993223"/>
    <w:rsid w:val="009940F3"/>
    <w:rsid w:val="00994774"/>
    <w:rsid w:val="009953A8"/>
    <w:rsid w:val="00996A8E"/>
    <w:rsid w:val="009A03C6"/>
    <w:rsid w:val="009A19C2"/>
    <w:rsid w:val="009A37D5"/>
    <w:rsid w:val="009A683D"/>
    <w:rsid w:val="009B1A0A"/>
    <w:rsid w:val="009B1F92"/>
    <w:rsid w:val="009B44C9"/>
    <w:rsid w:val="009B5929"/>
    <w:rsid w:val="009C1A6D"/>
    <w:rsid w:val="009C55EA"/>
    <w:rsid w:val="009C565D"/>
    <w:rsid w:val="009D0070"/>
    <w:rsid w:val="009D1A61"/>
    <w:rsid w:val="009D1E59"/>
    <w:rsid w:val="009D3FEB"/>
    <w:rsid w:val="009D538A"/>
    <w:rsid w:val="009D6C05"/>
    <w:rsid w:val="009D7B95"/>
    <w:rsid w:val="009E0BD1"/>
    <w:rsid w:val="009E2BDB"/>
    <w:rsid w:val="009E417E"/>
    <w:rsid w:val="009E52EF"/>
    <w:rsid w:val="009E5947"/>
    <w:rsid w:val="009E761C"/>
    <w:rsid w:val="009F26C0"/>
    <w:rsid w:val="009F308A"/>
    <w:rsid w:val="009F57D1"/>
    <w:rsid w:val="009F5E71"/>
    <w:rsid w:val="009F6E97"/>
    <w:rsid w:val="00A012C7"/>
    <w:rsid w:val="00A03959"/>
    <w:rsid w:val="00A03AD7"/>
    <w:rsid w:val="00A07F91"/>
    <w:rsid w:val="00A107D7"/>
    <w:rsid w:val="00A10D57"/>
    <w:rsid w:val="00A13E2A"/>
    <w:rsid w:val="00A14049"/>
    <w:rsid w:val="00A1520E"/>
    <w:rsid w:val="00A16B81"/>
    <w:rsid w:val="00A16E58"/>
    <w:rsid w:val="00A2352C"/>
    <w:rsid w:val="00A2445D"/>
    <w:rsid w:val="00A30B87"/>
    <w:rsid w:val="00A32194"/>
    <w:rsid w:val="00A32BCC"/>
    <w:rsid w:val="00A36EBA"/>
    <w:rsid w:val="00A3703E"/>
    <w:rsid w:val="00A3713E"/>
    <w:rsid w:val="00A3786E"/>
    <w:rsid w:val="00A42F8A"/>
    <w:rsid w:val="00A4312D"/>
    <w:rsid w:val="00A509D3"/>
    <w:rsid w:val="00A51734"/>
    <w:rsid w:val="00A51AD4"/>
    <w:rsid w:val="00A56B9D"/>
    <w:rsid w:val="00A57789"/>
    <w:rsid w:val="00A639B8"/>
    <w:rsid w:val="00A6633B"/>
    <w:rsid w:val="00A6651F"/>
    <w:rsid w:val="00A66710"/>
    <w:rsid w:val="00A67B1E"/>
    <w:rsid w:val="00A72005"/>
    <w:rsid w:val="00A73005"/>
    <w:rsid w:val="00A74C09"/>
    <w:rsid w:val="00A75B0D"/>
    <w:rsid w:val="00A76292"/>
    <w:rsid w:val="00A76DC6"/>
    <w:rsid w:val="00A803C5"/>
    <w:rsid w:val="00A80DB1"/>
    <w:rsid w:val="00A80EB7"/>
    <w:rsid w:val="00A842C0"/>
    <w:rsid w:val="00A93914"/>
    <w:rsid w:val="00A96FA1"/>
    <w:rsid w:val="00AA45F8"/>
    <w:rsid w:val="00AB025E"/>
    <w:rsid w:val="00AB048F"/>
    <w:rsid w:val="00AB4ACE"/>
    <w:rsid w:val="00AB6104"/>
    <w:rsid w:val="00AB79D2"/>
    <w:rsid w:val="00AB7BD4"/>
    <w:rsid w:val="00AC0E09"/>
    <w:rsid w:val="00AC112E"/>
    <w:rsid w:val="00AC1CA0"/>
    <w:rsid w:val="00AC5812"/>
    <w:rsid w:val="00AC5CFD"/>
    <w:rsid w:val="00AC6D47"/>
    <w:rsid w:val="00AD4396"/>
    <w:rsid w:val="00AD5001"/>
    <w:rsid w:val="00AD52F8"/>
    <w:rsid w:val="00AD7F22"/>
    <w:rsid w:val="00AE0F04"/>
    <w:rsid w:val="00AE397A"/>
    <w:rsid w:val="00AE4701"/>
    <w:rsid w:val="00AE66E0"/>
    <w:rsid w:val="00AF5F4E"/>
    <w:rsid w:val="00B0026D"/>
    <w:rsid w:val="00B01AE9"/>
    <w:rsid w:val="00B036EA"/>
    <w:rsid w:val="00B039CA"/>
    <w:rsid w:val="00B06E29"/>
    <w:rsid w:val="00B12805"/>
    <w:rsid w:val="00B13121"/>
    <w:rsid w:val="00B13805"/>
    <w:rsid w:val="00B138F6"/>
    <w:rsid w:val="00B142F1"/>
    <w:rsid w:val="00B14B20"/>
    <w:rsid w:val="00B14FBE"/>
    <w:rsid w:val="00B165A7"/>
    <w:rsid w:val="00B1742F"/>
    <w:rsid w:val="00B23663"/>
    <w:rsid w:val="00B25450"/>
    <w:rsid w:val="00B314A2"/>
    <w:rsid w:val="00B32B6F"/>
    <w:rsid w:val="00B33E41"/>
    <w:rsid w:val="00B35AD1"/>
    <w:rsid w:val="00B40E55"/>
    <w:rsid w:val="00B437D8"/>
    <w:rsid w:val="00B470DA"/>
    <w:rsid w:val="00B51AC8"/>
    <w:rsid w:val="00B520CF"/>
    <w:rsid w:val="00B52269"/>
    <w:rsid w:val="00B54217"/>
    <w:rsid w:val="00B547A9"/>
    <w:rsid w:val="00B573B1"/>
    <w:rsid w:val="00B614A3"/>
    <w:rsid w:val="00B64711"/>
    <w:rsid w:val="00B65755"/>
    <w:rsid w:val="00B658CD"/>
    <w:rsid w:val="00B66945"/>
    <w:rsid w:val="00B712B3"/>
    <w:rsid w:val="00B71F5A"/>
    <w:rsid w:val="00B74969"/>
    <w:rsid w:val="00B74A19"/>
    <w:rsid w:val="00B75868"/>
    <w:rsid w:val="00B77E61"/>
    <w:rsid w:val="00B80711"/>
    <w:rsid w:val="00B80DD2"/>
    <w:rsid w:val="00B84C3C"/>
    <w:rsid w:val="00B868B3"/>
    <w:rsid w:val="00B95309"/>
    <w:rsid w:val="00B97B9C"/>
    <w:rsid w:val="00BA0245"/>
    <w:rsid w:val="00BA2CB8"/>
    <w:rsid w:val="00BA2EE9"/>
    <w:rsid w:val="00BA4CD9"/>
    <w:rsid w:val="00BA5EAE"/>
    <w:rsid w:val="00BB0870"/>
    <w:rsid w:val="00BB1EA5"/>
    <w:rsid w:val="00BB4AFE"/>
    <w:rsid w:val="00BB7BE8"/>
    <w:rsid w:val="00BC02FA"/>
    <w:rsid w:val="00BC0A72"/>
    <w:rsid w:val="00BC0CD6"/>
    <w:rsid w:val="00BC2466"/>
    <w:rsid w:val="00BC579A"/>
    <w:rsid w:val="00BC661C"/>
    <w:rsid w:val="00BD0024"/>
    <w:rsid w:val="00BD0533"/>
    <w:rsid w:val="00BD22FE"/>
    <w:rsid w:val="00BD34D3"/>
    <w:rsid w:val="00BD69CF"/>
    <w:rsid w:val="00BE09DE"/>
    <w:rsid w:val="00BE0B32"/>
    <w:rsid w:val="00BE0BA2"/>
    <w:rsid w:val="00BE1755"/>
    <w:rsid w:val="00BE1D2C"/>
    <w:rsid w:val="00BE3BB8"/>
    <w:rsid w:val="00BF02CA"/>
    <w:rsid w:val="00BF1AD6"/>
    <w:rsid w:val="00BF1C64"/>
    <w:rsid w:val="00BF6DBE"/>
    <w:rsid w:val="00C03FBA"/>
    <w:rsid w:val="00C07867"/>
    <w:rsid w:val="00C103A5"/>
    <w:rsid w:val="00C10BA8"/>
    <w:rsid w:val="00C122AF"/>
    <w:rsid w:val="00C1246C"/>
    <w:rsid w:val="00C12668"/>
    <w:rsid w:val="00C13A95"/>
    <w:rsid w:val="00C13CB9"/>
    <w:rsid w:val="00C14FE6"/>
    <w:rsid w:val="00C15814"/>
    <w:rsid w:val="00C15AB0"/>
    <w:rsid w:val="00C173AC"/>
    <w:rsid w:val="00C17C49"/>
    <w:rsid w:val="00C20104"/>
    <w:rsid w:val="00C20D01"/>
    <w:rsid w:val="00C2301E"/>
    <w:rsid w:val="00C23328"/>
    <w:rsid w:val="00C25D6B"/>
    <w:rsid w:val="00C26A0D"/>
    <w:rsid w:val="00C3751A"/>
    <w:rsid w:val="00C412FF"/>
    <w:rsid w:val="00C41C42"/>
    <w:rsid w:val="00C41F25"/>
    <w:rsid w:val="00C41F5D"/>
    <w:rsid w:val="00C43336"/>
    <w:rsid w:val="00C44560"/>
    <w:rsid w:val="00C44F82"/>
    <w:rsid w:val="00C45CF0"/>
    <w:rsid w:val="00C47BD5"/>
    <w:rsid w:val="00C51A83"/>
    <w:rsid w:val="00C52ADC"/>
    <w:rsid w:val="00C55187"/>
    <w:rsid w:val="00C6259B"/>
    <w:rsid w:val="00C62E58"/>
    <w:rsid w:val="00C638FE"/>
    <w:rsid w:val="00C64186"/>
    <w:rsid w:val="00C65271"/>
    <w:rsid w:val="00C71AEC"/>
    <w:rsid w:val="00C74864"/>
    <w:rsid w:val="00C77C1E"/>
    <w:rsid w:val="00C81AC2"/>
    <w:rsid w:val="00C84AD9"/>
    <w:rsid w:val="00C8500E"/>
    <w:rsid w:val="00C92318"/>
    <w:rsid w:val="00C92D1B"/>
    <w:rsid w:val="00C9496D"/>
    <w:rsid w:val="00CA0315"/>
    <w:rsid w:val="00CA0627"/>
    <w:rsid w:val="00CA0E01"/>
    <w:rsid w:val="00CA2E3E"/>
    <w:rsid w:val="00CA3282"/>
    <w:rsid w:val="00CA33D3"/>
    <w:rsid w:val="00CA71CC"/>
    <w:rsid w:val="00CB2252"/>
    <w:rsid w:val="00CB2A99"/>
    <w:rsid w:val="00CB3B62"/>
    <w:rsid w:val="00CB4B87"/>
    <w:rsid w:val="00CB7C85"/>
    <w:rsid w:val="00CC6C44"/>
    <w:rsid w:val="00CD0AA8"/>
    <w:rsid w:val="00CD2217"/>
    <w:rsid w:val="00CD2D5F"/>
    <w:rsid w:val="00CD3108"/>
    <w:rsid w:val="00CD3404"/>
    <w:rsid w:val="00CD4E49"/>
    <w:rsid w:val="00CD50DC"/>
    <w:rsid w:val="00CD6402"/>
    <w:rsid w:val="00CE21D3"/>
    <w:rsid w:val="00CE394E"/>
    <w:rsid w:val="00CE420F"/>
    <w:rsid w:val="00CE4D84"/>
    <w:rsid w:val="00CE60C5"/>
    <w:rsid w:val="00CF0272"/>
    <w:rsid w:val="00CF1E94"/>
    <w:rsid w:val="00CF2858"/>
    <w:rsid w:val="00CF423E"/>
    <w:rsid w:val="00D00A75"/>
    <w:rsid w:val="00D00FF2"/>
    <w:rsid w:val="00D03821"/>
    <w:rsid w:val="00D10094"/>
    <w:rsid w:val="00D10395"/>
    <w:rsid w:val="00D121C3"/>
    <w:rsid w:val="00D12634"/>
    <w:rsid w:val="00D1334E"/>
    <w:rsid w:val="00D1720D"/>
    <w:rsid w:val="00D17B1A"/>
    <w:rsid w:val="00D209D5"/>
    <w:rsid w:val="00D20D87"/>
    <w:rsid w:val="00D2282F"/>
    <w:rsid w:val="00D24556"/>
    <w:rsid w:val="00D26A00"/>
    <w:rsid w:val="00D2747B"/>
    <w:rsid w:val="00D2758B"/>
    <w:rsid w:val="00D27AF4"/>
    <w:rsid w:val="00D30BFF"/>
    <w:rsid w:val="00D35365"/>
    <w:rsid w:val="00D3729B"/>
    <w:rsid w:val="00D37662"/>
    <w:rsid w:val="00D40B37"/>
    <w:rsid w:val="00D44761"/>
    <w:rsid w:val="00D44E97"/>
    <w:rsid w:val="00D45A25"/>
    <w:rsid w:val="00D46731"/>
    <w:rsid w:val="00D50B49"/>
    <w:rsid w:val="00D50E9F"/>
    <w:rsid w:val="00D528C9"/>
    <w:rsid w:val="00D52FF3"/>
    <w:rsid w:val="00D53A5F"/>
    <w:rsid w:val="00D54C6D"/>
    <w:rsid w:val="00D5565C"/>
    <w:rsid w:val="00D55DB2"/>
    <w:rsid w:val="00D566EB"/>
    <w:rsid w:val="00D57213"/>
    <w:rsid w:val="00D61A58"/>
    <w:rsid w:val="00D61B8D"/>
    <w:rsid w:val="00D62C9C"/>
    <w:rsid w:val="00D63DD7"/>
    <w:rsid w:val="00D66968"/>
    <w:rsid w:val="00D67748"/>
    <w:rsid w:val="00D71E40"/>
    <w:rsid w:val="00D72639"/>
    <w:rsid w:val="00D76D6A"/>
    <w:rsid w:val="00D7738C"/>
    <w:rsid w:val="00D816A3"/>
    <w:rsid w:val="00D8189F"/>
    <w:rsid w:val="00D81AAB"/>
    <w:rsid w:val="00D8403B"/>
    <w:rsid w:val="00D86BCD"/>
    <w:rsid w:val="00D871E0"/>
    <w:rsid w:val="00D877EA"/>
    <w:rsid w:val="00D931BC"/>
    <w:rsid w:val="00D9405A"/>
    <w:rsid w:val="00D94728"/>
    <w:rsid w:val="00D96D80"/>
    <w:rsid w:val="00DA0241"/>
    <w:rsid w:val="00DA2645"/>
    <w:rsid w:val="00DA537A"/>
    <w:rsid w:val="00DA5A0B"/>
    <w:rsid w:val="00DB049C"/>
    <w:rsid w:val="00DB16C0"/>
    <w:rsid w:val="00DB2F86"/>
    <w:rsid w:val="00DB500B"/>
    <w:rsid w:val="00DB7D85"/>
    <w:rsid w:val="00DC0304"/>
    <w:rsid w:val="00DC227D"/>
    <w:rsid w:val="00DC22D6"/>
    <w:rsid w:val="00DC24DD"/>
    <w:rsid w:val="00DC2719"/>
    <w:rsid w:val="00DC3BE3"/>
    <w:rsid w:val="00DD342E"/>
    <w:rsid w:val="00DD60E7"/>
    <w:rsid w:val="00DD6767"/>
    <w:rsid w:val="00DE1C04"/>
    <w:rsid w:val="00DE1E42"/>
    <w:rsid w:val="00DE3999"/>
    <w:rsid w:val="00DE416A"/>
    <w:rsid w:val="00DE76BB"/>
    <w:rsid w:val="00DE76F0"/>
    <w:rsid w:val="00DF0241"/>
    <w:rsid w:val="00DF071B"/>
    <w:rsid w:val="00DF177E"/>
    <w:rsid w:val="00DF1A7E"/>
    <w:rsid w:val="00DF27D7"/>
    <w:rsid w:val="00DF649F"/>
    <w:rsid w:val="00E00C8A"/>
    <w:rsid w:val="00E01FCC"/>
    <w:rsid w:val="00E040C6"/>
    <w:rsid w:val="00E07A62"/>
    <w:rsid w:val="00E11A71"/>
    <w:rsid w:val="00E157A5"/>
    <w:rsid w:val="00E23117"/>
    <w:rsid w:val="00E2494E"/>
    <w:rsid w:val="00E25D0B"/>
    <w:rsid w:val="00E27AC3"/>
    <w:rsid w:val="00E27B9E"/>
    <w:rsid w:val="00E33504"/>
    <w:rsid w:val="00E33DED"/>
    <w:rsid w:val="00E34982"/>
    <w:rsid w:val="00E3623C"/>
    <w:rsid w:val="00E3660F"/>
    <w:rsid w:val="00E37BF1"/>
    <w:rsid w:val="00E40FB7"/>
    <w:rsid w:val="00E43E76"/>
    <w:rsid w:val="00E44349"/>
    <w:rsid w:val="00E540DA"/>
    <w:rsid w:val="00E544D1"/>
    <w:rsid w:val="00E56263"/>
    <w:rsid w:val="00E602B9"/>
    <w:rsid w:val="00E6081B"/>
    <w:rsid w:val="00E6112B"/>
    <w:rsid w:val="00E65843"/>
    <w:rsid w:val="00E70B37"/>
    <w:rsid w:val="00E72D41"/>
    <w:rsid w:val="00E73A68"/>
    <w:rsid w:val="00E742A1"/>
    <w:rsid w:val="00E746AA"/>
    <w:rsid w:val="00E74B07"/>
    <w:rsid w:val="00E802A7"/>
    <w:rsid w:val="00E815F9"/>
    <w:rsid w:val="00E819C7"/>
    <w:rsid w:val="00E82872"/>
    <w:rsid w:val="00E859FE"/>
    <w:rsid w:val="00E91B13"/>
    <w:rsid w:val="00E924AC"/>
    <w:rsid w:val="00E93CA1"/>
    <w:rsid w:val="00E9437E"/>
    <w:rsid w:val="00E95B04"/>
    <w:rsid w:val="00E95F51"/>
    <w:rsid w:val="00E9678C"/>
    <w:rsid w:val="00E97655"/>
    <w:rsid w:val="00E97FAE"/>
    <w:rsid w:val="00EA1D8F"/>
    <w:rsid w:val="00EB1FFC"/>
    <w:rsid w:val="00EB209D"/>
    <w:rsid w:val="00EB277B"/>
    <w:rsid w:val="00EB323D"/>
    <w:rsid w:val="00EB3DDE"/>
    <w:rsid w:val="00EB3FBA"/>
    <w:rsid w:val="00EB5B27"/>
    <w:rsid w:val="00EC37CF"/>
    <w:rsid w:val="00EC5782"/>
    <w:rsid w:val="00EC5D45"/>
    <w:rsid w:val="00EC5DAC"/>
    <w:rsid w:val="00ED1DE9"/>
    <w:rsid w:val="00ED1FD5"/>
    <w:rsid w:val="00ED4AE2"/>
    <w:rsid w:val="00ED4D4B"/>
    <w:rsid w:val="00ED5E53"/>
    <w:rsid w:val="00ED6853"/>
    <w:rsid w:val="00ED735E"/>
    <w:rsid w:val="00EE5012"/>
    <w:rsid w:val="00EE52CC"/>
    <w:rsid w:val="00EE6E3F"/>
    <w:rsid w:val="00EF11FD"/>
    <w:rsid w:val="00EF5372"/>
    <w:rsid w:val="00EF5936"/>
    <w:rsid w:val="00EF5E0B"/>
    <w:rsid w:val="00EF6D90"/>
    <w:rsid w:val="00F017F7"/>
    <w:rsid w:val="00F03033"/>
    <w:rsid w:val="00F03720"/>
    <w:rsid w:val="00F05C50"/>
    <w:rsid w:val="00F07A41"/>
    <w:rsid w:val="00F138D1"/>
    <w:rsid w:val="00F148EB"/>
    <w:rsid w:val="00F14FDC"/>
    <w:rsid w:val="00F1500A"/>
    <w:rsid w:val="00F15770"/>
    <w:rsid w:val="00F15923"/>
    <w:rsid w:val="00F1720B"/>
    <w:rsid w:val="00F177F3"/>
    <w:rsid w:val="00F21414"/>
    <w:rsid w:val="00F21502"/>
    <w:rsid w:val="00F22E6E"/>
    <w:rsid w:val="00F24F84"/>
    <w:rsid w:val="00F253F6"/>
    <w:rsid w:val="00F26E05"/>
    <w:rsid w:val="00F2730B"/>
    <w:rsid w:val="00F27576"/>
    <w:rsid w:val="00F32C3C"/>
    <w:rsid w:val="00F32F35"/>
    <w:rsid w:val="00F33A7A"/>
    <w:rsid w:val="00F33DF2"/>
    <w:rsid w:val="00F3506F"/>
    <w:rsid w:val="00F35C0A"/>
    <w:rsid w:val="00F419FE"/>
    <w:rsid w:val="00F41B13"/>
    <w:rsid w:val="00F46B85"/>
    <w:rsid w:val="00F47930"/>
    <w:rsid w:val="00F50E2C"/>
    <w:rsid w:val="00F5165D"/>
    <w:rsid w:val="00F526A1"/>
    <w:rsid w:val="00F52BB0"/>
    <w:rsid w:val="00F55E1C"/>
    <w:rsid w:val="00F56A1C"/>
    <w:rsid w:val="00F56F97"/>
    <w:rsid w:val="00F60B10"/>
    <w:rsid w:val="00F60FA6"/>
    <w:rsid w:val="00F61EB9"/>
    <w:rsid w:val="00F65380"/>
    <w:rsid w:val="00F66D1B"/>
    <w:rsid w:val="00F763EC"/>
    <w:rsid w:val="00F767CD"/>
    <w:rsid w:val="00F80708"/>
    <w:rsid w:val="00F81B23"/>
    <w:rsid w:val="00F8500A"/>
    <w:rsid w:val="00F864C4"/>
    <w:rsid w:val="00F86A04"/>
    <w:rsid w:val="00F87B42"/>
    <w:rsid w:val="00F87BF8"/>
    <w:rsid w:val="00F93983"/>
    <w:rsid w:val="00F93CBE"/>
    <w:rsid w:val="00F958EF"/>
    <w:rsid w:val="00F96DD0"/>
    <w:rsid w:val="00F97E91"/>
    <w:rsid w:val="00F97ED2"/>
    <w:rsid w:val="00FA1214"/>
    <w:rsid w:val="00FA1F9A"/>
    <w:rsid w:val="00FA4755"/>
    <w:rsid w:val="00FA5FA6"/>
    <w:rsid w:val="00FA5FBC"/>
    <w:rsid w:val="00FA7197"/>
    <w:rsid w:val="00FB0893"/>
    <w:rsid w:val="00FB2E83"/>
    <w:rsid w:val="00FB5D6E"/>
    <w:rsid w:val="00FB7831"/>
    <w:rsid w:val="00FC1016"/>
    <w:rsid w:val="00FC10F2"/>
    <w:rsid w:val="00FC3582"/>
    <w:rsid w:val="00FC3F9B"/>
    <w:rsid w:val="00FC4659"/>
    <w:rsid w:val="00FC4832"/>
    <w:rsid w:val="00FC5C36"/>
    <w:rsid w:val="00FD03DA"/>
    <w:rsid w:val="00FD089D"/>
    <w:rsid w:val="00FD0B1B"/>
    <w:rsid w:val="00FD26F6"/>
    <w:rsid w:val="00FD57D0"/>
    <w:rsid w:val="00FE0619"/>
    <w:rsid w:val="00FE0DA8"/>
    <w:rsid w:val="00FE2088"/>
    <w:rsid w:val="00FE27F9"/>
    <w:rsid w:val="00FE28C9"/>
    <w:rsid w:val="00FE53F9"/>
    <w:rsid w:val="00FE5CE0"/>
    <w:rsid w:val="00FF45EB"/>
    <w:rsid w:val="00FF71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14FD48"/>
  <w14:defaultImageDpi w14:val="0"/>
  <w15:docId w15:val="{82756905-98EF-CB4E-8F45-BC2266332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46C"/>
    <w:pPr>
      <w:suppressAutoHyphens/>
      <w:spacing w:after="200"/>
    </w:pPr>
    <w:rPr>
      <w:sz w:val="24"/>
    </w:rPr>
  </w:style>
  <w:style w:type="paragraph" w:styleId="Heading1">
    <w:name w:val="heading 1"/>
    <w:basedOn w:val="Normal"/>
    <w:next w:val="Normal"/>
    <w:link w:val="Heading1Char"/>
    <w:uiPriority w:val="9"/>
    <w:qFormat/>
    <w:rsid w:val="00C64186"/>
    <w:pPr>
      <w:keepNext/>
      <w:keepLines/>
      <w:spacing w:after="360" w:line="700" w:lineRule="exact"/>
      <w:outlineLvl w:val="0"/>
    </w:pPr>
    <w:rPr>
      <w:rFonts w:asciiTheme="majorHAnsi" w:eastAsiaTheme="majorEastAsia" w:hAnsiTheme="majorHAnsi" w:cs="Times New Roman (Headings CS)"/>
      <w:b/>
      <w:bCs/>
      <w:sz w:val="48"/>
      <w:szCs w:val="36"/>
      <w:lang w:val="en-GB"/>
    </w:rPr>
  </w:style>
  <w:style w:type="paragraph" w:styleId="Heading2">
    <w:name w:val="heading 2"/>
    <w:basedOn w:val="Normal"/>
    <w:next w:val="Normal"/>
    <w:link w:val="Heading2Char"/>
    <w:uiPriority w:val="9"/>
    <w:unhideWhenUsed/>
    <w:qFormat/>
    <w:rsid w:val="00DC22D6"/>
    <w:pPr>
      <w:keepNext/>
      <w:keepLines/>
      <w:spacing w:before="120" w:after="240" w:line="460" w:lineRule="exact"/>
      <w:outlineLvl w:val="1"/>
    </w:pPr>
    <w:rPr>
      <w:rFonts w:asciiTheme="majorHAnsi" w:eastAsiaTheme="majorEastAsia" w:hAnsiTheme="majorHAnsi" w:cs="Times New Roman (Headings CS)"/>
      <w:b/>
      <w:bCs/>
      <w:color w:val="000000" w:themeColor="text1"/>
      <w:sz w:val="36"/>
      <w:szCs w:val="36"/>
      <w:lang w:val="en-GB"/>
    </w:rPr>
  </w:style>
  <w:style w:type="paragraph" w:styleId="Heading3">
    <w:name w:val="heading 3"/>
    <w:basedOn w:val="Normal"/>
    <w:next w:val="Normal"/>
    <w:link w:val="Heading3Char"/>
    <w:uiPriority w:val="9"/>
    <w:unhideWhenUsed/>
    <w:qFormat/>
    <w:rsid w:val="00C13CB9"/>
    <w:pPr>
      <w:keepNext/>
      <w:keepLines/>
      <w:spacing w:after="240" w:line="400" w:lineRule="exact"/>
      <w:outlineLvl w:val="2"/>
    </w:pPr>
    <w:rPr>
      <w:rFonts w:asciiTheme="majorHAnsi" w:eastAsiaTheme="majorEastAsia" w:hAnsiTheme="majorHAnsi" w:cstheme="majorBidi"/>
      <w:b/>
      <w:bCs/>
      <w:sz w:val="28"/>
      <w:szCs w:val="26"/>
      <w:lang w:val="en-GB"/>
    </w:rPr>
  </w:style>
  <w:style w:type="paragraph" w:styleId="Heading4">
    <w:name w:val="heading 4"/>
    <w:basedOn w:val="Normal"/>
    <w:next w:val="Normal"/>
    <w:link w:val="Heading4Char"/>
    <w:uiPriority w:val="9"/>
    <w:unhideWhenUsed/>
    <w:qFormat/>
    <w:rsid w:val="00E40FB7"/>
    <w:pPr>
      <w:keepNext/>
      <w:keepLines/>
      <w:spacing w:before="120" w:after="0" w:line="360" w:lineRule="auto"/>
      <w:outlineLvl w:val="3"/>
    </w:pPr>
    <w:rPr>
      <w:rFonts w:asciiTheme="majorHAnsi" w:eastAsiaTheme="majorEastAsia" w:hAnsiTheme="majorHAnsi" w:cstheme="majorBidi"/>
      <w:b/>
      <w:iCs/>
      <w:color w:val="000000" w:themeColor="text1"/>
    </w:rPr>
  </w:style>
  <w:style w:type="paragraph" w:styleId="Heading5">
    <w:name w:val="heading 5"/>
    <w:basedOn w:val="Normal"/>
    <w:next w:val="Normal"/>
    <w:link w:val="Heading5Char"/>
    <w:uiPriority w:val="9"/>
    <w:unhideWhenUsed/>
    <w:qFormat/>
    <w:rsid w:val="00BC02FA"/>
    <w:pPr>
      <w:keepNext/>
      <w:keepLines/>
      <w:spacing w:before="40" w:after="80" w:line="360" w:lineRule="auto"/>
      <w:outlineLvl w:val="4"/>
    </w:pPr>
    <w:rPr>
      <w:rFonts w:asciiTheme="majorHAnsi" w:eastAsiaTheme="majorEastAsia" w:hAnsiTheme="majorHAnsi" w:cstheme="majorBidi"/>
      <w:b/>
      <w:color w:val="000000" w:themeColor="text1"/>
      <w:sz w:val="28"/>
    </w:rPr>
  </w:style>
  <w:style w:type="paragraph" w:styleId="Heading6">
    <w:name w:val="heading 6"/>
    <w:basedOn w:val="Heading5"/>
    <w:next w:val="Normal"/>
    <w:link w:val="Heading6Char"/>
    <w:uiPriority w:val="9"/>
    <w:unhideWhenUsed/>
    <w:qFormat/>
    <w:rsid w:val="00BC02FA"/>
    <w:pPr>
      <w:spacing w:after="120"/>
      <w:outlineLvl w:val="5"/>
    </w:pPr>
    <w:rPr>
      <w:sz w:val="24"/>
    </w:rPr>
  </w:style>
  <w:style w:type="paragraph" w:styleId="Heading7">
    <w:name w:val="heading 7"/>
    <w:basedOn w:val="Normal"/>
    <w:next w:val="Normal"/>
    <w:link w:val="Heading7Char"/>
    <w:uiPriority w:val="9"/>
    <w:unhideWhenUsed/>
    <w:qFormat/>
    <w:rsid w:val="00B54217"/>
    <w:pPr>
      <w:keepNext/>
      <w:keepLines/>
      <w:spacing w:before="120" w:after="120" w:line="360" w:lineRule="auto"/>
      <w:outlineLvl w:val="6"/>
    </w:pPr>
    <w:rPr>
      <w:rFonts w:asciiTheme="majorHAnsi" w:eastAsiaTheme="majorEastAsia" w:hAnsiTheme="majorHAnsi" w:cstheme="majorBidi"/>
      <w:b/>
      <w:iCs/>
      <w:color w:val="000000" w:themeColor="text1"/>
    </w:rPr>
  </w:style>
  <w:style w:type="paragraph" w:styleId="Heading8">
    <w:name w:val="heading 8"/>
    <w:basedOn w:val="Normal"/>
    <w:next w:val="Normal"/>
    <w:link w:val="Heading8Char"/>
    <w:uiPriority w:val="9"/>
    <w:semiHidden/>
    <w:unhideWhenUsed/>
    <w:qFormat/>
    <w:rsid w:val="00BC02FA"/>
    <w:pPr>
      <w:keepNext/>
      <w:keepLines/>
      <w:spacing w:before="40" w:after="0"/>
      <w:outlineLvl w:val="7"/>
    </w:pPr>
    <w:rPr>
      <w:rFonts w:asciiTheme="majorHAnsi" w:eastAsiaTheme="majorEastAsia" w:hAnsiTheme="majorHAnsi" w:cstheme="majorBidi"/>
      <w:b/>
      <w:color w:val="272727" w:themeColor="text1" w:themeTint="D8"/>
      <w:sz w:val="22"/>
      <w:szCs w:val="21"/>
    </w:rPr>
  </w:style>
  <w:style w:type="paragraph" w:styleId="Heading9">
    <w:name w:val="heading 9"/>
    <w:basedOn w:val="Normal"/>
    <w:next w:val="Normal"/>
    <w:link w:val="Heading9Char"/>
    <w:uiPriority w:val="9"/>
    <w:semiHidden/>
    <w:unhideWhenUsed/>
    <w:qFormat/>
    <w:rsid w:val="00BC02FA"/>
    <w:pPr>
      <w:keepNext/>
      <w:keepLines/>
      <w:spacing w:before="40" w:after="0"/>
      <w:outlineLvl w:val="8"/>
    </w:pPr>
    <w:rPr>
      <w:rFonts w:asciiTheme="majorHAnsi" w:eastAsiaTheme="majorEastAsia" w:hAnsiTheme="majorHAnsi" w:cstheme="majorBidi"/>
      <w:b/>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25"/>
      </w:numPr>
    </w:pPr>
  </w:style>
  <w:style w:type="character" w:customStyle="1" w:styleId="Bold">
    <w:name w:val="Bold"/>
    <w:uiPriority w:val="99"/>
    <w:rPr>
      <w:b/>
      <w:bCs/>
    </w:rPr>
  </w:style>
  <w:style w:type="numbering" w:customStyle="1" w:styleId="CurrentList17">
    <w:name w:val="Current List17"/>
    <w:uiPriority w:val="99"/>
    <w:rsid w:val="00BC02FA"/>
    <w:pPr>
      <w:numPr>
        <w:numId w:val="26"/>
      </w:numPr>
    </w:pPr>
  </w:style>
  <w:style w:type="numbering" w:customStyle="1" w:styleId="CurrentList18">
    <w:name w:val="Current List18"/>
    <w:uiPriority w:val="99"/>
    <w:rsid w:val="00BC02FA"/>
    <w:pPr>
      <w:numPr>
        <w:numId w:val="27"/>
      </w:numPr>
    </w:pPr>
  </w:style>
  <w:style w:type="character" w:customStyle="1" w:styleId="Italic">
    <w:name w:val="Italic"/>
    <w:basedOn w:val="Bold"/>
    <w:uiPriority w:val="99"/>
    <w:rsid w:val="006368F9"/>
    <w:rPr>
      <w:rFonts w:ascii="VIC (OTF) Light Italic" w:hAnsi="VIC (OTF) Light Italic" w:cs="VIC (OTF) Light Italic"/>
      <w:b w:val="0"/>
      <w:bCs w:val="0"/>
      <w:i/>
      <w:iCs/>
    </w:rPr>
  </w:style>
  <w:style w:type="character" w:styleId="Hyperlink">
    <w:name w:val="Hyperlink"/>
    <w:basedOn w:val="DefaultParagraphFont"/>
    <w:uiPriority w:val="99"/>
    <w:rsid w:val="00B95309"/>
    <w:rPr>
      <w:color w:val="0000FF"/>
      <w:u w:val="single" w:color="0000FF"/>
    </w:rPr>
  </w:style>
  <w:style w:type="numbering" w:customStyle="1" w:styleId="CurrentList10">
    <w:name w:val="Current List10"/>
    <w:uiPriority w:val="99"/>
    <w:rsid w:val="00515813"/>
    <w:pPr>
      <w:numPr>
        <w:numId w:val="15"/>
      </w:numPr>
    </w:p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377A31"/>
    <w:pPr>
      <w:spacing w:after="600" w:line="1000" w:lineRule="exact"/>
    </w:pPr>
    <w:rPr>
      <w:rFonts w:asciiTheme="majorHAnsi" w:eastAsiaTheme="majorEastAsia" w:hAnsiTheme="majorHAnsi" w:cs="Times New Roman (Headings CS)"/>
      <w:b/>
      <w:bCs/>
      <w:spacing w:val="8"/>
      <w:kern w:val="28"/>
      <w:sz w:val="60"/>
      <w:szCs w:val="60"/>
      <w:lang w:val="en-US"/>
    </w:rPr>
  </w:style>
  <w:style w:type="character" w:customStyle="1" w:styleId="TitleChar">
    <w:name w:val="Title Char"/>
    <w:basedOn w:val="DefaultParagraphFont"/>
    <w:link w:val="Title"/>
    <w:uiPriority w:val="10"/>
    <w:rsid w:val="00377A31"/>
    <w:rPr>
      <w:rFonts w:asciiTheme="majorHAnsi" w:eastAsiaTheme="majorEastAsia" w:hAnsiTheme="majorHAnsi" w:cs="Times New Roman (Headings CS)"/>
      <w:b/>
      <w:bCs/>
      <w:spacing w:val="8"/>
      <w:kern w:val="28"/>
      <w:sz w:val="60"/>
      <w:szCs w:val="60"/>
      <w:lang w:val="en-US"/>
    </w:rPr>
  </w:style>
  <w:style w:type="paragraph" w:styleId="Subtitle">
    <w:name w:val="Subtitle"/>
    <w:basedOn w:val="Normal"/>
    <w:next w:val="Normal"/>
    <w:link w:val="SubtitleChar"/>
    <w:uiPriority w:val="11"/>
    <w:qFormat/>
    <w:rsid w:val="00377A31"/>
    <w:pPr>
      <w:numPr>
        <w:ilvl w:val="1"/>
      </w:numPr>
      <w:spacing w:before="240" w:after="480" w:line="360" w:lineRule="auto"/>
    </w:pPr>
    <w:rPr>
      <w:b/>
      <w:sz w:val="52"/>
      <w:szCs w:val="52"/>
      <w:lang w:val="en-US"/>
    </w:rPr>
  </w:style>
  <w:style w:type="character" w:customStyle="1" w:styleId="SubtitleChar">
    <w:name w:val="Subtitle Char"/>
    <w:basedOn w:val="DefaultParagraphFont"/>
    <w:link w:val="Subtitle"/>
    <w:uiPriority w:val="11"/>
    <w:rsid w:val="00377A31"/>
    <w:rPr>
      <w:b/>
      <w:sz w:val="52"/>
      <w:szCs w:val="52"/>
      <w:lang w:val="en-US"/>
    </w:rPr>
  </w:style>
  <w:style w:type="paragraph" w:customStyle="1" w:styleId="Boldheader">
    <w:name w:val="Bold header"/>
    <w:basedOn w:val="Normal"/>
    <w:qFormat/>
    <w:rsid w:val="00BC02FA"/>
    <w:pPr>
      <w:keepNext/>
      <w:keepLines/>
      <w:autoSpaceDE w:val="0"/>
      <w:autoSpaceDN w:val="0"/>
      <w:adjustRightInd w:val="0"/>
      <w:spacing w:before="120" w:after="120" w:line="220" w:lineRule="atLeast"/>
      <w:textAlignment w:val="center"/>
    </w:pPr>
    <w:rPr>
      <w:rFonts w:cstheme="minorHAnsi"/>
      <w:b/>
      <w:bCs/>
      <w:szCs w:val="26"/>
      <w:lang w:val="en-GB"/>
    </w:rPr>
  </w:style>
  <w:style w:type="paragraph" w:customStyle="1" w:styleId="Normalbeforebullets">
    <w:name w:val="Normal before bullets"/>
    <w:basedOn w:val="Normal"/>
    <w:qFormat/>
    <w:rsid w:val="00E27AC3"/>
    <w:pPr>
      <w:keepNext/>
      <w:spacing w:after="60" w:line="480" w:lineRule="auto"/>
    </w:pPr>
  </w:style>
  <w:style w:type="character" w:customStyle="1" w:styleId="Heading1Char">
    <w:name w:val="Heading 1 Char"/>
    <w:basedOn w:val="DefaultParagraphFont"/>
    <w:link w:val="Heading1"/>
    <w:uiPriority w:val="9"/>
    <w:rsid w:val="00C64186"/>
    <w:rPr>
      <w:rFonts w:asciiTheme="majorHAnsi" w:eastAsiaTheme="majorEastAsia" w:hAnsiTheme="majorHAnsi" w:cs="Times New Roman (Headings CS)"/>
      <w:b/>
      <w:bCs/>
      <w:sz w:val="48"/>
      <w:szCs w:val="36"/>
      <w:lang w:val="en-GB"/>
    </w:rPr>
  </w:style>
  <w:style w:type="paragraph" w:customStyle="1" w:styleId="FiguretitleFiguresImages">
    <w:name w:val="Figure title (Figures/Images)"/>
    <w:basedOn w:val="BodyText"/>
    <w:uiPriority w:val="99"/>
    <w:rsid w:val="00620098"/>
    <w:pPr>
      <w:keepNext/>
      <w:spacing w:before="120" w:line="220" w:lineRule="atLeast"/>
    </w:pPr>
    <w:rPr>
      <w:rFonts w:cstheme="minorHAnsi"/>
      <w:b/>
      <w:bCs/>
      <w:color w:val="000000" w:themeColor="text1"/>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11"/>
      </w:numPr>
      <w:spacing w:after="120" w:line="288" w:lineRule="auto"/>
      <w:contextualSpacing w:val="0"/>
    </w:pPr>
    <w:rPr>
      <w:lang w:val="en-GB"/>
    </w:rPr>
  </w:style>
  <w:style w:type="character" w:customStyle="1" w:styleId="Heading2Char">
    <w:name w:val="Heading 2 Char"/>
    <w:basedOn w:val="DefaultParagraphFont"/>
    <w:link w:val="Heading2"/>
    <w:uiPriority w:val="9"/>
    <w:rsid w:val="00DC22D6"/>
    <w:rPr>
      <w:rFonts w:asciiTheme="majorHAnsi" w:eastAsiaTheme="majorEastAsia" w:hAnsiTheme="majorHAnsi" w:cs="Times New Roman (Headings CS)"/>
      <w:b/>
      <w:bCs/>
      <w:color w:val="000000" w:themeColor="text1"/>
      <w:sz w:val="36"/>
      <w:szCs w:val="36"/>
      <w:lang w:val="en-GB"/>
    </w:rPr>
  </w:style>
  <w:style w:type="character" w:customStyle="1" w:styleId="Heading3Char">
    <w:name w:val="Heading 3 Char"/>
    <w:basedOn w:val="DefaultParagraphFont"/>
    <w:link w:val="Heading3"/>
    <w:uiPriority w:val="9"/>
    <w:rsid w:val="00C13CB9"/>
    <w:rPr>
      <w:rFonts w:asciiTheme="majorHAnsi" w:eastAsiaTheme="majorEastAsia" w:hAnsiTheme="majorHAnsi" w:cstheme="majorBidi"/>
      <w:b/>
      <w:bCs/>
      <w:sz w:val="28"/>
      <w:szCs w:val="26"/>
      <w:lang w:val="en-GB"/>
    </w:rPr>
  </w:style>
  <w:style w:type="character" w:customStyle="1" w:styleId="Heading4Char">
    <w:name w:val="Heading 4 Char"/>
    <w:basedOn w:val="DefaultParagraphFont"/>
    <w:link w:val="Heading4"/>
    <w:uiPriority w:val="9"/>
    <w:rsid w:val="00E40FB7"/>
    <w:rPr>
      <w:rFonts w:asciiTheme="majorHAnsi" w:eastAsiaTheme="majorEastAsia" w:hAnsiTheme="majorHAnsi" w:cstheme="majorBidi"/>
      <w:b/>
      <w:iCs/>
      <w:color w:val="000000" w:themeColor="text1"/>
      <w:sz w:val="24"/>
    </w:rPr>
  </w:style>
  <w:style w:type="character" w:customStyle="1" w:styleId="Heading5Char">
    <w:name w:val="Heading 5 Char"/>
    <w:basedOn w:val="DefaultParagraphFont"/>
    <w:link w:val="Heading5"/>
    <w:uiPriority w:val="9"/>
    <w:rsid w:val="00BC02FA"/>
    <w:rPr>
      <w:rFonts w:asciiTheme="majorHAnsi" w:eastAsiaTheme="majorEastAsia" w:hAnsiTheme="majorHAnsi" w:cstheme="majorBidi"/>
      <w:b/>
      <w:color w:val="000000" w:themeColor="text1"/>
      <w:sz w:val="28"/>
    </w:rPr>
  </w:style>
  <w:style w:type="character" w:customStyle="1" w:styleId="Heading6Char">
    <w:name w:val="Heading 6 Char"/>
    <w:basedOn w:val="DefaultParagraphFont"/>
    <w:link w:val="Heading6"/>
    <w:uiPriority w:val="9"/>
    <w:rsid w:val="00BC02FA"/>
    <w:rPr>
      <w:rFonts w:asciiTheme="majorHAnsi" w:eastAsiaTheme="majorEastAsia" w:hAnsiTheme="majorHAnsi" w:cstheme="majorBidi"/>
      <w:b/>
      <w:color w:val="000000" w:themeColor="text1"/>
      <w:sz w:val="24"/>
    </w:rPr>
  </w:style>
  <w:style w:type="character" w:customStyle="1" w:styleId="Heading7Char">
    <w:name w:val="Heading 7 Char"/>
    <w:basedOn w:val="DefaultParagraphFont"/>
    <w:link w:val="Heading7"/>
    <w:uiPriority w:val="9"/>
    <w:rsid w:val="00B54217"/>
    <w:rPr>
      <w:rFonts w:asciiTheme="majorHAnsi" w:eastAsiaTheme="majorEastAsia" w:hAnsiTheme="majorHAnsi" w:cstheme="majorBidi"/>
      <w:b/>
      <w:iCs/>
      <w:color w:val="000000" w:themeColor="text1"/>
      <w:sz w:val="24"/>
    </w:rPr>
  </w:style>
  <w:style w:type="character" w:customStyle="1" w:styleId="Heading8Char">
    <w:name w:val="Heading 8 Char"/>
    <w:basedOn w:val="DefaultParagraphFont"/>
    <w:link w:val="Heading8"/>
    <w:uiPriority w:val="9"/>
    <w:semiHidden/>
    <w:rsid w:val="00BC02FA"/>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BC02FA"/>
    <w:rPr>
      <w:rFonts w:asciiTheme="majorHAnsi" w:eastAsiaTheme="majorEastAsia" w:hAnsiTheme="majorHAnsi" w:cstheme="majorBidi"/>
      <w:b/>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table" w:styleId="TableGrid">
    <w:name w:val="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AB79D2"/>
    <w:pPr>
      <w:spacing w:after="120" w:line="400" w:lineRule="exact"/>
    </w:pPr>
  </w:style>
  <w:style w:type="numbering" w:customStyle="1" w:styleId="CurrentList11">
    <w:name w:val="Current List11"/>
    <w:uiPriority w:val="99"/>
    <w:rsid w:val="00515813"/>
    <w:pPr>
      <w:numPr>
        <w:numId w:val="16"/>
      </w:numPr>
    </w:pPr>
  </w:style>
  <w:style w:type="paragraph" w:customStyle="1" w:styleId="Bullet2">
    <w:name w:val="Bullet 2"/>
    <w:basedOn w:val="Normal"/>
    <w:qFormat/>
    <w:rsid w:val="008B38A1"/>
    <w:pPr>
      <w:numPr>
        <w:numId w:val="1"/>
      </w:numPr>
      <w:autoSpaceDE w:val="0"/>
      <w:autoSpaceDN w:val="0"/>
      <w:adjustRightInd w:val="0"/>
      <w:spacing w:after="120" w:line="480" w:lineRule="auto"/>
      <w:textAlignment w:val="center"/>
    </w:pPr>
    <w:rPr>
      <w:rFonts w:ascii="Arial" w:hAnsi="Arial" w:cs="Arial"/>
      <w:color w:val="000000"/>
      <w:lang w:val="en-GB"/>
    </w:rPr>
  </w:style>
  <w:style w:type="paragraph" w:customStyle="1" w:styleId="Listparagrapha">
    <w:name w:val="List paragraph (a.)"/>
    <w:basedOn w:val="BodyText"/>
    <w:qFormat/>
    <w:rsid w:val="00291546"/>
    <w:pPr>
      <w:numPr>
        <w:numId w:val="7"/>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D30BFF"/>
    <w:pPr>
      <w:spacing w:before="120" w:after="60" w:line="360" w:lineRule="auto"/>
    </w:pPr>
    <w:rPr>
      <w:rFonts w:asciiTheme="majorHAnsi" w:hAnsiTheme="majorHAnsi" w:cs="Arial (Headings)"/>
      <w:bCs/>
      <w:szCs w:val="24"/>
    </w:rPr>
  </w:style>
  <w:style w:type="paragraph" w:styleId="TOC2">
    <w:name w:val="toc 2"/>
    <w:basedOn w:val="Normal"/>
    <w:next w:val="Normal"/>
    <w:uiPriority w:val="39"/>
    <w:unhideWhenUsed/>
    <w:rsid w:val="00E82872"/>
    <w:pPr>
      <w:spacing w:before="60" w:after="60" w:line="360" w:lineRule="auto"/>
    </w:pPr>
    <w:rPr>
      <w:rFonts w:cstheme="minorHAnsi"/>
      <w:bCs/>
      <w:szCs w:val="20"/>
    </w:rPr>
  </w:style>
  <w:style w:type="paragraph" w:styleId="TOC3">
    <w:name w:val="toc 3"/>
    <w:basedOn w:val="Normal"/>
    <w:next w:val="Normal"/>
    <w:uiPriority w:val="39"/>
    <w:unhideWhenUsed/>
    <w:rsid w:val="00E82872"/>
    <w:pPr>
      <w:spacing w:before="60" w:after="60" w:line="360" w:lineRule="auto"/>
    </w:pPr>
    <w:rPr>
      <w:rFonts w:cstheme="minorHAnsi"/>
      <w:szCs w:val="20"/>
    </w:rPr>
  </w:style>
  <w:style w:type="paragraph" w:styleId="BodyText">
    <w:name w:val="Body Text"/>
    <w:basedOn w:val="Normal"/>
    <w:link w:val="BodyTextChar"/>
    <w:uiPriority w:val="99"/>
    <w:unhideWhenUsed/>
    <w:rsid w:val="00595BC4"/>
    <w:pPr>
      <w:spacing w:after="240" w:line="480" w:lineRule="auto"/>
    </w:pPr>
    <w:rPr>
      <w:rFonts w:cs="Times New Roman (Body CS)"/>
      <w:kern w:val="24"/>
      <w:lang w:val="en-GB"/>
    </w:rPr>
  </w:style>
  <w:style w:type="character" w:customStyle="1" w:styleId="BodyTextChar">
    <w:name w:val="Body Text Char"/>
    <w:basedOn w:val="DefaultParagraphFont"/>
    <w:link w:val="BodyText"/>
    <w:uiPriority w:val="99"/>
    <w:rsid w:val="00595BC4"/>
    <w:rPr>
      <w:rFonts w:cs="Times New Roman (Body CS)"/>
      <w:kern w:val="24"/>
      <w:sz w:val="24"/>
      <w:lang w:val="en-GB"/>
    </w:rPr>
  </w:style>
  <w:style w:type="paragraph" w:styleId="ListBullet">
    <w:name w:val="List Bullet"/>
    <w:basedOn w:val="BodyText"/>
    <w:uiPriority w:val="99"/>
    <w:unhideWhenUsed/>
    <w:rsid w:val="008B38A1"/>
    <w:pPr>
      <w:numPr>
        <w:numId w:val="2"/>
      </w:numPr>
      <w:spacing w:after="120"/>
    </w:p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3"/>
      </w:numPr>
      <w:ind w:left="714" w:hanging="357"/>
    </w:pPr>
  </w:style>
  <w:style w:type="paragraph" w:styleId="TOCHeading">
    <w:name w:val="TOC Heading"/>
    <w:basedOn w:val="Heading1"/>
    <w:next w:val="Normal"/>
    <w:uiPriority w:val="39"/>
    <w:unhideWhenUsed/>
    <w:qFormat/>
    <w:rsid w:val="003A393C"/>
    <w:pPr>
      <w:spacing w:after="120" w:line="360" w:lineRule="auto"/>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FD57D0"/>
    <w:pPr>
      <w:numPr>
        <w:numId w:val="4"/>
      </w:numPr>
      <w:snapToGrid w:val="0"/>
      <w:ind w:left="357" w:hanging="357"/>
    </w:pPr>
  </w:style>
  <w:style w:type="paragraph" w:styleId="ListNumber2">
    <w:name w:val="List Number 2"/>
    <w:basedOn w:val="Normal"/>
    <w:uiPriority w:val="99"/>
    <w:unhideWhenUsed/>
    <w:rsid w:val="001D3828"/>
    <w:pPr>
      <w:numPr>
        <w:numId w:val="17"/>
      </w:numPr>
      <w:contextualSpacing/>
    </w:pPr>
  </w:style>
  <w:style w:type="paragraph" w:styleId="Caption">
    <w:name w:val="caption"/>
    <w:basedOn w:val="Normal"/>
    <w:next w:val="Normal"/>
    <w:unhideWhenUsed/>
    <w:qFormat/>
    <w:rsid w:val="00E540DA"/>
    <w:pPr>
      <w:spacing w:before="120" w:after="120" w:line="360" w:lineRule="auto"/>
    </w:pPr>
    <w:rPr>
      <w:b/>
      <w:iCs/>
      <w:color w:val="000000" w:themeColor="text1"/>
      <w:szCs w:val="18"/>
    </w:rPr>
  </w:style>
  <w:style w:type="numbering" w:customStyle="1" w:styleId="CurrentList1">
    <w:name w:val="Current List1"/>
    <w:uiPriority w:val="99"/>
    <w:rsid w:val="007B211D"/>
    <w:pPr>
      <w:numPr>
        <w:numId w:val="5"/>
      </w:numPr>
    </w:pPr>
  </w:style>
  <w:style w:type="numbering" w:customStyle="1" w:styleId="CurrentList2">
    <w:name w:val="Current List2"/>
    <w:uiPriority w:val="99"/>
    <w:rsid w:val="00E11A71"/>
    <w:pPr>
      <w:numPr>
        <w:numId w:val="6"/>
      </w:numPr>
    </w:pPr>
  </w:style>
  <w:style w:type="numbering" w:customStyle="1" w:styleId="CurrentList3">
    <w:name w:val="Current List3"/>
    <w:uiPriority w:val="99"/>
    <w:rsid w:val="00E11A71"/>
    <w:pPr>
      <w:numPr>
        <w:numId w:val="8"/>
      </w:numPr>
    </w:pPr>
  </w:style>
  <w:style w:type="numbering" w:customStyle="1" w:styleId="CurrentList4">
    <w:name w:val="Current List4"/>
    <w:uiPriority w:val="99"/>
    <w:rsid w:val="00E11A71"/>
    <w:pPr>
      <w:numPr>
        <w:numId w:val="9"/>
      </w:numPr>
    </w:pPr>
  </w:style>
  <w:style w:type="numbering" w:customStyle="1" w:styleId="CurrentList5">
    <w:name w:val="Current List5"/>
    <w:uiPriority w:val="99"/>
    <w:rsid w:val="00E11A71"/>
    <w:pPr>
      <w:numPr>
        <w:numId w:val="10"/>
      </w:numPr>
    </w:pPr>
  </w:style>
  <w:style w:type="paragraph" w:styleId="TOC4">
    <w:name w:val="toc 4"/>
    <w:basedOn w:val="Normal"/>
    <w:next w:val="Normal"/>
    <w:autoRedefine/>
    <w:uiPriority w:val="39"/>
    <w:unhideWhenUsed/>
    <w:rsid w:val="005E3F95"/>
    <w:pPr>
      <w:spacing w:after="0"/>
      <w:ind w:left="480"/>
    </w:pPr>
    <w:rPr>
      <w:rFonts w:cstheme="minorHAnsi"/>
      <w:sz w:val="20"/>
      <w:szCs w:val="20"/>
    </w:rPr>
  </w:style>
  <w:style w:type="paragraph" w:styleId="TOC5">
    <w:name w:val="toc 5"/>
    <w:basedOn w:val="Normal"/>
    <w:next w:val="Normal"/>
    <w:autoRedefine/>
    <w:uiPriority w:val="39"/>
    <w:unhideWhenUsed/>
    <w:rsid w:val="005E3F95"/>
    <w:pPr>
      <w:spacing w:after="0"/>
      <w:ind w:left="720"/>
    </w:pPr>
    <w:rPr>
      <w:rFonts w:cstheme="minorHAnsi"/>
      <w:sz w:val="20"/>
      <w:szCs w:val="20"/>
    </w:rPr>
  </w:style>
  <w:style w:type="paragraph" w:styleId="TOC6">
    <w:name w:val="toc 6"/>
    <w:basedOn w:val="Normal"/>
    <w:next w:val="Normal"/>
    <w:autoRedefine/>
    <w:uiPriority w:val="39"/>
    <w:unhideWhenUsed/>
    <w:rsid w:val="005E3F95"/>
    <w:pPr>
      <w:spacing w:after="0"/>
      <w:ind w:left="960"/>
    </w:pPr>
    <w:rPr>
      <w:rFonts w:cstheme="minorHAnsi"/>
      <w:sz w:val="20"/>
      <w:szCs w:val="20"/>
    </w:rPr>
  </w:style>
  <w:style w:type="paragraph" w:styleId="TOC7">
    <w:name w:val="toc 7"/>
    <w:basedOn w:val="Normal"/>
    <w:next w:val="Normal"/>
    <w:autoRedefine/>
    <w:uiPriority w:val="39"/>
    <w:unhideWhenUsed/>
    <w:rsid w:val="005E3F95"/>
    <w:pPr>
      <w:spacing w:after="0"/>
      <w:ind w:left="1200"/>
    </w:pPr>
    <w:rPr>
      <w:rFonts w:cstheme="minorHAnsi"/>
      <w:sz w:val="20"/>
      <w:szCs w:val="20"/>
    </w:rPr>
  </w:style>
  <w:style w:type="paragraph" w:styleId="TOC8">
    <w:name w:val="toc 8"/>
    <w:basedOn w:val="Normal"/>
    <w:next w:val="Normal"/>
    <w:autoRedefine/>
    <w:uiPriority w:val="39"/>
    <w:unhideWhenUsed/>
    <w:rsid w:val="005E3F95"/>
    <w:pPr>
      <w:spacing w:after="0"/>
      <w:ind w:left="1440"/>
    </w:pPr>
    <w:rPr>
      <w:rFonts w:cstheme="minorHAnsi"/>
      <w:sz w:val="20"/>
      <w:szCs w:val="20"/>
    </w:rPr>
  </w:style>
  <w:style w:type="paragraph" w:styleId="TOC9">
    <w:name w:val="toc 9"/>
    <w:basedOn w:val="Normal"/>
    <w:next w:val="Normal"/>
    <w:autoRedefine/>
    <w:uiPriority w:val="39"/>
    <w:unhideWhenUsed/>
    <w:rsid w:val="005E3F95"/>
    <w:pPr>
      <w:spacing w:after="0"/>
      <w:ind w:left="1680"/>
    </w:pPr>
    <w:rPr>
      <w:rFonts w:cstheme="minorHAnsi"/>
      <w:sz w:val="20"/>
      <w:szCs w:val="20"/>
    </w:rPr>
  </w:style>
  <w:style w:type="paragraph" w:styleId="TOAHeading">
    <w:name w:val="toa heading"/>
    <w:basedOn w:val="Normal"/>
    <w:next w:val="Normal"/>
    <w:uiPriority w:val="99"/>
    <w:unhideWhenUsed/>
    <w:rsid w:val="00A51AD4"/>
    <w:pPr>
      <w:spacing w:before="240" w:after="240" w:line="360" w:lineRule="auto"/>
    </w:pPr>
    <w:rPr>
      <w:rFonts w:asciiTheme="majorHAnsi" w:eastAsiaTheme="majorEastAsia" w:hAnsiTheme="majorHAnsi" w:cs="Times New Roman (Headings CS)"/>
      <w:b/>
      <w:bCs/>
      <w:sz w:val="44"/>
      <w:szCs w:val="24"/>
    </w:rPr>
  </w:style>
  <w:style w:type="numbering" w:customStyle="1" w:styleId="CurrentList6">
    <w:name w:val="Current List6"/>
    <w:uiPriority w:val="99"/>
    <w:rsid w:val="00904039"/>
    <w:pPr>
      <w:numPr>
        <w:numId w:val="12"/>
      </w:numPr>
    </w:pPr>
  </w:style>
  <w:style w:type="numbering" w:customStyle="1" w:styleId="CurrentList7">
    <w:name w:val="Current List7"/>
    <w:uiPriority w:val="99"/>
    <w:rsid w:val="00904039"/>
    <w:pPr>
      <w:numPr>
        <w:numId w:val="13"/>
      </w:numPr>
    </w:pPr>
  </w:style>
  <w:style w:type="numbering" w:customStyle="1" w:styleId="CurrentList8">
    <w:name w:val="Current List8"/>
    <w:uiPriority w:val="99"/>
    <w:rsid w:val="00241796"/>
    <w:pPr>
      <w:numPr>
        <w:numId w:val="14"/>
      </w:numPr>
    </w:pPr>
  </w:style>
  <w:style w:type="paragraph" w:styleId="Revision">
    <w:name w:val="Revision"/>
    <w:hidden/>
    <w:uiPriority w:val="99"/>
    <w:semiHidden/>
    <w:rsid w:val="00760099"/>
    <w:pPr>
      <w:spacing w:after="0" w:line="240" w:lineRule="auto"/>
    </w:pPr>
    <w:rPr>
      <w:sz w:val="24"/>
    </w:rPr>
  </w:style>
  <w:style w:type="paragraph" w:styleId="CommentText">
    <w:name w:val="annotation text"/>
    <w:basedOn w:val="Normal"/>
    <w:link w:val="CommentTextChar"/>
    <w:uiPriority w:val="99"/>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rsid w:val="00DC0304"/>
    <w:rPr>
      <w:sz w:val="20"/>
      <w:szCs w:val="20"/>
    </w:rPr>
  </w:style>
  <w:style w:type="numbering" w:customStyle="1" w:styleId="CurrentList12">
    <w:name w:val="Current List12"/>
    <w:uiPriority w:val="99"/>
    <w:rsid w:val="00291546"/>
    <w:pPr>
      <w:numPr>
        <w:numId w:val="18"/>
      </w:numPr>
    </w:pPr>
  </w:style>
  <w:style w:type="paragraph" w:styleId="ListBullet3">
    <w:name w:val="List Bullet 3"/>
    <w:basedOn w:val="ListBullet2"/>
    <w:uiPriority w:val="99"/>
    <w:unhideWhenUsed/>
    <w:rsid w:val="00452CA4"/>
    <w:pPr>
      <w:numPr>
        <w:numId w:val="19"/>
      </w:numPr>
      <w:ind w:left="1037" w:hanging="357"/>
      <w:contextualSpacing/>
    </w:pPr>
  </w:style>
  <w:style w:type="table" w:styleId="GridTable5Dark">
    <w:name w:val="Grid Table 5 Dark"/>
    <w:basedOn w:val="TableNormal"/>
    <w:uiPriority w:val="50"/>
    <w:rsid w:val="00552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Style2">
    <w:name w:val="Style2"/>
    <w:basedOn w:val="TableNormal"/>
    <w:uiPriority w:val="99"/>
    <w:rsid w:val="00885AAB"/>
    <w:pPr>
      <w:spacing w:after="0" w:line="360" w:lineRule="auto"/>
    </w:pPr>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2" w:type="dxa"/>
        <w:left w:w="142" w:type="dxa"/>
      </w:tblCellMar>
    </w:tblPr>
    <w:tcPr>
      <w:shd w:val="clear" w:color="auto" w:fill="auto"/>
    </w:tcPr>
    <w:tblStylePr w:type="firstRow">
      <w:rPr>
        <w:b/>
      </w:rPr>
      <w:tblPr/>
      <w:tcPr>
        <w:shd w:val="clear" w:color="auto" w:fill="D9D9D9" w:themeFill="background1" w:themeFillShade="D9"/>
      </w:tcPr>
    </w:tblStylePr>
  </w:style>
  <w:style w:type="paragraph" w:customStyle="1" w:styleId="CaseStudyHeading">
    <w:name w:val="Case Study Heading"/>
    <w:basedOn w:val="BodyText"/>
    <w:qFormat/>
    <w:rsid w:val="00C2301E"/>
    <w:rPr>
      <w:b/>
      <w:bCs/>
      <w:sz w:val="32"/>
      <w:szCs w:val="32"/>
    </w:rPr>
  </w:style>
  <w:style w:type="table" w:styleId="ColorfulList-Accent1">
    <w:name w:val="Colorful List Accent 1"/>
    <w:basedOn w:val="TableNormal"/>
    <w:uiPriority w:val="72"/>
    <w:semiHidden/>
    <w:rsid w:val="00024973"/>
    <w:pPr>
      <w:spacing w:before="120" w:after="120" w:line="240" w:lineRule="atLeast"/>
    </w:pPr>
    <w:rPr>
      <w:rFonts w:eastAsia="Times New Roman" w:cs="Times New Roman"/>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ableTextBullet">
    <w:name w:val="Table Text Bullet"/>
    <w:basedOn w:val="Tabletext"/>
    <w:qFormat/>
    <w:rsid w:val="00253B39"/>
    <w:pPr>
      <w:numPr>
        <w:numId w:val="20"/>
      </w:numPr>
      <w:spacing w:after="180" w:line="312" w:lineRule="auto"/>
    </w:pPr>
  </w:style>
  <w:style w:type="character" w:styleId="Emphasis">
    <w:name w:val="Emphasis"/>
    <w:basedOn w:val="DefaultParagraphFont"/>
    <w:uiPriority w:val="20"/>
    <w:qFormat/>
    <w:rsid w:val="002E748D"/>
    <w:rPr>
      <w:i/>
      <w:iCs/>
    </w:rPr>
  </w:style>
  <w:style w:type="numbering" w:customStyle="1" w:styleId="CurrentList13">
    <w:name w:val="Current List13"/>
    <w:uiPriority w:val="99"/>
    <w:rsid w:val="006125D7"/>
    <w:pPr>
      <w:numPr>
        <w:numId w:val="21"/>
      </w:numPr>
    </w:pPr>
  </w:style>
  <w:style w:type="paragraph" w:customStyle="1" w:styleId="LastBulletinList">
    <w:name w:val="Last Bullet in List"/>
    <w:basedOn w:val="ListBullet"/>
    <w:qFormat/>
    <w:rsid w:val="00885AAB"/>
    <w:pPr>
      <w:spacing w:after="280"/>
      <w:ind w:left="357" w:hanging="357"/>
    </w:pPr>
  </w:style>
  <w:style w:type="character" w:styleId="Strong">
    <w:name w:val="Strong"/>
    <w:basedOn w:val="DefaultParagraphFont"/>
    <w:uiPriority w:val="22"/>
    <w:qFormat/>
    <w:rsid w:val="00643DDC"/>
    <w:rPr>
      <w:b/>
      <w:bCs/>
    </w:rPr>
  </w:style>
  <w:style w:type="character" w:styleId="PageNumber">
    <w:name w:val="page number"/>
    <w:basedOn w:val="DefaultParagraphFont"/>
    <w:uiPriority w:val="99"/>
    <w:semiHidden/>
    <w:unhideWhenUsed/>
    <w:rsid w:val="00B165A7"/>
  </w:style>
  <w:style w:type="numbering" w:customStyle="1" w:styleId="CurrentList14">
    <w:name w:val="Current List14"/>
    <w:uiPriority w:val="99"/>
    <w:rsid w:val="00395DD4"/>
    <w:pPr>
      <w:numPr>
        <w:numId w:val="22"/>
      </w:numPr>
    </w:pPr>
  </w:style>
  <w:style w:type="numbering" w:customStyle="1" w:styleId="CurrentList15">
    <w:name w:val="Current List15"/>
    <w:uiPriority w:val="99"/>
    <w:rsid w:val="0074162B"/>
    <w:pPr>
      <w:numPr>
        <w:numId w:val="23"/>
      </w:numPr>
    </w:pPr>
  </w:style>
  <w:style w:type="numbering" w:customStyle="1" w:styleId="CurrentList16">
    <w:name w:val="Current List16"/>
    <w:uiPriority w:val="99"/>
    <w:rsid w:val="00B54217"/>
    <w:pPr>
      <w:numPr>
        <w:numId w:val="24"/>
      </w:numPr>
    </w:pPr>
  </w:style>
  <w:style w:type="character" w:customStyle="1" w:styleId="Bodyitalic">
    <w:name w:val="Body italic"/>
    <w:uiPriority w:val="99"/>
    <w:rsid w:val="00C1246C"/>
    <w:rPr>
      <w:i/>
      <w:iCs/>
    </w:rPr>
  </w:style>
  <w:style w:type="character" w:customStyle="1" w:styleId="Superscript">
    <w:name w:val="Superscript"/>
    <w:uiPriority w:val="99"/>
    <w:rsid w:val="00C1246C"/>
    <w:rPr>
      <w:color w:val="000000"/>
      <w:vertAlign w:val="superscript"/>
    </w:rPr>
  </w:style>
  <w:style w:type="character" w:styleId="UnresolvedMention">
    <w:name w:val="Unresolved Mention"/>
    <w:basedOn w:val="DefaultParagraphFont"/>
    <w:uiPriority w:val="99"/>
    <w:semiHidden/>
    <w:unhideWhenUsed/>
    <w:rsid w:val="00B547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411506731">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1303265086">
      <w:bodyDiv w:val="1"/>
      <w:marLeft w:val="0"/>
      <w:marRight w:val="0"/>
      <w:marTop w:val="0"/>
      <w:marBottom w:val="0"/>
      <w:divBdr>
        <w:top w:val="none" w:sz="0" w:space="0" w:color="auto"/>
        <w:left w:val="none" w:sz="0" w:space="0" w:color="auto"/>
        <w:bottom w:val="none" w:sz="0" w:space="0" w:color="auto"/>
        <w:right w:val="none" w:sz="0" w:space="0" w:color="auto"/>
      </w:divBdr>
    </w:div>
    <w:div w:id="1427190841">
      <w:bodyDiv w:val="1"/>
      <w:marLeft w:val="0"/>
      <w:marRight w:val="0"/>
      <w:marTop w:val="0"/>
      <w:marBottom w:val="0"/>
      <w:divBdr>
        <w:top w:val="none" w:sz="0" w:space="0" w:color="auto"/>
        <w:left w:val="none" w:sz="0" w:space="0" w:color="auto"/>
        <w:bottom w:val="none" w:sz="0" w:space="0" w:color="auto"/>
        <w:right w:val="none" w:sz="0" w:space="0" w:color="auto"/>
      </w:divBdr>
    </w:div>
    <w:div w:id="1585457962">
      <w:bodyDiv w:val="1"/>
      <w:marLeft w:val="0"/>
      <w:marRight w:val="0"/>
      <w:marTop w:val="0"/>
      <w:marBottom w:val="0"/>
      <w:divBdr>
        <w:top w:val="none" w:sz="0" w:space="0" w:color="auto"/>
        <w:left w:val="none" w:sz="0" w:space="0" w:color="auto"/>
        <w:bottom w:val="none" w:sz="0" w:space="0" w:color="auto"/>
        <w:right w:val="none" w:sz="0" w:space="0" w:color="auto"/>
      </w:divBdr>
    </w:div>
    <w:div w:id="1591312075">
      <w:bodyDiv w:val="1"/>
      <w:marLeft w:val="0"/>
      <w:marRight w:val="0"/>
      <w:marTop w:val="0"/>
      <w:marBottom w:val="0"/>
      <w:divBdr>
        <w:top w:val="none" w:sz="0" w:space="0" w:color="auto"/>
        <w:left w:val="none" w:sz="0" w:space="0" w:color="auto"/>
        <w:bottom w:val="none" w:sz="0" w:space="0" w:color="auto"/>
        <w:right w:val="none" w:sz="0" w:space="0" w:color="auto"/>
      </w:divBdr>
    </w:div>
    <w:div w:id="1709144339">
      <w:bodyDiv w:val="1"/>
      <w:marLeft w:val="0"/>
      <w:marRight w:val="0"/>
      <w:marTop w:val="0"/>
      <w:marBottom w:val="0"/>
      <w:divBdr>
        <w:top w:val="none" w:sz="0" w:space="0" w:color="auto"/>
        <w:left w:val="none" w:sz="0" w:space="0" w:color="auto"/>
        <w:bottom w:val="none" w:sz="0" w:space="0" w:color="auto"/>
        <w:right w:val="none" w:sz="0" w:space="0" w:color="auto"/>
      </w:divBdr>
    </w:div>
    <w:div w:id="2007781129">
      <w:bodyDiv w:val="1"/>
      <w:marLeft w:val="0"/>
      <w:marRight w:val="0"/>
      <w:marTop w:val="0"/>
      <w:marBottom w:val="0"/>
      <w:divBdr>
        <w:top w:val="none" w:sz="0" w:space="0" w:color="auto"/>
        <w:left w:val="none" w:sz="0" w:space="0" w:color="auto"/>
        <w:bottom w:val="none" w:sz="0" w:space="0" w:color="auto"/>
        <w:right w:val="none" w:sz="0" w:space="0" w:color="auto"/>
      </w:divBdr>
    </w:div>
    <w:div w:id="20360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reativecommons.org/licenses/by/4.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eeca.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customer.service@delwp.vic.gov.au" TargetMode="External"/><Relationship Id="rId10" Type="http://schemas.openxmlformats.org/officeDocument/2006/relationships/hyperlink" Target="https://www.deeca.vic.gov.au/__data/assets/pdf_file/0013/613111/DEECAOrgChart.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14458-6C92-8743-9C55-D817C2FDF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13319</Words>
  <Characters>85646</Characters>
  <Application>Microsoft Office Word</Application>
  <DocSecurity>0</DocSecurity>
  <Lines>713</Lines>
  <Paragraphs>197</Paragraphs>
  <ScaleCrop>false</ScaleCrop>
  <HeadingPairs>
    <vt:vector size="2" baseType="variant">
      <vt:variant>
        <vt:lpstr>Title</vt:lpstr>
      </vt:variant>
      <vt:variant>
        <vt:i4>1</vt:i4>
      </vt:variant>
    </vt:vector>
  </HeadingPairs>
  <TitlesOfParts>
    <vt:vector size="1" baseType="lpstr">
      <vt:lpstr>DEECA Corporate Plan 2025-2029</vt:lpstr>
    </vt:vector>
  </TitlesOfParts>
  <Manager>N/A</Manager>
  <Company>Department of Energy, Environment and Climate Action </Company>
  <LinksUpToDate>false</LinksUpToDate>
  <CharactersWithSpaces>98768</CharactersWithSpaces>
  <SharedDoc>false</SharedDoc>
  <HyperlinkBase>www.deeca.vic.gov.au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DEECA Corporate Plan 2025-2029</dc:title>
  <dc:subject>DEECA Corporate Plan 2025-2029</dc:subject>
  <dc:creator>Department of Energy, Environment and Climate Action </dc:creator>
  <cp:keywords>DEECA, Corporate, Plan, 2025-2029</cp:keywords>
  <dc:description>© The State of Victoria Department of Energy, Environment and Climate Action </dc:description>
  <cp:lastModifiedBy>Karrina L Barker (DEECA)</cp:lastModifiedBy>
  <cp:revision>4</cp:revision>
  <dcterms:created xsi:type="dcterms:W3CDTF">2025-09-09T07:59:00Z</dcterms:created>
  <dcterms:modified xsi:type="dcterms:W3CDTF">2025-09-09T07:59:00Z</dcterms:modified>
  <cp:category>Corporate Plan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ies>
</file>