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42" w:rsidRPr="001D5CA1" w:rsidRDefault="00AD7EEB" w:rsidP="00AD7EEB">
      <w:pPr>
        <w:spacing w:after="0"/>
        <w:rPr>
          <w:color w:val="FFFFFF" w:themeColor="background1"/>
          <w:sz w:val="72"/>
          <w:szCs w:val="72"/>
        </w:rPr>
      </w:pPr>
      <w:bookmarkStart w:id="0" w:name="_GoBack"/>
      <w:bookmarkEnd w:id="0"/>
      <w:r w:rsidRPr="001D5CA1">
        <w:rPr>
          <w:noProof/>
          <w:color w:val="FFFFFF" w:themeColor="background1"/>
          <w:sz w:val="72"/>
          <w:szCs w:val="72"/>
          <w:lang w:eastAsia="en-AU"/>
        </w:rPr>
        <w:drawing>
          <wp:anchor distT="0" distB="0" distL="114300" distR="114300" simplePos="0" relativeHeight="251659264" behindDoc="1" locked="0" layoutInCell="1" allowOverlap="1" wp14:anchorId="65882A4A" wp14:editId="33CB3831">
            <wp:simplePos x="0" y="0"/>
            <wp:positionH relativeFrom="page">
              <wp:posOffset>276225</wp:posOffset>
            </wp:positionH>
            <wp:positionV relativeFrom="page">
              <wp:posOffset>5080</wp:posOffset>
            </wp:positionV>
            <wp:extent cx="7815262" cy="2433638"/>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5" r="-5245"/>
                    <a:stretch/>
                  </pic:blipFill>
                  <pic:spPr bwMode="auto">
                    <a:xfrm>
                      <a:off x="0" y="0"/>
                      <a:ext cx="7815262" cy="24336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5CA1">
        <w:rPr>
          <w:color w:val="FFFFFF" w:themeColor="background1"/>
          <w:sz w:val="72"/>
          <w:szCs w:val="72"/>
        </w:rPr>
        <w:t>Voluntary Committees of Management Newsletter</w:t>
      </w:r>
    </w:p>
    <w:p w:rsidR="00AD7EEB" w:rsidRPr="00AE0D03" w:rsidRDefault="00AD7EEB" w:rsidP="00AD7EEB">
      <w:pPr>
        <w:spacing w:after="0"/>
        <w:rPr>
          <w:color w:val="F38225"/>
          <w:sz w:val="48"/>
          <w:szCs w:val="48"/>
        </w:rPr>
      </w:pPr>
      <w:r w:rsidRPr="00AE0D03">
        <w:rPr>
          <w:color w:val="F38225"/>
          <w:sz w:val="48"/>
          <w:szCs w:val="48"/>
        </w:rPr>
        <w:t>Edition 6</w:t>
      </w:r>
    </w:p>
    <w:p w:rsidR="00AD7EEB" w:rsidRDefault="00AD7EEB" w:rsidP="00AD7EEB">
      <w:pPr>
        <w:spacing w:after="0"/>
        <w:rPr>
          <w:sz w:val="48"/>
          <w:szCs w:val="48"/>
        </w:rPr>
        <w:sectPr w:rsidR="00AD7EEB" w:rsidSect="007014E9">
          <w:headerReference w:type="even" r:id="rId9"/>
          <w:headerReference w:type="default" r:id="rId10"/>
          <w:footerReference w:type="even" r:id="rId11"/>
          <w:footerReference w:type="default" r:id="rId12"/>
          <w:headerReference w:type="first" r:id="rId13"/>
          <w:footerReference w:type="first" r:id="rId14"/>
          <w:pgSz w:w="11906" w:h="16838"/>
          <w:pgMar w:top="992" w:right="1440" w:bottom="1440" w:left="1440" w:header="0" w:footer="0" w:gutter="0"/>
          <w:cols w:space="708"/>
          <w:docGrid w:linePitch="360"/>
        </w:sectPr>
      </w:pPr>
    </w:p>
    <w:p w:rsidR="00AD7EEB" w:rsidRDefault="000E29B5" w:rsidP="00AD7EEB">
      <w:pPr>
        <w:spacing w:after="0"/>
        <w:rPr>
          <w:sz w:val="48"/>
          <w:szCs w:val="48"/>
        </w:rPr>
        <w:sectPr w:rsidR="00AD7EEB" w:rsidSect="00AD7EEB">
          <w:type w:val="continuous"/>
          <w:pgSz w:w="11906" w:h="16838"/>
          <w:pgMar w:top="992" w:right="1440" w:bottom="1440" w:left="1440" w:header="709" w:footer="709" w:gutter="0"/>
          <w:cols w:space="708"/>
          <w:docGrid w:linePitch="360"/>
        </w:sectPr>
      </w:pPr>
      <w:r w:rsidRPr="00AD7EEB">
        <w:rPr>
          <w:noProof/>
          <w:sz w:val="72"/>
          <w:szCs w:val="72"/>
          <w:lang w:eastAsia="en-AU"/>
        </w:rPr>
        <w:lastRenderedPageBreak/>
        <w:drawing>
          <wp:anchor distT="0" distB="0" distL="114300" distR="114300" simplePos="0" relativeHeight="251663360" behindDoc="1" locked="0" layoutInCell="1" allowOverlap="1" wp14:anchorId="7449377B" wp14:editId="37E25163">
            <wp:simplePos x="0" y="0"/>
            <wp:positionH relativeFrom="page">
              <wp:posOffset>419100</wp:posOffset>
            </wp:positionH>
            <wp:positionV relativeFrom="page">
              <wp:posOffset>2762250</wp:posOffset>
            </wp:positionV>
            <wp:extent cx="3162300" cy="72009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64" t="33846" r="5971" b="803"/>
                    <a:stretch/>
                  </pic:blipFill>
                  <pic:spPr bwMode="auto">
                    <a:xfrm>
                      <a:off x="0" y="0"/>
                      <a:ext cx="3162300" cy="720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7EEB" w:rsidRDefault="00AD7EEB" w:rsidP="00AD7EEB">
      <w:pPr>
        <w:spacing w:after="0"/>
        <w:ind w:left="-284"/>
        <w:rPr>
          <w:sz w:val="24"/>
          <w:szCs w:val="24"/>
        </w:rPr>
      </w:pPr>
    </w:p>
    <w:p w:rsidR="00AD7EEB" w:rsidRPr="0097388A" w:rsidRDefault="00AD7EEB" w:rsidP="00AE0D03">
      <w:pPr>
        <w:spacing w:after="0"/>
        <w:rPr>
          <w:color w:val="FFFFFF" w:themeColor="background1"/>
        </w:rPr>
      </w:pPr>
      <w:r w:rsidRPr="0097388A">
        <w:rPr>
          <w:color w:val="FFFFFF" w:themeColor="background1"/>
        </w:rPr>
        <w:t xml:space="preserve">Welcome to this sixth edition of the Voluntary Committees of Management Newsletter. </w:t>
      </w:r>
      <w:r w:rsidR="001D1B6C" w:rsidRPr="0097388A">
        <w:rPr>
          <w:color w:val="FFFFFF" w:themeColor="background1"/>
        </w:rPr>
        <w:t xml:space="preserve">Our theme for </w:t>
      </w:r>
      <w:r w:rsidRPr="0097388A">
        <w:rPr>
          <w:color w:val="FFFFFF" w:themeColor="background1"/>
        </w:rPr>
        <w:t>this edition</w:t>
      </w:r>
      <w:r w:rsidR="001D1B6C" w:rsidRPr="0097388A">
        <w:rPr>
          <w:color w:val="FFFFFF" w:themeColor="background1"/>
        </w:rPr>
        <w:t xml:space="preserve"> is money for your committee.</w:t>
      </w:r>
      <w:r w:rsidRPr="0097388A">
        <w:rPr>
          <w:color w:val="FFFFFF" w:themeColor="background1"/>
        </w:rPr>
        <w:t xml:space="preserve"> </w:t>
      </w:r>
      <w:r w:rsidR="001D1B6C" w:rsidRPr="0097388A">
        <w:rPr>
          <w:color w:val="FFFFFF" w:themeColor="background1"/>
        </w:rPr>
        <w:t>W</w:t>
      </w:r>
      <w:r w:rsidRPr="0097388A">
        <w:rPr>
          <w:color w:val="FFFFFF" w:themeColor="background1"/>
        </w:rPr>
        <w:t xml:space="preserve">e look at how to find grants to fund that next project, how to write applications to land that grant, and more. </w:t>
      </w:r>
    </w:p>
    <w:p w:rsidR="00F94FCE" w:rsidRDefault="00F94FCE" w:rsidP="00AE0D03">
      <w:pPr>
        <w:spacing w:after="0"/>
        <w:rPr>
          <w:color w:val="FFFFFF" w:themeColor="background1"/>
          <w:sz w:val="24"/>
          <w:szCs w:val="24"/>
        </w:rPr>
      </w:pPr>
    </w:p>
    <w:p w:rsidR="00F94FCE" w:rsidRPr="0097388A" w:rsidRDefault="00F94FCE" w:rsidP="00F94FCE">
      <w:pPr>
        <w:spacing w:after="0"/>
        <w:rPr>
          <w:color w:val="FFFFFF" w:themeColor="background1"/>
        </w:rPr>
      </w:pPr>
      <w:r w:rsidRPr="0097388A">
        <w:rPr>
          <w:color w:val="FFFFFF" w:themeColor="background1"/>
        </w:rPr>
        <w:t xml:space="preserve">This year will bring about positive change in the way the department provides support for committees of management.  We are committed to a number of actions which are identified in the </w:t>
      </w:r>
      <w:proofErr w:type="gramStart"/>
      <w:r w:rsidRPr="0097388A">
        <w:rPr>
          <w:color w:val="FFFFFF" w:themeColor="background1"/>
        </w:rPr>
        <w:t>recent  Victorian</w:t>
      </w:r>
      <w:proofErr w:type="gramEnd"/>
      <w:r w:rsidRPr="0097388A">
        <w:rPr>
          <w:color w:val="FFFFFF" w:themeColor="background1"/>
        </w:rPr>
        <w:t xml:space="preserve"> Auditor-General’s Office report (see opposite).  I urge you all to read this. </w:t>
      </w:r>
    </w:p>
    <w:p w:rsidR="00F94FCE" w:rsidRDefault="00F94FCE" w:rsidP="00F94FCE">
      <w:pPr>
        <w:spacing w:after="0"/>
        <w:rPr>
          <w:color w:val="FFFFFF" w:themeColor="background1"/>
          <w:sz w:val="24"/>
          <w:szCs w:val="24"/>
        </w:rPr>
      </w:pPr>
    </w:p>
    <w:p w:rsidR="0097388A" w:rsidRDefault="00F94FCE" w:rsidP="00F94FCE">
      <w:pPr>
        <w:spacing w:after="0"/>
        <w:rPr>
          <w:color w:val="FFFFFF" w:themeColor="background1"/>
        </w:rPr>
      </w:pPr>
      <w:r w:rsidRPr="0097388A">
        <w:rPr>
          <w:color w:val="FFFFFF" w:themeColor="background1"/>
        </w:rPr>
        <w:t>One of the first changes you'll notice is a new edition of the Responsibilities and Good Practice guidelines.  The guidelines are currently being revised and updated and the new edition will be available in May.</w:t>
      </w:r>
    </w:p>
    <w:p w:rsidR="0097388A" w:rsidRDefault="0097388A" w:rsidP="00F94FCE">
      <w:pPr>
        <w:spacing w:after="0"/>
        <w:rPr>
          <w:color w:val="FFFFFF" w:themeColor="background1"/>
        </w:rPr>
      </w:pPr>
    </w:p>
    <w:p w:rsidR="0097388A" w:rsidRDefault="0097388A" w:rsidP="00F94FCE">
      <w:pPr>
        <w:spacing w:after="0"/>
        <w:rPr>
          <w:color w:val="FFFFFF" w:themeColor="background1"/>
        </w:rPr>
      </w:pPr>
      <w:r>
        <w:rPr>
          <w:color w:val="FFFFFF" w:themeColor="background1"/>
        </w:rPr>
        <w:t>On behalf of all Victorians, I thank you for your hard work and time that you contribute as a Committee member to managing Victoria’s valuable public estate.</w:t>
      </w:r>
    </w:p>
    <w:p w:rsidR="00B12AAE" w:rsidRPr="0062574C" w:rsidRDefault="00B12AAE" w:rsidP="0062574C">
      <w:pPr>
        <w:spacing w:after="0" w:line="240" w:lineRule="auto"/>
        <w:rPr>
          <w:color w:val="595959" w:themeColor="text1" w:themeTint="A6"/>
          <w:sz w:val="2"/>
          <w:szCs w:val="2"/>
        </w:rPr>
      </w:pPr>
    </w:p>
    <w:p w:rsidR="00B12AAE" w:rsidRPr="0062574C" w:rsidRDefault="00B12AAE" w:rsidP="0062574C">
      <w:pPr>
        <w:spacing w:after="0" w:line="240" w:lineRule="auto"/>
        <w:rPr>
          <w:color w:val="595959" w:themeColor="text1" w:themeTint="A6"/>
          <w:sz w:val="2"/>
          <w:szCs w:val="2"/>
        </w:rPr>
      </w:pPr>
      <w:r w:rsidRPr="0062574C">
        <w:rPr>
          <w:color w:val="595959" w:themeColor="text1" w:themeTint="A6"/>
          <w:sz w:val="2"/>
          <w:szCs w:val="2"/>
        </w:rPr>
        <w:t>Peter Beaumont</w:t>
      </w:r>
    </w:p>
    <w:p w:rsidR="00B12AAE" w:rsidRPr="0062574C" w:rsidRDefault="00B12AAE" w:rsidP="0062574C">
      <w:pPr>
        <w:spacing w:after="0" w:line="240" w:lineRule="auto"/>
        <w:rPr>
          <w:color w:val="595959" w:themeColor="text1" w:themeTint="A6"/>
          <w:sz w:val="2"/>
          <w:szCs w:val="2"/>
        </w:rPr>
      </w:pPr>
    </w:p>
    <w:p w:rsidR="00B12AAE" w:rsidRPr="0062574C" w:rsidRDefault="00B12AAE" w:rsidP="0062574C">
      <w:pPr>
        <w:spacing w:after="0" w:line="240" w:lineRule="auto"/>
        <w:rPr>
          <w:color w:val="595959" w:themeColor="text1" w:themeTint="A6"/>
          <w:sz w:val="2"/>
          <w:szCs w:val="2"/>
        </w:rPr>
      </w:pPr>
    </w:p>
    <w:p w:rsidR="0097388A" w:rsidRPr="0062574C" w:rsidRDefault="0097388A" w:rsidP="00B12AAE">
      <w:pPr>
        <w:spacing w:after="0" w:line="240" w:lineRule="auto"/>
        <w:rPr>
          <w:sz w:val="2"/>
          <w:szCs w:val="2"/>
        </w:rPr>
      </w:pPr>
    </w:p>
    <w:p w:rsidR="0097388A" w:rsidRPr="00B12AAE" w:rsidRDefault="00B12AAE" w:rsidP="00F94FCE">
      <w:pPr>
        <w:spacing w:after="0"/>
        <w:rPr>
          <w:b/>
          <w:sz w:val="24"/>
          <w:szCs w:val="24"/>
        </w:rPr>
      </w:pPr>
      <w:r w:rsidRPr="00B12AAE">
        <w:rPr>
          <w:b/>
          <w:sz w:val="24"/>
          <w:szCs w:val="24"/>
        </w:rPr>
        <w:lastRenderedPageBreak/>
        <w:t>Victorian Auditor-General’s Office</w:t>
      </w:r>
      <w:r>
        <w:rPr>
          <w:b/>
          <w:sz w:val="24"/>
          <w:szCs w:val="24"/>
        </w:rPr>
        <w:t xml:space="preserve"> Report</w:t>
      </w:r>
    </w:p>
    <w:p w:rsidR="0097388A" w:rsidRPr="00B12AAE" w:rsidRDefault="00B12AAE" w:rsidP="00F94FCE">
      <w:pPr>
        <w:spacing w:after="0"/>
        <w:rPr>
          <w:sz w:val="20"/>
          <w:szCs w:val="20"/>
        </w:rPr>
      </w:pPr>
      <w:proofErr w:type="gramStart"/>
      <w:r w:rsidRPr="00B12AAE">
        <w:rPr>
          <w:b/>
          <w:sz w:val="24"/>
          <w:szCs w:val="24"/>
        </w:rPr>
        <w:t>into</w:t>
      </w:r>
      <w:proofErr w:type="gramEnd"/>
      <w:r w:rsidRPr="00B12AAE">
        <w:rPr>
          <w:b/>
          <w:sz w:val="24"/>
          <w:szCs w:val="24"/>
        </w:rPr>
        <w:t xml:space="preserve"> Oversight and Accountability of</w:t>
      </w:r>
    </w:p>
    <w:p w:rsidR="0097388A" w:rsidRPr="00B12AAE" w:rsidRDefault="00B12AAE" w:rsidP="00F94FCE">
      <w:pPr>
        <w:spacing w:after="0"/>
        <w:rPr>
          <w:b/>
          <w:sz w:val="24"/>
          <w:szCs w:val="24"/>
        </w:rPr>
      </w:pPr>
      <w:r w:rsidRPr="00B12AAE">
        <w:rPr>
          <w:b/>
          <w:sz w:val="24"/>
          <w:szCs w:val="24"/>
        </w:rPr>
        <w:t>Committees of Management tabled in</w:t>
      </w:r>
    </w:p>
    <w:p w:rsidR="0097388A" w:rsidRPr="00B12AAE" w:rsidRDefault="00B12AAE" w:rsidP="00F94FCE">
      <w:pPr>
        <w:spacing w:after="0"/>
        <w:rPr>
          <w:b/>
          <w:sz w:val="24"/>
          <w:szCs w:val="24"/>
        </w:rPr>
      </w:pPr>
      <w:r w:rsidRPr="00B12AAE">
        <w:rPr>
          <w:b/>
          <w:sz w:val="24"/>
          <w:szCs w:val="24"/>
        </w:rPr>
        <w:t>Parliament</w:t>
      </w:r>
    </w:p>
    <w:p w:rsidR="0097388A" w:rsidRPr="00B12AAE" w:rsidRDefault="0097388A" w:rsidP="00F94FCE">
      <w:pPr>
        <w:spacing w:after="0"/>
        <w:rPr>
          <w:sz w:val="20"/>
          <w:szCs w:val="20"/>
        </w:rPr>
      </w:pPr>
    </w:p>
    <w:p w:rsidR="0097388A" w:rsidRPr="00B12AAE" w:rsidRDefault="00B12AAE" w:rsidP="00F94FCE">
      <w:pPr>
        <w:spacing w:after="0"/>
        <w:rPr>
          <w:sz w:val="20"/>
          <w:szCs w:val="20"/>
        </w:rPr>
      </w:pPr>
      <w:r>
        <w:rPr>
          <w:sz w:val="20"/>
          <w:szCs w:val="20"/>
        </w:rPr>
        <w:t>On 5 February</w:t>
      </w:r>
      <w:r w:rsidR="00264137">
        <w:rPr>
          <w:sz w:val="20"/>
          <w:szCs w:val="20"/>
        </w:rPr>
        <w:t xml:space="preserve"> 2014</w:t>
      </w:r>
      <w:r>
        <w:rPr>
          <w:sz w:val="20"/>
          <w:szCs w:val="20"/>
        </w:rPr>
        <w:t>, John Doyle, Auditor-General, presented a report on the Department of</w:t>
      </w:r>
    </w:p>
    <w:p w:rsidR="00B12AAE" w:rsidRDefault="00B12AAE" w:rsidP="0062574C">
      <w:pPr>
        <w:spacing w:after="0" w:line="240" w:lineRule="auto"/>
        <w:rPr>
          <w:sz w:val="20"/>
          <w:szCs w:val="20"/>
        </w:rPr>
      </w:pPr>
      <w:proofErr w:type="gramStart"/>
      <w:r>
        <w:rPr>
          <w:sz w:val="20"/>
          <w:szCs w:val="20"/>
        </w:rPr>
        <w:t>Environment and Primary Industries’ (DEPI) governance and oversight of committees of management of Crown Land reserves</w:t>
      </w:r>
      <w:r w:rsidR="00264137">
        <w:rPr>
          <w:sz w:val="20"/>
          <w:szCs w:val="20"/>
        </w:rPr>
        <w:t>.</w:t>
      </w:r>
      <w:proofErr w:type="gramEnd"/>
      <w:r>
        <w:rPr>
          <w:sz w:val="20"/>
          <w:szCs w:val="20"/>
        </w:rPr>
        <w:t xml:space="preserve"> </w:t>
      </w:r>
      <w:r w:rsidRPr="00271847">
        <w:rPr>
          <w:sz w:val="20"/>
          <w:szCs w:val="20"/>
        </w:rPr>
        <w:t>The audit assessed whether the support</w:t>
      </w:r>
      <w:r>
        <w:rPr>
          <w:sz w:val="20"/>
          <w:szCs w:val="20"/>
        </w:rPr>
        <w:t xml:space="preserve"> DEPI provides to committees enables them</w:t>
      </w:r>
      <w:r w:rsidRPr="00271847">
        <w:rPr>
          <w:sz w:val="20"/>
          <w:szCs w:val="20"/>
        </w:rPr>
        <w:t xml:space="preserve"> to effectively and efficiently </w:t>
      </w:r>
      <w:r w:rsidR="00F94FCE" w:rsidRPr="00271847">
        <w:rPr>
          <w:sz w:val="20"/>
          <w:szCs w:val="20"/>
        </w:rPr>
        <w:t xml:space="preserve">manage Crown land reserves. The </w:t>
      </w:r>
      <w:r w:rsidR="00F94FCE">
        <w:rPr>
          <w:sz w:val="20"/>
          <w:szCs w:val="20"/>
        </w:rPr>
        <w:t>audit</w:t>
      </w:r>
      <w:r w:rsidR="00F94FCE" w:rsidRPr="00271847">
        <w:rPr>
          <w:sz w:val="20"/>
          <w:szCs w:val="20"/>
        </w:rPr>
        <w:t xml:space="preserve"> </w:t>
      </w:r>
      <w:r w:rsidR="00F94FCE">
        <w:rPr>
          <w:sz w:val="20"/>
          <w:szCs w:val="20"/>
        </w:rPr>
        <w:t xml:space="preserve">report includes </w:t>
      </w:r>
      <w:r w:rsidR="00F94FCE" w:rsidRPr="00271847">
        <w:rPr>
          <w:sz w:val="20"/>
          <w:szCs w:val="20"/>
        </w:rPr>
        <w:t xml:space="preserve">11 recommendations </w:t>
      </w:r>
      <w:r w:rsidR="00F94FCE">
        <w:rPr>
          <w:sz w:val="20"/>
          <w:szCs w:val="20"/>
        </w:rPr>
        <w:t>for</w:t>
      </w:r>
      <w:r>
        <w:rPr>
          <w:sz w:val="20"/>
          <w:szCs w:val="20"/>
        </w:rPr>
        <w:t xml:space="preserve"> improvements.</w:t>
      </w:r>
      <w:r w:rsidR="00F94FCE">
        <w:rPr>
          <w:sz w:val="20"/>
          <w:szCs w:val="20"/>
        </w:rPr>
        <w:t xml:space="preserve"> </w:t>
      </w:r>
    </w:p>
    <w:p w:rsidR="0062574C" w:rsidRDefault="0062574C" w:rsidP="00F94FCE">
      <w:pPr>
        <w:spacing w:after="0"/>
        <w:rPr>
          <w:color w:val="FFFFFF" w:themeColor="background1"/>
          <w:sz w:val="20"/>
          <w:szCs w:val="20"/>
        </w:rPr>
      </w:pPr>
    </w:p>
    <w:p w:rsidR="00F94FCE" w:rsidRPr="00271847" w:rsidRDefault="00F94FCE" w:rsidP="00F94FCE">
      <w:pPr>
        <w:spacing w:after="0"/>
        <w:rPr>
          <w:sz w:val="24"/>
          <w:szCs w:val="24"/>
        </w:rPr>
      </w:pPr>
      <w:r w:rsidRPr="00271847">
        <w:rPr>
          <w:color w:val="F38225"/>
          <w:sz w:val="28"/>
          <w:szCs w:val="28"/>
        </w:rPr>
        <w:t xml:space="preserve">DEPI is taking </w:t>
      </w:r>
      <w:r>
        <w:rPr>
          <w:color w:val="F38225"/>
          <w:sz w:val="28"/>
          <w:szCs w:val="28"/>
        </w:rPr>
        <w:t>steps</w:t>
      </w:r>
      <w:r w:rsidRPr="00271847">
        <w:rPr>
          <w:color w:val="F38225"/>
          <w:sz w:val="28"/>
          <w:szCs w:val="28"/>
        </w:rPr>
        <w:t xml:space="preserve"> to improve i</w:t>
      </w:r>
      <w:r>
        <w:rPr>
          <w:color w:val="F38225"/>
          <w:sz w:val="28"/>
          <w:szCs w:val="28"/>
        </w:rPr>
        <w:t>ts</w:t>
      </w:r>
      <w:r w:rsidRPr="00271847">
        <w:rPr>
          <w:color w:val="F38225"/>
          <w:sz w:val="28"/>
          <w:szCs w:val="28"/>
        </w:rPr>
        <w:t xml:space="preserve"> support for committees of management.  </w:t>
      </w:r>
    </w:p>
    <w:p w:rsidR="00F94FCE" w:rsidRDefault="00F94FCE" w:rsidP="00F94FCE">
      <w:pPr>
        <w:spacing w:after="0"/>
        <w:rPr>
          <w:sz w:val="20"/>
          <w:szCs w:val="20"/>
        </w:rPr>
      </w:pPr>
    </w:p>
    <w:p w:rsidR="00F94FCE" w:rsidRDefault="00F94FCE" w:rsidP="00F94FCE">
      <w:pPr>
        <w:spacing w:after="0"/>
        <w:rPr>
          <w:sz w:val="20"/>
          <w:szCs w:val="20"/>
        </w:rPr>
      </w:pPr>
      <w:r w:rsidRPr="00271847">
        <w:rPr>
          <w:sz w:val="20"/>
          <w:szCs w:val="20"/>
        </w:rPr>
        <w:t xml:space="preserve">DEPI </w:t>
      </w:r>
      <w:r>
        <w:rPr>
          <w:sz w:val="20"/>
          <w:szCs w:val="20"/>
        </w:rPr>
        <w:t>has agreed to tackle the problems identified by the audit and has begun work to address the areas of concern raised in the report.</w:t>
      </w:r>
    </w:p>
    <w:p w:rsidR="00F94FCE" w:rsidRPr="00271847" w:rsidRDefault="00F94FCE" w:rsidP="00F94FCE">
      <w:pPr>
        <w:spacing w:after="0"/>
        <w:rPr>
          <w:sz w:val="20"/>
          <w:szCs w:val="20"/>
        </w:rPr>
      </w:pPr>
      <w:r w:rsidRPr="00271847">
        <w:rPr>
          <w:sz w:val="20"/>
          <w:szCs w:val="20"/>
        </w:rPr>
        <w:t xml:space="preserve"> </w:t>
      </w:r>
    </w:p>
    <w:p w:rsidR="00F94FCE" w:rsidRPr="0097388A" w:rsidRDefault="00F94FCE" w:rsidP="00AE0D03">
      <w:pPr>
        <w:spacing w:after="0"/>
        <w:rPr>
          <w:sz w:val="20"/>
          <w:szCs w:val="20"/>
        </w:rPr>
        <w:sectPr w:rsidR="00F94FCE" w:rsidRPr="0097388A" w:rsidSect="00AE0D03">
          <w:type w:val="continuous"/>
          <w:pgSz w:w="11906" w:h="16838"/>
          <w:pgMar w:top="992" w:right="1440" w:bottom="1440" w:left="1134" w:header="709" w:footer="709" w:gutter="0"/>
          <w:cols w:num="2" w:space="709"/>
          <w:docGrid w:linePitch="360"/>
        </w:sectPr>
      </w:pPr>
      <w:r>
        <w:rPr>
          <w:sz w:val="20"/>
          <w:szCs w:val="20"/>
        </w:rPr>
        <w:t>The report</w:t>
      </w:r>
      <w:r w:rsidR="00264137">
        <w:rPr>
          <w:sz w:val="20"/>
          <w:szCs w:val="20"/>
        </w:rPr>
        <w:t xml:space="preserve">, including </w:t>
      </w:r>
      <w:proofErr w:type="gramStart"/>
      <w:r w:rsidR="00264137">
        <w:rPr>
          <w:sz w:val="20"/>
          <w:szCs w:val="20"/>
        </w:rPr>
        <w:t>DEPI’s</w:t>
      </w:r>
      <w:proofErr w:type="gramEnd"/>
      <w:r w:rsidR="00264137">
        <w:rPr>
          <w:sz w:val="20"/>
          <w:szCs w:val="20"/>
        </w:rPr>
        <w:t xml:space="preserve"> response,</w:t>
      </w:r>
      <w:r>
        <w:rPr>
          <w:sz w:val="20"/>
          <w:szCs w:val="20"/>
        </w:rPr>
        <w:t xml:space="preserve"> can be found at the Victorian Auditor-General’s website:  </w:t>
      </w:r>
      <w:hyperlink r:id="rId15" w:history="1">
        <w:r w:rsidR="0097388A" w:rsidRPr="0062574C">
          <w:rPr>
            <w:rStyle w:val="Hyperlink"/>
            <w:sz w:val="20"/>
            <w:szCs w:val="20"/>
          </w:rPr>
          <w:t>http://www.audit.vic.gov.au</w:t>
        </w:r>
      </w:hyperlink>
    </w:p>
    <w:p w:rsidR="0062574C" w:rsidRDefault="0062574C" w:rsidP="00AE0D03">
      <w:pPr>
        <w:spacing w:after="0"/>
        <w:rPr>
          <w:color w:val="FFFFFF" w:themeColor="background1"/>
          <w:sz w:val="28"/>
          <w:szCs w:val="28"/>
        </w:rPr>
      </w:pPr>
    </w:p>
    <w:p w:rsidR="00B12AAE" w:rsidRDefault="0062574C" w:rsidP="00AE0D03">
      <w:pPr>
        <w:spacing w:after="0"/>
        <w:rPr>
          <w:color w:val="FFFFFF" w:themeColor="background1"/>
          <w:sz w:val="28"/>
          <w:szCs w:val="28"/>
        </w:rPr>
      </w:pPr>
      <w:r>
        <w:rPr>
          <w:color w:val="FFFFFF" w:themeColor="background1"/>
          <w:sz w:val="28"/>
          <w:szCs w:val="28"/>
        </w:rPr>
        <w:t>Peter Beaumont</w:t>
      </w:r>
    </w:p>
    <w:p w:rsidR="0062574C" w:rsidRDefault="0062574C" w:rsidP="00AE0D03">
      <w:pPr>
        <w:spacing w:after="0"/>
        <w:rPr>
          <w:color w:val="FFFFFF" w:themeColor="background1"/>
          <w:sz w:val="28"/>
          <w:szCs w:val="28"/>
        </w:rPr>
      </w:pPr>
    </w:p>
    <w:p w:rsidR="00B12AAE" w:rsidRDefault="00B12AAE" w:rsidP="00AE0D03">
      <w:pPr>
        <w:spacing w:after="0"/>
        <w:rPr>
          <w:color w:val="FFFFFF" w:themeColor="background1"/>
          <w:sz w:val="28"/>
          <w:szCs w:val="28"/>
        </w:rPr>
      </w:pPr>
      <w:r>
        <w:rPr>
          <w:color w:val="FFFFFF" w:themeColor="background1"/>
          <w:sz w:val="28"/>
          <w:szCs w:val="28"/>
        </w:rPr>
        <w:t>Executive Director</w:t>
      </w:r>
    </w:p>
    <w:p w:rsidR="00AE0D03" w:rsidRPr="00AE0D03" w:rsidRDefault="0097388A" w:rsidP="00AD7EEB">
      <w:pPr>
        <w:spacing w:after="0"/>
        <w:rPr>
          <w:color w:val="FFFFFF" w:themeColor="background1"/>
          <w:sz w:val="28"/>
          <w:szCs w:val="28"/>
        </w:rPr>
      </w:pPr>
      <w:r>
        <w:rPr>
          <w:color w:val="FFFFFF" w:themeColor="background1"/>
          <w:sz w:val="28"/>
          <w:szCs w:val="28"/>
        </w:rPr>
        <w:t xml:space="preserve">Land </w:t>
      </w:r>
      <w:r w:rsidRPr="0097388A">
        <w:rPr>
          <w:color w:val="FFFFFF" w:themeColor="background1"/>
          <w:sz w:val="28"/>
          <w:szCs w:val="28"/>
        </w:rPr>
        <w:t>Management Policy</w:t>
      </w:r>
    </w:p>
    <w:p w:rsidR="000E29B5" w:rsidRDefault="001D5CA1" w:rsidP="00AD7EEB">
      <w:pPr>
        <w:spacing w:after="0"/>
        <w:rPr>
          <w:sz w:val="24"/>
          <w:szCs w:val="24"/>
        </w:rPr>
        <w:sectPr w:rsidR="000E29B5" w:rsidSect="000E29B5">
          <w:type w:val="continuous"/>
          <w:pgSz w:w="11906" w:h="16838"/>
          <w:pgMar w:top="567" w:right="1440" w:bottom="1440" w:left="1134" w:header="708" w:footer="708" w:gutter="0"/>
          <w:cols w:num="2" w:space="709"/>
          <w:docGrid w:linePitch="360"/>
        </w:sectPr>
      </w:pPr>
      <w:r w:rsidRPr="00FF323E">
        <w:rPr>
          <w:noProof/>
          <w:u w:val="single"/>
          <w:lang w:eastAsia="en-AU"/>
        </w:rPr>
        <w:drawing>
          <wp:anchor distT="0" distB="0" distL="114300" distR="114300" simplePos="0" relativeHeight="251667456" behindDoc="0" locked="0" layoutInCell="1" allowOverlap="1" wp14:anchorId="606D7FE0" wp14:editId="63CF9136">
            <wp:simplePos x="0" y="0"/>
            <wp:positionH relativeFrom="page">
              <wp:posOffset>5515610</wp:posOffset>
            </wp:positionH>
            <wp:positionV relativeFrom="page">
              <wp:posOffset>10046335</wp:posOffset>
            </wp:positionV>
            <wp:extent cx="1850390" cy="482600"/>
            <wp:effectExtent l="0" t="0" r="0" b="0"/>
            <wp:wrapNone/>
            <wp:docPr id="6" name="Picture 6" descr="C:\Users\SPF\Documents\TMC\DEPI\To mod\DEPI_RGB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VicBrick" descr="C:\Users\SPF\Documents\TMC\DEPI\To mod\DEPI_RGB_righ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039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29B5" w:rsidRDefault="001D5CA1" w:rsidP="00AD7EEB">
      <w:pPr>
        <w:spacing w:after="0"/>
        <w:rPr>
          <w:sz w:val="24"/>
          <w:szCs w:val="24"/>
        </w:rPr>
        <w:sectPr w:rsidR="000E29B5" w:rsidSect="007014E9">
          <w:pgSz w:w="11906" w:h="16838"/>
          <w:pgMar w:top="567" w:right="1440" w:bottom="1440" w:left="1134" w:header="0" w:footer="0" w:gutter="0"/>
          <w:cols w:num="2" w:space="709"/>
          <w:docGrid w:linePitch="360"/>
        </w:sectPr>
      </w:pPr>
      <w:r w:rsidRPr="001D5CA1">
        <w:rPr>
          <w:noProof/>
          <w:color w:val="FFFFFF" w:themeColor="background1"/>
          <w:sz w:val="160"/>
          <w:szCs w:val="72"/>
          <w:lang w:eastAsia="en-AU"/>
        </w:rPr>
        <w:lastRenderedPageBreak/>
        <w:drawing>
          <wp:anchor distT="0" distB="0" distL="114300" distR="114300" simplePos="0" relativeHeight="251665408" behindDoc="1" locked="0" layoutInCell="1" allowOverlap="1" wp14:anchorId="0A3A829F" wp14:editId="01B1D553">
            <wp:simplePos x="0" y="0"/>
            <wp:positionH relativeFrom="page">
              <wp:posOffset>295275</wp:posOffset>
            </wp:positionH>
            <wp:positionV relativeFrom="page">
              <wp:posOffset>200025</wp:posOffset>
            </wp:positionV>
            <wp:extent cx="7799705" cy="93345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5" r="-5245"/>
                    <a:stretch/>
                  </pic:blipFill>
                  <pic:spPr bwMode="auto">
                    <a:xfrm>
                      <a:off x="0" y="0"/>
                      <a:ext cx="779970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29B5" w:rsidRDefault="000E29B5" w:rsidP="001D1B6C">
      <w:pPr>
        <w:spacing w:after="0"/>
        <w:jc w:val="center"/>
        <w:rPr>
          <w:sz w:val="24"/>
          <w:szCs w:val="24"/>
        </w:rPr>
      </w:pPr>
      <w:r w:rsidRPr="001D5CA1">
        <w:rPr>
          <w:color w:val="FFFFFF" w:themeColor="background1"/>
          <w:sz w:val="36"/>
          <w:szCs w:val="24"/>
        </w:rPr>
        <w:lastRenderedPageBreak/>
        <w:t xml:space="preserve">Voluntary Committees of Management Newsletter- Edition </w:t>
      </w:r>
      <w:r w:rsidR="00B73565">
        <w:rPr>
          <w:color w:val="FFFFFF" w:themeColor="background1"/>
          <w:sz w:val="36"/>
          <w:szCs w:val="24"/>
        </w:rPr>
        <w:t>6</w:t>
      </w:r>
    </w:p>
    <w:p w:rsidR="00AE0D03" w:rsidRDefault="00AE0D03" w:rsidP="00AD7EEB">
      <w:pPr>
        <w:spacing w:after="0"/>
        <w:rPr>
          <w:sz w:val="24"/>
          <w:szCs w:val="24"/>
        </w:rPr>
      </w:pPr>
    </w:p>
    <w:p w:rsidR="00AE0D03" w:rsidRDefault="00AE0D03" w:rsidP="00AD7EEB">
      <w:pPr>
        <w:spacing w:after="0"/>
        <w:rPr>
          <w:sz w:val="24"/>
          <w:szCs w:val="24"/>
        </w:rPr>
      </w:pPr>
    </w:p>
    <w:p w:rsidR="001D5CA1" w:rsidRDefault="001D5CA1" w:rsidP="00AD7EEB">
      <w:pPr>
        <w:spacing w:after="0"/>
        <w:rPr>
          <w:sz w:val="24"/>
          <w:szCs w:val="24"/>
        </w:rPr>
        <w:sectPr w:rsidR="001D5CA1" w:rsidSect="001D5CA1">
          <w:type w:val="continuous"/>
          <w:pgSz w:w="11906" w:h="16838"/>
          <w:pgMar w:top="567" w:right="1440" w:bottom="1440" w:left="1134" w:header="708" w:footer="708" w:gutter="0"/>
          <w:cols w:space="709"/>
          <w:docGrid w:linePitch="360"/>
        </w:sectPr>
      </w:pPr>
    </w:p>
    <w:p w:rsidR="004C7A7D" w:rsidRPr="0097388A" w:rsidRDefault="001D5CA1" w:rsidP="004C7A7D">
      <w:pPr>
        <w:spacing w:after="0"/>
        <w:rPr>
          <w:b/>
          <w:sz w:val="24"/>
          <w:szCs w:val="24"/>
        </w:rPr>
      </w:pPr>
      <w:r w:rsidRPr="0097388A">
        <w:rPr>
          <w:b/>
          <w:sz w:val="24"/>
          <w:szCs w:val="24"/>
        </w:rPr>
        <w:lastRenderedPageBreak/>
        <w:t>Money for your committee</w:t>
      </w:r>
    </w:p>
    <w:p w:rsidR="001D5CA1" w:rsidRPr="004C7A7D" w:rsidRDefault="001D5CA1" w:rsidP="00AF5EC7">
      <w:pPr>
        <w:spacing w:before="120" w:after="0"/>
        <w:rPr>
          <w:b/>
          <w:color w:val="595959" w:themeColor="text1" w:themeTint="A6"/>
          <w:sz w:val="28"/>
          <w:szCs w:val="28"/>
        </w:rPr>
      </w:pPr>
      <w:r w:rsidRPr="001D5CA1">
        <w:rPr>
          <w:color w:val="F38225"/>
          <w:sz w:val="28"/>
          <w:szCs w:val="28"/>
        </w:rPr>
        <w:t>Does your Committee have a great project planned to improve your site but no money to fund it? With the right grant, it could be a reality.</w:t>
      </w:r>
    </w:p>
    <w:p w:rsidR="001D5CA1" w:rsidRPr="00A72039" w:rsidRDefault="001D5CA1" w:rsidP="00AF5EC7">
      <w:pPr>
        <w:spacing w:before="120" w:after="240" w:line="240" w:lineRule="auto"/>
        <w:rPr>
          <w:sz w:val="20"/>
          <w:szCs w:val="20"/>
        </w:rPr>
      </w:pPr>
      <w:r w:rsidRPr="00A72039">
        <w:rPr>
          <w:sz w:val="20"/>
          <w:szCs w:val="20"/>
        </w:rPr>
        <w:t>A number of government bodies, Local, State and Federal, offer funding for projects that protect and enhance biodiversity, repair and conserve heritage places and objects, improve fishing and boating facilities, upgrade access to sporting grounds, or include general community works. To make it easier for you, we’ve compiled a short list of opportunities and links to grants you may be eligible for.</w:t>
      </w:r>
    </w:p>
    <w:tbl>
      <w:tblPr>
        <w:tblStyle w:val="TableGrid"/>
        <w:tblW w:w="1063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275"/>
        <w:gridCol w:w="2694"/>
        <w:gridCol w:w="1417"/>
        <w:gridCol w:w="3686"/>
      </w:tblGrid>
      <w:tr w:rsidR="009A01C0" w:rsidRPr="00A72039" w:rsidTr="00B73565">
        <w:tc>
          <w:tcPr>
            <w:tcW w:w="1560" w:type="dxa"/>
          </w:tcPr>
          <w:p w:rsidR="009A01C0" w:rsidRPr="00A72039" w:rsidRDefault="009A01C0" w:rsidP="009A01C0">
            <w:pPr>
              <w:rPr>
                <w:b/>
                <w:sz w:val="20"/>
                <w:szCs w:val="20"/>
              </w:rPr>
            </w:pPr>
            <w:r w:rsidRPr="00A72039">
              <w:rPr>
                <w:b/>
                <w:sz w:val="20"/>
                <w:szCs w:val="20"/>
              </w:rPr>
              <w:t>Name</w:t>
            </w:r>
          </w:p>
        </w:tc>
        <w:tc>
          <w:tcPr>
            <w:tcW w:w="1275" w:type="dxa"/>
          </w:tcPr>
          <w:p w:rsidR="009A01C0" w:rsidRPr="00A72039" w:rsidRDefault="009A01C0" w:rsidP="009A01C0">
            <w:pPr>
              <w:rPr>
                <w:b/>
                <w:sz w:val="20"/>
                <w:szCs w:val="20"/>
              </w:rPr>
            </w:pPr>
            <w:r w:rsidRPr="00A72039">
              <w:rPr>
                <w:b/>
                <w:sz w:val="20"/>
                <w:szCs w:val="20"/>
              </w:rPr>
              <w:t>Amount</w:t>
            </w:r>
          </w:p>
        </w:tc>
        <w:tc>
          <w:tcPr>
            <w:tcW w:w="2694" w:type="dxa"/>
          </w:tcPr>
          <w:p w:rsidR="009A01C0" w:rsidRPr="00A72039" w:rsidRDefault="009A01C0" w:rsidP="009A01C0">
            <w:pPr>
              <w:rPr>
                <w:b/>
                <w:sz w:val="20"/>
                <w:szCs w:val="20"/>
              </w:rPr>
            </w:pPr>
            <w:r w:rsidRPr="00A72039">
              <w:rPr>
                <w:b/>
                <w:sz w:val="20"/>
                <w:szCs w:val="20"/>
              </w:rPr>
              <w:t>Purpose</w:t>
            </w:r>
          </w:p>
        </w:tc>
        <w:tc>
          <w:tcPr>
            <w:tcW w:w="1417" w:type="dxa"/>
          </w:tcPr>
          <w:p w:rsidR="009A01C0" w:rsidRPr="00A72039" w:rsidRDefault="009A01C0" w:rsidP="009A01C0">
            <w:pPr>
              <w:rPr>
                <w:b/>
                <w:sz w:val="20"/>
                <w:szCs w:val="20"/>
              </w:rPr>
            </w:pPr>
            <w:r w:rsidRPr="00A72039">
              <w:rPr>
                <w:b/>
                <w:sz w:val="20"/>
                <w:szCs w:val="20"/>
              </w:rPr>
              <w:t>Open date</w:t>
            </w:r>
          </w:p>
        </w:tc>
        <w:tc>
          <w:tcPr>
            <w:tcW w:w="3686" w:type="dxa"/>
          </w:tcPr>
          <w:p w:rsidR="009A01C0" w:rsidRPr="00A72039" w:rsidRDefault="009A01C0" w:rsidP="009A01C0">
            <w:pPr>
              <w:rPr>
                <w:b/>
                <w:sz w:val="20"/>
                <w:szCs w:val="20"/>
              </w:rPr>
            </w:pPr>
            <w:r w:rsidRPr="00A72039">
              <w:rPr>
                <w:b/>
                <w:sz w:val="20"/>
                <w:szCs w:val="20"/>
              </w:rPr>
              <w:t>Website</w:t>
            </w:r>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Communities for Nature Grant</w:t>
            </w:r>
          </w:p>
        </w:tc>
        <w:tc>
          <w:tcPr>
            <w:tcW w:w="1275" w:type="dxa"/>
          </w:tcPr>
          <w:p w:rsidR="009A01C0" w:rsidRPr="00A72039" w:rsidRDefault="009A01C0" w:rsidP="009A01C0">
            <w:pPr>
              <w:spacing w:before="120" w:after="120"/>
              <w:rPr>
                <w:sz w:val="20"/>
                <w:szCs w:val="20"/>
              </w:rPr>
            </w:pPr>
            <w:r w:rsidRPr="00A72039">
              <w:rPr>
                <w:sz w:val="20"/>
                <w:szCs w:val="20"/>
              </w:rPr>
              <w:t>Up to $10,000</w:t>
            </w:r>
          </w:p>
        </w:tc>
        <w:tc>
          <w:tcPr>
            <w:tcW w:w="2694" w:type="dxa"/>
          </w:tcPr>
          <w:p w:rsidR="009A01C0" w:rsidRPr="00A72039" w:rsidRDefault="009A01C0" w:rsidP="009A01C0">
            <w:pPr>
              <w:spacing w:before="120" w:after="120"/>
              <w:rPr>
                <w:sz w:val="20"/>
                <w:szCs w:val="20"/>
              </w:rPr>
            </w:pPr>
            <w:r w:rsidRPr="00A72039">
              <w:rPr>
                <w:sz w:val="20"/>
                <w:szCs w:val="20"/>
              </w:rPr>
              <w:t>Biodiversity/ habitat preservation; revegetation; waterway clean up; control pests/ weeds</w:t>
            </w:r>
          </w:p>
        </w:tc>
        <w:tc>
          <w:tcPr>
            <w:tcW w:w="1417" w:type="dxa"/>
          </w:tcPr>
          <w:p w:rsidR="009A01C0" w:rsidRPr="00A72039" w:rsidRDefault="00264137" w:rsidP="009A01C0">
            <w:pPr>
              <w:spacing w:before="120" w:after="120"/>
              <w:rPr>
                <w:sz w:val="20"/>
                <w:szCs w:val="20"/>
              </w:rPr>
            </w:pPr>
            <w:r>
              <w:rPr>
                <w:sz w:val="20"/>
                <w:szCs w:val="20"/>
              </w:rPr>
              <w:t>Now open, closes April 11</w:t>
            </w:r>
          </w:p>
        </w:tc>
        <w:tc>
          <w:tcPr>
            <w:tcW w:w="3686" w:type="dxa"/>
          </w:tcPr>
          <w:p w:rsidR="009A01C0" w:rsidRPr="00A72039" w:rsidRDefault="00236FBF" w:rsidP="009A01C0">
            <w:pPr>
              <w:spacing w:before="120" w:after="120"/>
              <w:rPr>
                <w:sz w:val="20"/>
                <w:szCs w:val="20"/>
              </w:rPr>
            </w:pPr>
            <w:hyperlink r:id="rId17" w:history="1">
              <w:r w:rsidR="009A01C0" w:rsidRPr="00A72039">
                <w:rPr>
                  <w:rStyle w:val="Hyperlink"/>
                  <w:rFonts w:eastAsia="Times New Roman" w:cstheme="minorHAnsi"/>
                  <w:sz w:val="20"/>
                  <w:szCs w:val="20"/>
                  <w:lang w:val="en" w:eastAsia="en-AU"/>
                </w:rPr>
                <w:t>www.depi.vic.gov.au/environment-and-wildlife/community-programs/communities-for-nature-grants</w:t>
              </w:r>
            </w:hyperlink>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 xml:space="preserve">Community Environment Grant </w:t>
            </w:r>
          </w:p>
        </w:tc>
        <w:tc>
          <w:tcPr>
            <w:tcW w:w="1275" w:type="dxa"/>
          </w:tcPr>
          <w:p w:rsidR="009A01C0" w:rsidRPr="00A72039" w:rsidRDefault="009A01C0" w:rsidP="009A01C0">
            <w:pPr>
              <w:spacing w:before="120" w:after="120"/>
              <w:rPr>
                <w:sz w:val="20"/>
                <w:szCs w:val="20"/>
              </w:rPr>
            </w:pPr>
            <w:r w:rsidRPr="00A72039">
              <w:rPr>
                <w:sz w:val="20"/>
                <w:szCs w:val="20"/>
              </w:rPr>
              <w:t>Up to $50,000</w:t>
            </w:r>
          </w:p>
        </w:tc>
        <w:tc>
          <w:tcPr>
            <w:tcW w:w="2694" w:type="dxa"/>
          </w:tcPr>
          <w:p w:rsidR="009A01C0" w:rsidRPr="00A72039" w:rsidRDefault="009A01C0" w:rsidP="009A01C0">
            <w:pPr>
              <w:spacing w:before="120" w:after="120"/>
              <w:rPr>
                <w:sz w:val="20"/>
                <w:szCs w:val="20"/>
              </w:rPr>
            </w:pPr>
            <w:r w:rsidRPr="00A72039">
              <w:rPr>
                <w:sz w:val="20"/>
                <w:szCs w:val="20"/>
              </w:rPr>
              <w:t>Maintain sustainable environment; environmental/ cultural values</w:t>
            </w:r>
          </w:p>
        </w:tc>
        <w:tc>
          <w:tcPr>
            <w:tcW w:w="1417" w:type="dxa"/>
          </w:tcPr>
          <w:p w:rsidR="009A01C0" w:rsidRPr="00A72039" w:rsidRDefault="00264137" w:rsidP="009A01C0">
            <w:pPr>
              <w:spacing w:before="120" w:after="120"/>
              <w:rPr>
                <w:sz w:val="20"/>
                <w:szCs w:val="20"/>
              </w:rPr>
            </w:pPr>
            <w:r w:rsidRPr="00A72039">
              <w:rPr>
                <w:sz w:val="20"/>
                <w:szCs w:val="20"/>
              </w:rPr>
              <w:t>Not yet announced- check website</w:t>
            </w:r>
          </w:p>
        </w:tc>
        <w:tc>
          <w:tcPr>
            <w:tcW w:w="3686" w:type="dxa"/>
          </w:tcPr>
          <w:p w:rsidR="009A01C0" w:rsidRPr="00A72039" w:rsidRDefault="00236FBF" w:rsidP="009A01C0">
            <w:pPr>
              <w:spacing w:before="120" w:after="120"/>
              <w:rPr>
                <w:sz w:val="20"/>
                <w:szCs w:val="20"/>
              </w:rPr>
            </w:pPr>
            <w:hyperlink r:id="rId18" w:history="1">
              <w:r w:rsidR="009A01C0" w:rsidRPr="00A72039">
                <w:rPr>
                  <w:rStyle w:val="Hyperlink"/>
                  <w:sz w:val="20"/>
                  <w:szCs w:val="20"/>
                </w:rPr>
                <w:t>www.nrm.gov.au/funding/environment/ceg/index.html</w:t>
              </w:r>
            </w:hyperlink>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Recreational Fishing Grants Program</w:t>
            </w:r>
          </w:p>
        </w:tc>
        <w:tc>
          <w:tcPr>
            <w:tcW w:w="1275" w:type="dxa"/>
          </w:tcPr>
          <w:p w:rsidR="009A01C0" w:rsidRPr="00A72039" w:rsidRDefault="009A01C0" w:rsidP="009A01C0">
            <w:pPr>
              <w:spacing w:before="120" w:after="120"/>
              <w:rPr>
                <w:sz w:val="20"/>
                <w:szCs w:val="20"/>
              </w:rPr>
            </w:pPr>
            <w:r w:rsidRPr="00A72039">
              <w:rPr>
                <w:sz w:val="20"/>
                <w:szCs w:val="20"/>
              </w:rPr>
              <w:t>Up to $5,000</w:t>
            </w:r>
          </w:p>
        </w:tc>
        <w:tc>
          <w:tcPr>
            <w:tcW w:w="2694" w:type="dxa"/>
          </w:tcPr>
          <w:p w:rsidR="009A01C0" w:rsidRPr="00A72039" w:rsidRDefault="009A01C0" w:rsidP="009A01C0">
            <w:pPr>
              <w:spacing w:before="120" w:after="120"/>
              <w:rPr>
                <w:sz w:val="20"/>
                <w:szCs w:val="20"/>
              </w:rPr>
            </w:pPr>
            <w:r w:rsidRPr="00A72039">
              <w:rPr>
                <w:sz w:val="20"/>
                <w:szCs w:val="20"/>
              </w:rPr>
              <w:t>Improve/ implement fishing facilities; promote responsible recreational fishing</w:t>
            </w:r>
          </w:p>
        </w:tc>
        <w:tc>
          <w:tcPr>
            <w:tcW w:w="1417" w:type="dxa"/>
          </w:tcPr>
          <w:p w:rsidR="009A01C0" w:rsidRPr="00A72039" w:rsidRDefault="009A01C0" w:rsidP="009A01C0">
            <w:pPr>
              <w:spacing w:before="120" w:after="120"/>
              <w:rPr>
                <w:sz w:val="20"/>
                <w:szCs w:val="20"/>
              </w:rPr>
            </w:pPr>
            <w:r w:rsidRPr="00A72039">
              <w:rPr>
                <w:sz w:val="20"/>
                <w:szCs w:val="20"/>
              </w:rPr>
              <w:t>Ongoing, apply any time</w:t>
            </w:r>
          </w:p>
        </w:tc>
        <w:tc>
          <w:tcPr>
            <w:tcW w:w="3686" w:type="dxa"/>
          </w:tcPr>
          <w:p w:rsidR="009A01C0" w:rsidRPr="00A72039" w:rsidRDefault="00236FBF" w:rsidP="009A01C0">
            <w:pPr>
              <w:spacing w:before="120" w:after="120"/>
              <w:rPr>
                <w:sz w:val="20"/>
                <w:szCs w:val="20"/>
              </w:rPr>
            </w:pPr>
            <w:hyperlink r:id="rId19" w:history="1">
              <w:r w:rsidR="009A01C0" w:rsidRPr="00A72039">
                <w:rPr>
                  <w:rStyle w:val="Hyperlink"/>
                  <w:sz w:val="20"/>
                  <w:szCs w:val="20"/>
                </w:rPr>
                <w:t>www.dpi.vic.gov.au/fisheries/about-fisheries/fishing-grants-program</w:t>
              </w:r>
            </w:hyperlink>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Boating Safety Grants</w:t>
            </w:r>
          </w:p>
        </w:tc>
        <w:tc>
          <w:tcPr>
            <w:tcW w:w="1275" w:type="dxa"/>
          </w:tcPr>
          <w:p w:rsidR="009A01C0" w:rsidRPr="00A72039" w:rsidRDefault="009A01C0" w:rsidP="009A01C0">
            <w:pPr>
              <w:spacing w:before="120" w:after="120"/>
              <w:rPr>
                <w:sz w:val="20"/>
                <w:szCs w:val="20"/>
              </w:rPr>
            </w:pPr>
            <w:r w:rsidRPr="00A72039">
              <w:rPr>
                <w:sz w:val="20"/>
                <w:szCs w:val="20"/>
              </w:rPr>
              <w:t>Unspecified</w:t>
            </w:r>
          </w:p>
        </w:tc>
        <w:tc>
          <w:tcPr>
            <w:tcW w:w="2694" w:type="dxa"/>
          </w:tcPr>
          <w:p w:rsidR="009A01C0" w:rsidRPr="00A72039" w:rsidRDefault="009A01C0" w:rsidP="009A01C0">
            <w:pPr>
              <w:spacing w:before="120" w:after="120"/>
              <w:rPr>
                <w:sz w:val="20"/>
                <w:szCs w:val="20"/>
              </w:rPr>
            </w:pPr>
            <w:r w:rsidRPr="00A72039">
              <w:rPr>
                <w:sz w:val="20"/>
                <w:szCs w:val="20"/>
              </w:rPr>
              <w:t>Develop/ upgrade boating facilities</w:t>
            </w:r>
          </w:p>
        </w:tc>
        <w:tc>
          <w:tcPr>
            <w:tcW w:w="1417" w:type="dxa"/>
          </w:tcPr>
          <w:p w:rsidR="009A01C0" w:rsidRPr="00A72039" w:rsidRDefault="009A01C0" w:rsidP="009A01C0">
            <w:pPr>
              <w:spacing w:before="120" w:after="120"/>
              <w:rPr>
                <w:sz w:val="20"/>
                <w:szCs w:val="20"/>
              </w:rPr>
            </w:pPr>
            <w:r w:rsidRPr="00A72039">
              <w:rPr>
                <w:sz w:val="20"/>
                <w:szCs w:val="20"/>
              </w:rPr>
              <w:t>July/ August 2014</w:t>
            </w:r>
          </w:p>
        </w:tc>
        <w:tc>
          <w:tcPr>
            <w:tcW w:w="3686" w:type="dxa"/>
          </w:tcPr>
          <w:p w:rsidR="009A01C0" w:rsidRPr="00A72039" w:rsidRDefault="00236FBF" w:rsidP="009A01C0">
            <w:pPr>
              <w:spacing w:before="120" w:after="120"/>
              <w:rPr>
                <w:sz w:val="20"/>
                <w:szCs w:val="20"/>
              </w:rPr>
            </w:pPr>
            <w:hyperlink r:id="rId20" w:history="1">
              <w:r w:rsidR="009A01C0" w:rsidRPr="00A72039">
                <w:rPr>
                  <w:rStyle w:val="Hyperlink"/>
                  <w:sz w:val="20"/>
                  <w:szCs w:val="20"/>
                </w:rPr>
                <w:t>www.transport.vic.gov.au/freight/boating-safety-and-facilities-program</w:t>
              </w:r>
            </w:hyperlink>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Community Facility Funding Program</w:t>
            </w:r>
          </w:p>
        </w:tc>
        <w:tc>
          <w:tcPr>
            <w:tcW w:w="1275" w:type="dxa"/>
          </w:tcPr>
          <w:p w:rsidR="009A01C0" w:rsidRPr="00A72039" w:rsidRDefault="009A01C0" w:rsidP="009A01C0">
            <w:pPr>
              <w:spacing w:before="120" w:after="120"/>
              <w:rPr>
                <w:sz w:val="20"/>
                <w:szCs w:val="20"/>
              </w:rPr>
            </w:pPr>
            <w:r w:rsidRPr="00A72039">
              <w:rPr>
                <w:sz w:val="20"/>
                <w:szCs w:val="20"/>
              </w:rPr>
              <w:t>Minor Grants up to $100,000</w:t>
            </w:r>
          </w:p>
        </w:tc>
        <w:tc>
          <w:tcPr>
            <w:tcW w:w="2694" w:type="dxa"/>
          </w:tcPr>
          <w:p w:rsidR="009A01C0" w:rsidRPr="00A72039" w:rsidRDefault="009A01C0" w:rsidP="009A01C0">
            <w:pPr>
              <w:spacing w:before="120" w:after="120"/>
              <w:rPr>
                <w:sz w:val="20"/>
                <w:szCs w:val="20"/>
              </w:rPr>
            </w:pPr>
            <w:r w:rsidRPr="00A72039">
              <w:rPr>
                <w:sz w:val="20"/>
                <w:szCs w:val="20"/>
              </w:rPr>
              <w:t>Develop/ upgrade community sport and rec. facilities with local govt. authorities</w:t>
            </w:r>
          </w:p>
        </w:tc>
        <w:tc>
          <w:tcPr>
            <w:tcW w:w="1417" w:type="dxa"/>
          </w:tcPr>
          <w:p w:rsidR="009A01C0" w:rsidRPr="00A72039" w:rsidRDefault="00D159DB" w:rsidP="009A01C0">
            <w:pPr>
              <w:spacing w:before="120" w:after="120"/>
              <w:rPr>
                <w:sz w:val="20"/>
                <w:szCs w:val="20"/>
              </w:rPr>
            </w:pPr>
            <w:r w:rsidRPr="00A72039">
              <w:rPr>
                <w:sz w:val="20"/>
                <w:szCs w:val="20"/>
              </w:rPr>
              <w:t>March/ April 2014-check website</w:t>
            </w:r>
          </w:p>
        </w:tc>
        <w:tc>
          <w:tcPr>
            <w:tcW w:w="3686" w:type="dxa"/>
          </w:tcPr>
          <w:p w:rsidR="009A01C0" w:rsidRPr="00A72039" w:rsidRDefault="00236FBF" w:rsidP="009A01C0">
            <w:pPr>
              <w:spacing w:before="120" w:after="120"/>
              <w:rPr>
                <w:sz w:val="20"/>
                <w:szCs w:val="20"/>
              </w:rPr>
            </w:pPr>
            <w:hyperlink r:id="rId21" w:history="1">
              <w:r w:rsidR="009A01C0" w:rsidRPr="00A72039">
                <w:rPr>
                  <w:rStyle w:val="Hyperlink"/>
                  <w:sz w:val="20"/>
                  <w:szCs w:val="20"/>
                </w:rPr>
                <w:t>www.dpcd.vic.gov.au/home/grants/all-grants/community-facilities-funding-program</w:t>
              </w:r>
            </w:hyperlink>
          </w:p>
        </w:tc>
      </w:tr>
      <w:tr w:rsidR="009A01C0" w:rsidRPr="00A72039" w:rsidTr="00B73565">
        <w:tc>
          <w:tcPr>
            <w:tcW w:w="1560" w:type="dxa"/>
          </w:tcPr>
          <w:p w:rsidR="009A01C0" w:rsidRPr="00A72039" w:rsidRDefault="009A01C0" w:rsidP="009A01C0">
            <w:pPr>
              <w:spacing w:before="120" w:after="120"/>
              <w:rPr>
                <w:sz w:val="20"/>
                <w:szCs w:val="20"/>
              </w:rPr>
            </w:pPr>
            <w:r w:rsidRPr="00A72039">
              <w:rPr>
                <w:sz w:val="20"/>
                <w:szCs w:val="20"/>
              </w:rPr>
              <w:t>Victorian Heritage Register Places and Objects Fund</w:t>
            </w:r>
          </w:p>
        </w:tc>
        <w:tc>
          <w:tcPr>
            <w:tcW w:w="1275" w:type="dxa"/>
          </w:tcPr>
          <w:p w:rsidR="009A01C0" w:rsidRPr="00A72039" w:rsidRDefault="009A01C0" w:rsidP="009A01C0">
            <w:pPr>
              <w:spacing w:before="120" w:after="120"/>
              <w:rPr>
                <w:sz w:val="20"/>
                <w:szCs w:val="20"/>
              </w:rPr>
            </w:pPr>
            <w:r w:rsidRPr="00A72039">
              <w:rPr>
                <w:sz w:val="20"/>
                <w:szCs w:val="20"/>
              </w:rPr>
              <w:t>Up to $200,000</w:t>
            </w:r>
          </w:p>
        </w:tc>
        <w:tc>
          <w:tcPr>
            <w:tcW w:w="2694" w:type="dxa"/>
          </w:tcPr>
          <w:p w:rsidR="009A01C0" w:rsidRPr="00A72039" w:rsidRDefault="009A01C0" w:rsidP="009A01C0">
            <w:pPr>
              <w:spacing w:before="120" w:after="120"/>
              <w:rPr>
                <w:sz w:val="20"/>
                <w:szCs w:val="20"/>
              </w:rPr>
            </w:pPr>
            <w:r w:rsidRPr="00A72039">
              <w:rPr>
                <w:sz w:val="20"/>
                <w:szCs w:val="20"/>
              </w:rPr>
              <w:t>Repair/ conservation publicly-accessible places and objects on Victorian Heritage Register</w:t>
            </w:r>
          </w:p>
        </w:tc>
        <w:tc>
          <w:tcPr>
            <w:tcW w:w="1417" w:type="dxa"/>
          </w:tcPr>
          <w:p w:rsidR="009A01C0" w:rsidRPr="00A72039" w:rsidRDefault="009A01C0" w:rsidP="009A01C0">
            <w:pPr>
              <w:spacing w:before="120" w:after="120"/>
              <w:rPr>
                <w:sz w:val="20"/>
                <w:szCs w:val="20"/>
              </w:rPr>
            </w:pPr>
            <w:r w:rsidRPr="00A72039">
              <w:rPr>
                <w:sz w:val="20"/>
                <w:szCs w:val="20"/>
              </w:rPr>
              <w:t>Two rounds before July 2015</w:t>
            </w:r>
          </w:p>
        </w:tc>
        <w:tc>
          <w:tcPr>
            <w:tcW w:w="3686" w:type="dxa"/>
          </w:tcPr>
          <w:p w:rsidR="009A01C0" w:rsidRPr="00A72039" w:rsidRDefault="00236FBF" w:rsidP="009A01C0">
            <w:pPr>
              <w:spacing w:before="120" w:after="120"/>
              <w:rPr>
                <w:sz w:val="20"/>
                <w:szCs w:val="20"/>
              </w:rPr>
            </w:pPr>
            <w:hyperlink r:id="rId22" w:history="1">
              <w:r w:rsidR="009A01C0" w:rsidRPr="00A72039">
                <w:rPr>
                  <w:rStyle w:val="Hyperlink"/>
                  <w:sz w:val="20"/>
                  <w:szCs w:val="20"/>
                </w:rPr>
                <w:t>www.dpcd.vic.gov.au/heritage/grants</w:t>
              </w:r>
            </w:hyperlink>
          </w:p>
        </w:tc>
      </w:tr>
    </w:tbl>
    <w:p w:rsidR="009A01C0" w:rsidRPr="001D09A0" w:rsidRDefault="001D09A0" w:rsidP="00AF5EC7">
      <w:pPr>
        <w:spacing w:before="120" w:after="120" w:line="240" w:lineRule="auto"/>
        <w:rPr>
          <w:color w:val="F38225"/>
          <w:sz w:val="28"/>
          <w:szCs w:val="28"/>
        </w:rPr>
      </w:pPr>
      <w:r w:rsidRPr="001D09A0">
        <w:rPr>
          <w:color w:val="F38225"/>
          <w:sz w:val="28"/>
          <w:szCs w:val="28"/>
        </w:rPr>
        <w:t>Other Places to find grants</w:t>
      </w:r>
      <w:r w:rsidR="009A01C0" w:rsidRPr="001D09A0">
        <w:rPr>
          <w:color w:val="F38225"/>
          <w:sz w:val="28"/>
          <w:szCs w:val="28"/>
        </w:rPr>
        <w:t xml:space="preserve"> </w:t>
      </w:r>
    </w:p>
    <w:p w:rsidR="009A01C0" w:rsidRPr="00A72039" w:rsidRDefault="009A01C0" w:rsidP="00AF5EC7">
      <w:pPr>
        <w:spacing w:before="120" w:after="120" w:line="240" w:lineRule="auto"/>
        <w:rPr>
          <w:sz w:val="20"/>
          <w:szCs w:val="20"/>
        </w:rPr>
      </w:pPr>
      <w:r w:rsidRPr="00A72039">
        <w:rPr>
          <w:sz w:val="20"/>
          <w:szCs w:val="20"/>
        </w:rPr>
        <w:t>Che</w:t>
      </w:r>
      <w:r w:rsidR="00CC37A5" w:rsidRPr="00A72039">
        <w:rPr>
          <w:sz w:val="20"/>
          <w:szCs w:val="20"/>
        </w:rPr>
        <w:t>ck your Local Council’s website</w:t>
      </w:r>
      <w:r w:rsidRPr="00A72039">
        <w:rPr>
          <w:sz w:val="20"/>
          <w:szCs w:val="20"/>
        </w:rPr>
        <w:t xml:space="preserve"> </w:t>
      </w:r>
      <w:hyperlink r:id="rId23" w:history="1">
        <w:r w:rsidRPr="00A72039">
          <w:rPr>
            <w:rStyle w:val="Hyperlink"/>
            <w:sz w:val="20"/>
            <w:szCs w:val="20"/>
          </w:rPr>
          <w:t>www.dpcd.vic.gov.au/localgovernment/find-your-local-council</w:t>
        </w:r>
      </w:hyperlink>
      <w:r w:rsidRPr="00A72039">
        <w:rPr>
          <w:sz w:val="20"/>
          <w:szCs w:val="20"/>
        </w:rPr>
        <w:t xml:space="preserve"> as they have grants available from time to time.</w:t>
      </w:r>
    </w:p>
    <w:p w:rsidR="009A01C0" w:rsidRPr="00A72039" w:rsidRDefault="000B1630" w:rsidP="00AF5EC7">
      <w:pPr>
        <w:spacing w:before="120" w:after="120" w:line="240" w:lineRule="auto"/>
        <w:rPr>
          <w:sz w:val="20"/>
          <w:szCs w:val="20"/>
        </w:rPr>
      </w:pPr>
      <w:r w:rsidRPr="00A72039">
        <w:rPr>
          <w:sz w:val="20"/>
          <w:szCs w:val="20"/>
        </w:rPr>
        <w:t xml:space="preserve"> Grants Victoria </w:t>
      </w:r>
      <w:hyperlink r:id="rId24" w:history="1">
        <w:r w:rsidR="009A01C0" w:rsidRPr="00A72039">
          <w:rPr>
            <w:rStyle w:val="Hyperlink"/>
            <w:sz w:val="20"/>
            <w:szCs w:val="20"/>
          </w:rPr>
          <w:t>www.vic.gov.au/grants.html</w:t>
        </w:r>
      </w:hyperlink>
      <w:r w:rsidR="009A01C0" w:rsidRPr="00A72039">
        <w:rPr>
          <w:sz w:val="20"/>
          <w:szCs w:val="20"/>
        </w:rPr>
        <w:t xml:space="preserve"> allows you to search for grants using this Victorian Government directory</w:t>
      </w:r>
      <w:r w:rsidR="001D1B6C" w:rsidRPr="00A72039">
        <w:rPr>
          <w:sz w:val="20"/>
          <w:szCs w:val="20"/>
        </w:rPr>
        <w:t>.</w:t>
      </w:r>
    </w:p>
    <w:p w:rsidR="001D1B6C" w:rsidRPr="00A72039" w:rsidRDefault="001D1B6C" w:rsidP="00AF5EC7">
      <w:pPr>
        <w:spacing w:before="120" w:after="120" w:line="240" w:lineRule="auto"/>
        <w:rPr>
          <w:sz w:val="20"/>
          <w:szCs w:val="20"/>
        </w:rPr>
      </w:pPr>
      <w:r w:rsidRPr="00A72039">
        <w:rPr>
          <w:noProof/>
          <w:sz w:val="20"/>
          <w:szCs w:val="20"/>
          <w:u w:val="single"/>
          <w:lang w:eastAsia="en-AU"/>
        </w:rPr>
        <w:drawing>
          <wp:anchor distT="0" distB="0" distL="114300" distR="114300" simplePos="0" relativeHeight="251669504" behindDoc="0" locked="0" layoutInCell="1" allowOverlap="1" wp14:anchorId="359A9F18" wp14:editId="07D63410">
            <wp:simplePos x="0" y="0"/>
            <wp:positionH relativeFrom="page">
              <wp:posOffset>5467985</wp:posOffset>
            </wp:positionH>
            <wp:positionV relativeFrom="page">
              <wp:posOffset>10046335</wp:posOffset>
            </wp:positionV>
            <wp:extent cx="1850390" cy="482600"/>
            <wp:effectExtent l="0" t="0" r="0" b="0"/>
            <wp:wrapNone/>
            <wp:docPr id="7" name="Picture 7" descr="C:\Users\SPF\Documents\TMC\DEPI\To mod\DEPI_RGB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VicBrick" descr="C:\Users\SPF\Documents\TMC\DEPI\To mod\DEPI_RGB_righ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039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A01C0" w:rsidRPr="00A72039">
        <w:rPr>
          <w:sz w:val="20"/>
          <w:szCs w:val="20"/>
        </w:rPr>
        <w:t>GrantsLINK</w:t>
      </w:r>
      <w:proofErr w:type="spellEnd"/>
      <w:r w:rsidRPr="00A72039">
        <w:rPr>
          <w:sz w:val="20"/>
          <w:szCs w:val="20"/>
        </w:rPr>
        <w:t xml:space="preserve"> </w:t>
      </w:r>
      <w:hyperlink r:id="rId25" w:history="1">
        <w:r w:rsidRPr="00A72039">
          <w:rPr>
            <w:rStyle w:val="Hyperlink"/>
            <w:sz w:val="20"/>
            <w:szCs w:val="20"/>
          </w:rPr>
          <w:t>www.grantslink.gov.au</w:t>
        </w:r>
      </w:hyperlink>
      <w:r w:rsidRPr="00A72039">
        <w:rPr>
          <w:sz w:val="20"/>
          <w:szCs w:val="20"/>
        </w:rPr>
        <w:t xml:space="preserve"> is a one-stop shop for Australian Government grants, and includes links to Victorian State Government grants</w:t>
      </w:r>
    </w:p>
    <w:p w:rsidR="0050351C" w:rsidRDefault="001D1B6C" w:rsidP="0050351C">
      <w:r>
        <w:br w:type="page"/>
      </w:r>
    </w:p>
    <w:p w:rsidR="001D5CA1" w:rsidRPr="001D1B6C" w:rsidRDefault="00DF4E91" w:rsidP="0050351C">
      <w:pPr>
        <w:sectPr w:rsidR="001D5CA1" w:rsidRPr="001D1B6C" w:rsidSect="007014E9">
          <w:type w:val="continuous"/>
          <w:pgSz w:w="11906" w:h="16838"/>
          <w:pgMar w:top="567" w:right="707" w:bottom="1440" w:left="567" w:header="0" w:footer="0" w:gutter="0"/>
          <w:cols w:space="709"/>
          <w:docGrid w:linePitch="360"/>
        </w:sectPr>
      </w:pPr>
      <w:r w:rsidRPr="001D5CA1">
        <w:rPr>
          <w:noProof/>
          <w:color w:val="FFFFFF" w:themeColor="background1"/>
          <w:sz w:val="160"/>
          <w:szCs w:val="72"/>
          <w:lang w:eastAsia="en-AU"/>
        </w:rPr>
        <w:lastRenderedPageBreak/>
        <w:drawing>
          <wp:anchor distT="0" distB="0" distL="114300" distR="114300" simplePos="0" relativeHeight="251671552" behindDoc="1" locked="0" layoutInCell="1" allowOverlap="1" wp14:anchorId="1AE7419F" wp14:editId="34CD2031">
            <wp:simplePos x="0" y="0"/>
            <wp:positionH relativeFrom="page">
              <wp:posOffset>287020</wp:posOffset>
            </wp:positionH>
            <wp:positionV relativeFrom="page">
              <wp:posOffset>190500</wp:posOffset>
            </wp:positionV>
            <wp:extent cx="7799705" cy="9334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5" r="-5245"/>
                    <a:stretch/>
                  </pic:blipFill>
                  <pic:spPr bwMode="auto">
                    <a:xfrm>
                      <a:off x="0" y="0"/>
                      <a:ext cx="779970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4E91" w:rsidRPr="00A72039" w:rsidRDefault="00DF4E91" w:rsidP="0050351C">
      <w:pPr>
        <w:spacing w:after="0" w:line="240" w:lineRule="auto"/>
        <w:rPr>
          <w:color w:val="FFFFFF" w:themeColor="background1"/>
          <w:sz w:val="36"/>
          <w:szCs w:val="24"/>
        </w:rPr>
        <w:sectPr w:rsidR="00DF4E91" w:rsidRPr="00A72039" w:rsidSect="00DF4E91">
          <w:type w:val="continuous"/>
          <w:pgSz w:w="11906" w:h="16838"/>
          <w:pgMar w:top="567" w:right="1440" w:bottom="1440" w:left="1134" w:header="708" w:footer="708" w:gutter="0"/>
          <w:cols w:space="709"/>
          <w:docGrid w:linePitch="360"/>
        </w:sectPr>
      </w:pPr>
      <w:r w:rsidRPr="001D5CA1">
        <w:rPr>
          <w:color w:val="FFFFFF" w:themeColor="background1"/>
          <w:sz w:val="36"/>
          <w:szCs w:val="24"/>
        </w:rPr>
        <w:lastRenderedPageBreak/>
        <w:t xml:space="preserve">Voluntary Committees of Management Newsletter- Edition </w:t>
      </w:r>
      <w:r w:rsidR="00A72039">
        <w:rPr>
          <w:color w:val="FFFFFF" w:themeColor="background1"/>
          <w:sz w:val="36"/>
          <w:szCs w:val="24"/>
        </w:rPr>
        <w:t>6</w:t>
      </w:r>
    </w:p>
    <w:p w:rsidR="00DF4E91" w:rsidRDefault="00DF4E91" w:rsidP="00AD7EEB">
      <w:pPr>
        <w:spacing w:after="0"/>
        <w:rPr>
          <w:b/>
          <w:sz w:val="24"/>
          <w:szCs w:val="24"/>
        </w:rPr>
        <w:sectPr w:rsidR="00DF4E91" w:rsidSect="00DF4E91">
          <w:type w:val="continuous"/>
          <w:pgSz w:w="11906" w:h="16838"/>
          <w:pgMar w:top="567" w:right="1440" w:bottom="1440" w:left="1134" w:header="708" w:footer="708" w:gutter="0"/>
          <w:cols w:space="709"/>
          <w:docGrid w:linePitch="360"/>
        </w:sectPr>
      </w:pPr>
    </w:p>
    <w:p w:rsidR="00AD7EEB" w:rsidRPr="00A72039" w:rsidRDefault="00AD7EEB" w:rsidP="00A72039">
      <w:pPr>
        <w:spacing w:before="120" w:after="0" w:line="240" w:lineRule="auto"/>
        <w:rPr>
          <w:sz w:val="24"/>
          <w:szCs w:val="24"/>
        </w:rPr>
      </w:pPr>
      <w:r w:rsidRPr="00A72039">
        <w:rPr>
          <w:b/>
          <w:noProof/>
          <w:sz w:val="24"/>
          <w:szCs w:val="24"/>
          <w:u w:val="single"/>
          <w:lang w:eastAsia="en-AU"/>
        </w:rPr>
        <w:lastRenderedPageBreak/>
        <w:drawing>
          <wp:anchor distT="0" distB="0" distL="114300" distR="114300" simplePos="0" relativeHeight="251661312" behindDoc="0" locked="0" layoutInCell="1" allowOverlap="1" wp14:anchorId="45256039" wp14:editId="45E93616">
            <wp:simplePos x="0" y="0"/>
            <wp:positionH relativeFrom="page">
              <wp:posOffset>5515610</wp:posOffset>
            </wp:positionH>
            <wp:positionV relativeFrom="page">
              <wp:posOffset>10065385</wp:posOffset>
            </wp:positionV>
            <wp:extent cx="1850390" cy="482600"/>
            <wp:effectExtent l="0" t="0" r="0" b="0"/>
            <wp:wrapNone/>
            <wp:docPr id="16" name="Picture 16" descr="C:\Users\SPF\Documents\TMC\DEPI\To mod\DEPI_RGB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VicBrick" descr="C:\Users\SPF\Documents\TMC\DEPI\To mod\DEPI_RGB_righ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039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6C" w:rsidRPr="00A72039">
        <w:rPr>
          <w:b/>
          <w:sz w:val="24"/>
          <w:szCs w:val="24"/>
        </w:rPr>
        <w:t>Ensure you get that grant using our list of ten tips for successful grant applications</w:t>
      </w:r>
    </w:p>
    <w:p w:rsidR="001D1B6C" w:rsidRDefault="001D1B6C" w:rsidP="00DF4E91">
      <w:pPr>
        <w:pStyle w:val="ListParagraph"/>
        <w:spacing w:after="0" w:line="240" w:lineRule="auto"/>
        <w:ind w:left="284"/>
        <w:jc w:val="both"/>
      </w:pPr>
    </w:p>
    <w:p w:rsidR="001D1B6C" w:rsidRPr="00A72039" w:rsidRDefault="001D1B6C" w:rsidP="007014E9">
      <w:pPr>
        <w:pStyle w:val="ListParagraph"/>
        <w:numPr>
          <w:ilvl w:val="0"/>
          <w:numId w:val="4"/>
        </w:numPr>
        <w:spacing w:after="120" w:line="300" w:lineRule="exact"/>
        <w:ind w:left="0" w:firstLine="0"/>
        <w:rPr>
          <w:sz w:val="20"/>
          <w:szCs w:val="20"/>
        </w:rPr>
      </w:pPr>
      <w:r w:rsidRPr="00A72039">
        <w:rPr>
          <w:sz w:val="20"/>
          <w:szCs w:val="20"/>
        </w:rPr>
        <w:t xml:space="preserve">Finding the right grant for your organisation requires </w:t>
      </w:r>
      <w:r w:rsidRPr="00A72039">
        <w:rPr>
          <w:b/>
          <w:color w:val="F38225"/>
          <w:sz w:val="20"/>
          <w:szCs w:val="20"/>
        </w:rPr>
        <w:t>lateral thinking</w:t>
      </w:r>
      <w:r w:rsidRPr="00A72039">
        <w:rPr>
          <w:sz w:val="20"/>
          <w:szCs w:val="20"/>
        </w:rPr>
        <w:t>. What are your activities, members and interests? You may be eligible for more grants than you initially thought.</w:t>
      </w:r>
    </w:p>
    <w:p w:rsidR="001D1B6C" w:rsidRPr="00A72039" w:rsidRDefault="001D1B6C" w:rsidP="007014E9">
      <w:pPr>
        <w:pStyle w:val="ListParagraph"/>
        <w:numPr>
          <w:ilvl w:val="0"/>
          <w:numId w:val="4"/>
        </w:numPr>
        <w:spacing w:before="240" w:after="0" w:line="300" w:lineRule="exact"/>
        <w:ind w:left="0" w:firstLine="0"/>
        <w:rPr>
          <w:sz w:val="20"/>
          <w:szCs w:val="20"/>
        </w:rPr>
      </w:pPr>
      <w:r w:rsidRPr="00A72039">
        <w:rPr>
          <w:sz w:val="20"/>
          <w:szCs w:val="20"/>
        </w:rPr>
        <w:t xml:space="preserve">Allow </w:t>
      </w:r>
      <w:r w:rsidRPr="00A72039">
        <w:rPr>
          <w:b/>
          <w:color w:val="F38225"/>
          <w:sz w:val="20"/>
          <w:szCs w:val="20"/>
        </w:rPr>
        <w:t>plenty of time</w:t>
      </w:r>
      <w:r w:rsidRPr="00A72039">
        <w:rPr>
          <w:color w:val="F38225"/>
          <w:sz w:val="20"/>
          <w:szCs w:val="20"/>
        </w:rPr>
        <w:t xml:space="preserve"> </w:t>
      </w:r>
      <w:r w:rsidRPr="00A72039">
        <w:rPr>
          <w:sz w:val="20"/>
          <w:szCs w:val="20"/>
        </w:rPr>
        <w:t xml:space="preserve">to research the funding body and the grant before beginning your application. Do seek out groups </w:t>
      </w:r>
      <w:r w:rsidR="00B73565" w:rsidRPr="00A72039">
        <w:rPr>
          <w:sz w:val="20"/>
          <w:szCs w:val="20"/>
        </w:rPr>
        <w:t xml:space="preserve">that </w:t>
      </w:r>
      <w:r w:rsidRPr="00A72039">
        <w:rPr>
          <w:sz w:val="20"/>
          <w:szCs w:val="20"/>
        </w:rPr>
        <w:t xml:space="preserve">have received this grant, and contact them for examples of successful applications. Do not leave your application to the last minute- this reflects poorly on your group’s organisational skills. </w:t>
      </w:r>
    </w:p>
    <w:p w:rsidR="001D1B6C"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 xml:space="preserve">Read all the </w:t>
      </w:r>
      <w:r w:rsidRPr="00A72039">
        <w:rPr>
          <w:b/>
          <w:color w:val="F38225"/>
          <w:sz w:val="20"/>
          <w:szCs w:val="20"/>
        </w:rPr>
        <w:t>guidelines</w:t>
      </w:r>
      <w:r w:rsidRPr="00A72039">
        <w:rPr>
          <w:sz w:val="20"/>
          <w:szCs w:val="20"/>
        </w:rPr>
        <w:t xml:space="preserve"> and make sure your organisation meets them. Do target your submission to the guidelines and ensure you address each one. Do not make your application excessively long- if there are page/ word limits, stick to them.</w:t>
      </w:r>
    </w:p>
    <w:p w:rsidR="001D1B6C"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 xml:space="preserve">Have an </w:t>
      </w:r>
      <w:r w:rsidRPr="00A72039">
        <w:rPr>
          <w:b/>
          <w:color w:val="F38225"/>
          <w:sz w:val="20"/>
          <w:szCs w:val="20"/>
        </w:rPr>
        <w:t>achievable goal</w:t>
      </w:r>
      <w:r w:rsidRPr="00A72039">
        <w:rPr>
          <w:sz w:val="20"/>
          <w:szCs w:val="20"/>
        </w:rPr>
        <w:t xml:space="preserve">. Do make this objective clear in your application, and describe how you will carry out the project to meet your goal. Do not try to be too ambitious- design a realistic project that can be accomplished by the end of the grant period. </w:t>
      </w:r>
    </w:p>
    <w:p w:rsidR="00DF4E91" w:rsidRPr="00A72039" w:rsidRDefault="00A72039" w:rsidP="007014E9">
      <w:pPr>
        <w:pStyle w:val="ListParagraph"/>
        <w:numPr>
          <w:ilvl w:val="0"/>
          <w:numId w:val="4"/>
        </w:numPr>
        <w:spacing w:after="0" w:line="300" w:lineRule="exact"/>
        <w:ind w:left="0" w:firstLine="0"/>
        <w:rPr>
          <w:sz w:val="20"/>
          <w:szCs w:val="20"/>
        </w:rPr>
      </w:pPr>
      <w:r w:rsidRPr="00A72039">
        <w:rPr>
          <w:noProof/>
          <w:sz w:val="20"/>
          <w:szCs w:val="20"/>
          <w:lang w:eastAsia="en-AU"/>
        </w:rPr>
        <w:drawing>
          <wp:anchor distT="0" distB="0" distL="114300" distR="114300" simplePos="0" relativeHeight="251676672" behindDoc="1" locked="0" layoutInCell="1" allowOverlap="1" wp14:anchorId="444CD15A" wp14:editId="52084A5A">
            <wp:simplePos x="0" y="0"/>
            <wp:positionH relativeFrom="column">
              <wp:posOffset>-224790</wp:posOffset>
            </wp:positionH>
            <wp:positionV relativeFrom="paragraph">
              <wp:posOffset>871855</wp:posOffset>
            </wp:positionV>
            <wp:extent cx="6621346" cy="2352675"/>
            <wp:effectExtent l="0" t="0" r="8255" b="0"/>
            <wp:wrapNone/>
            <wp:docPr id="1026" name="Picture 2" descr="https://fbcdn-sphotos-g-a.akamaihd.net/hphotos-ak-ash3/t31/1090908_686889674666156_136875134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fbcdn-sphotos-g-a.akamaihd.net/hphotos-ak-ash3/t31/1090908_686889674666156_1368751349_o.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1" t="34024" r="21" b="38293"/>
                    <a:stretch/>
                  </pic:blipFill>
                  <pic:spPr bwMode="auto">
                    <a:xfrm>
                      <a:off x="0" y="0"/>
                      <a:ext cx="6621346"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B6C" w:rsidRPr="00A72039">
        <w:rPr>
          <w:sz w:val="20"/>
          <w:szCs w:val="20"/>
        </w:rPr>
        <w:t xml:space="preserve">Create a </w:t>
      </w:r>
      <w:r w:rsidR="001D1B6C" w:rsidRPr="00A72039">
        <w:rPr>
          <w:b/>
          <w:color w:val="F38225"/>
          <w:sz w:val="20"/>
          <w:szCs w:val="20"/>
        </w:rPr>
        <w:t>realistic budget</w:t>
      </w:r>
      <w:r w:rsidR="001D1B6C" w:rsidRPr="00A72039">
        <w:rPr>
          <w:sz w:val="20"/>
          <w:szCs w:val="20"/>
        </w:rPr>
        <w:t>. Do be honest about how much it will cost, and ensure that you justify all items. Do not include items that are not covered by the grant.</w:t>
      </w:r>
    </w:p>
    <w:p w:rsidR="000B1630" w:rsidRDefault="000B1630" w:rsidP="000B1630">
      <w:pPr>
        <w:pStyle w:val="ListParagraph"/>
        <w:spacing w:after="0" w:line="240" w:lineRule="auto"/>
        <w:ind w:left="0"/>
        <w:jc w:val="both"/>
      </w:pPr>
    </w:p>
    <w:p w:rsidR="00DF4E91"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 xml:space="preserve">Demonstrate your </w:t>
      </w:r>
      <w:r w:rsidR="00DF4E91" w:rsidRPr="00A72039">
        <w:rPr>
          <w:b/>
          <w:color w:val="F38225"/>
          <w:sz w:val="20"/>
          <w:szCs w:val="20"/>
        </w:rPr>
        <w:t>capability and</w:t>
      </w:r>
      <w:r w:rsidRPr="00A72039">
        <w:rPr>
          <w:b/>
          <w:color w:val="F38225"/>
          <w:sz w:val="20"/>
          <w:szCs w:val="20"/>
        </w:rPr>
        <w:t xml:space="preserve"> expertise</w:t>
      </w:r>
      <w:r w:rsidRPr="00A72039">
        <w:rPr>
          <w:sz w:val="20"/>
          <w:szCs w:val="20"/>
        </w:rPr>
        <w:t xml:space="preserve">. Do prove yourself and your group as qualified to successfully carry out your project in a creative and fiscally-responsible manner. Do not undersell yourselves or assume the grant agency knows about the good work you have already done- outlining relevant successes strengthens your application. </w:t>
      </w:r>
    </w:p>
    <w:p w:rsidR="001D1B6C" w:rsidRPr="00A72039" w:rsidRDefault="00DF4E91" w:rsidP="007014E9">
      <w:pPr>
        <w:pStyle w:val="ListParagraph"/>
        <w:numPr>
          <w:ilvl w:val="0"/>
          <w:numId w:val="4"/>
        </w:numPr>
        <w:spacing w:after="0" w:line="300" w:lineRule="exact"/>
        <w:ind w:left="0" w:firstLine="0"/>
        <w:rPr>
          <w:sz w:val="20"/>
          <w:szCs w:val="20"/>
        </w:rPr>
      </w:pPr>
      <w:r w:rsidRPr="00A72039">
        <w:rPr>
          <w:sz w:val="20"/>
          <w:szCs w:val="20"/>
        </w:rPr>
        <w:t xml:space="preserve">Establish </w:t>
      </w:r>
      <w:r w:rsidRPr="00A72039">
        <w:rPr>
          <w:b/>
          <w:color w:val="F38225"/>
          <w:sz w:val="20"/>
          <w:szCs w:val="20"/>
        </w:rPr>
        <w:t>community support</w:t>
      </w:r>
      <w:r w:rsidRPr="00A72039">
        <w:rPr>
          <w:sz w:val="20"/>
          <w:szCs w:val="20"/>
        </w:rPr>
        <w:t xml:space="preserve">. Do demonstrate </w:t>
      </w:r>
      <w:r w:rsidR="00D159DB" w:rsidRPr="00A72039">
        <w:rPr>
          <w:sz w:val="20"/>
          <w:szCs w:val="20"/>
        </w:rPr>
        <w:t xml:space="preserve">this support </w:t>
      </w:r>
      <w:r w:rsidRPr="00A72039">
        <w:rPr>
          <w:sz w:val="20"/>
          <w:szCs w:val="20"/>
        </w:rPr>
        <w:t xml:space="preserve">not just for your group but for </w:t>
      </w:r>
      <w:r w:rsidR="001D1B6C" w:rsidRPr="00A72039">
        <w:rPr>
          <w:sz w:val="20"/>
          <w:szCs w:val="20"/>
        </w:rPr>
        <w:t>your particular project. Do not assume you know what is best for your community- consider consulting them.</w:t>
      </w:r>
    </w:p>
    <w:p w:rsidR="001D1B6C"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 xml:space="preserve">Explain how you will </w:t>
      </w:r>
      <w:r w:rsidRPr="00A72039">
        <w:rPr>
          <w:b/>
          <w:color w:val="F38225"/>
          <w:sz w:val="20"/>
          <w:szCs w:val="20"/>
        </w:rPr>
        <w:t>measure the success</w:t>
      </w:r>
      <w:r w:rsidRPr="00A72039">
        <w:rPr>
          <w:color w:val="F38225"/>
          <w:sz w:val="20"/>
          <w:szCs w:val="20"/>
        </w:rPr>
        <w:t xml:space="preserve"> </w:t>
      </w:r>
      <w:r w:rsidRPr="00A72039">
        <w:rPr>
          <w:sz w:val="20"/>
          <w:szCs w:val="20"/>
        </w:rPr>
        <w:t>of the project. Do have an evaluation strategy in place prior to commencing the project. Do not presume the success will be obvious to the grant agency.</w:t>
      </w:r>
    </w:p>
    <w:p w:rsidR="001D1B6C"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Before submission,</w:t>
      </w:r>
      <w:r w:rsidRPr="00A72039">
        <w:rPr>
          <w:b/>
          <w:sz w:val="20"/>
          <w:szCs w:val="20"/>
        </w:rPr>
        <w:t xml:space="preserve"> </w:t>
      </w:r>
      <w:r w:rsidRPr="00A72039">
        <w:rPr>
          <w:b/>
          <w:color w:val="F38225"/>
          <w:sz w:val="20"/>
          <w:szCs w:val="20"/>
        </w:rPr>
        <w:t xml:space="preserve">thoroughly check </w:t>
      </w:r>
      <w:r w:rsidRPr="00A72039">
        <w:rPr>
          <w:sz w:val="20"/>
          <w:szCs w:val="20"/>
        </w:rPr>
        <w:t>your application. Do make sure you have included all of the requested details and attachments. Do not forget to have someone unrelated to the project to read over your application for clarity of expression, spelling, grammar, formatting and consistency.</w:t>
      </w:r>
    </w:p>
    <w:p w:rsidR="001D1B6C" w:rsidRPr="00A72039" w:rsidRDefault="001D1B6C" w:rsidP="007014E9">
      <w:pPr>
        <w:pStyle w:val="ListParagraph"/>
        <w:numPr>
          <w:ilvl w:val="0"/>
          <w:numId w:val="4"/>
        </w:numPr>
        <w:spacing w:after="0" w:line="300" w:lineRule="exact"/>
        <w:ind w:left="0" w:firstLine="0"/>
        <w:rPr>
          <w:sz w:val="20"/>
          <w:szCs w:val="20"/>
        </w:rPr>
      </w:pPr>
      <w:r w:rsidRPr="00A72039">
        <w:rPr>
          <w:sz w:val="20"/>
          <w:szCs w:val="20"/>
        </w:rPr>
        <w:t xml:space="preserve"> If you have been unsuccessful, </w:t>
      </w:r>
      <w:r w:rsidRPr="00A72039">
        <w:rPr>
          <w:b/>
          <w:color w:val="F38225"/>
          <w:sz w:val="20"/>
          <w:szCs w:val="20"/>
        </w:rPr>
        <w:t>seek feedback</w:t>
      </w:r>
      <w:r w:rsidRPr="00A72039">
        <w:rPr>
          <w:sz w:val="20"/>
          <w:szCs w:val="20"/>
        </w:rPr>
        <w:t xml:space="preserve"> to help improve your next application. If you have been successful, ensure you always </w:t>
      </w:r>
      <w:r w:rsidRPr="00A72039">
        <w:rPr>
          <w:b/>
          <w:color w:val="F38225"/>
          <w:sz w:val="20"/>
          <w:szCs w:val="20"/>
        </w:rPr>
        <w:t>submit reports on time</w:t>
      </w:r>
      <w:r w:rsidRPr="00A72039">
        <w:rPr>
          <w:color w:val="F38225"/>
          <w:sz w:val="20"/>
          <w:szCs w:val="20"/>
        </w:rPr>
        <w:t xml:space="preserve">. </w:t>
      </w:r>
      <w:r w:rsidRPr="00A72039">
        <w:rPr>
          <w:sz w:val="20"/>
          <w:szCs w:val="20"/>
        </w:rPr>
        <w:t xml:space="preserve">This reflects favourably on any subsequent applications you submit. </w:t>
      </w:r>
    </w:p>
    <w:p w:rsidR="000B1630" w:rsidRDefault="000B1630">
      <w:pPr>
        <w:rPr>
          <w:sz w:val="24"/>
          <w:szCs w:val="24"/>
        </w:rPr>
      </w:pPr>
      <w:r>
        <w:rPr>
          <w:sz w:val="24"/>
          <w:szCs w:val="24"/>
        </w:rPr>
        <w:br w:type="page"/>
      </w:r>
    </w:p>
    <w:p w:rsidR="000B1630" w:rsidRDefault="000B1630" w:rsidP="00DF4E91">
      <w:pPr>
        <w:spacing w:after="0"/>
        <w:rPr>
          <w:color w:val="FFFFFF" w:themeColor="background1"/>
          <w:sz w:val="36"/>
          <w:szCs w:val="24"/>
        </w:rPr>
        <w:sectPr w:rsidR="000B1630" w:rsidSect="00DF4E91">
          <w:type w:val="continuous"/>
          <w:pgSz w:w="11906" w:h="16838"/>
          <w:pgMar w:top="567" w:right="1440" w:bottom="1440" w:left="1134" w:header="708" w:footer="708" w:gutter="0"/>
          <w:cols w:num="2" w:space="709"/>
          <w:docGrid w:linePitch="360"/>
        </w:sectPr>
      </w:pPr>
    </w:p>
    <w:p w:rsidR="000B1630" w:rsidRDefault="00A72039" w:rsidP="004C7A7D">
      <w:pPr>
        <w:spacing w:before="240" w:after="0"/>
        <w:jc w:val="center"/>
        <w:rPr>
          <w:color w:val="FFFFFF" w:themeColor="background1"/>
          <w:sz w:val="36"/>
          <w:szCs w:val="24"/>
        </w:rPr>
        <w:sectPr w:rsidR="000B1630" w:rsidSect="00F94FCE">
          <w:footerReference w:type="default" r:id="rId27"/>
          <w:type w:val="continuous"/>
          <w:pgSz w:w="11906" w:h="16838"/>
          <w:pgMar w:top="567" w:right="1440" w:bottom="1440" w:left="1134" w:header="0" w:footer="283" w:gutter="0"/>
          <w:cols w:space="709"/>
          <w:docGrid w:linePitch="360"/>
        </w:sectPr>
      </w:pPr>
      <w:r w:rsidRPr="00A72039">
        <w:rPr>
          <w:noProof/>
          <w:color w:val="FFFFFF" w:themeColor="background1"/>
          <w:sz w:val="20"/>
          <w:szCs w:val="20"/>
          <w:lang w:eastAsia="en-AU"/>
        </w:rPr>
        <w:lastRenderedPageBreak/>
        <w:drawing>
          <wp:anchor distT="0" distB="0" distL="114300" distR="114300" simplePos="0" relativeHeight="251679744" behindDoc="1" locked="0" layoutInCell="1" allowOverlap="1" wp14:anchorId="589B383E" wp14:editId="55C98AAC">
            <wp:simplePos x="0" y="0"/>
            <wp:positionH relativeFrom="page">
              <wp:posOffset>238125</wp:posOffset>
            </wp:positionH>
            <wp:positionV relativeFrom="page">
              <wp:posOffset>123825</wp:posOffset>
            </wp:positionV>
            <wp:extent cx="7799705" cy="9334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5" r="-5245"/>
                    <a:stretch/>
                  </pic:blipFill>
                  <pic:spPr bwMode="auto">
                    <a:xfrm>
                      <a:off x="0" y="0"/>
                      <a:ext cx="779970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1630" w:rsidRPr="001D5CA1">
        <w:rPr>
          <w:color w:val="FFFFFF" w:themeColor="background1"/>
          <w:sz w:val="36"/>
          <w:szCs w:val="24"/>
        </w:rPr>
        <w:t xml:space="preserve">Voluntary Committees of Management Newsletter- Edition </w:t>
      </w:r>
      <w:r w:rsidR="00B73565">
        <w:rPr>
          <w:color w:val="FFFFFF" w:themeColor="background1"/>
          <w:sz w:val="36"/>
          <w:szCs w:val="24"/>
        </w:rPr>
        <w:t>6</w:t>
      </w:r>
    </w:p>
    <w:p w:rsidR="000B1630" w:rsidRDefault="000B1630" w:rsidP="00DF4E91">
      <w:pPr>
        <w:spacing w:after="0"/>
        <w:rPr>
          <w:sz w:val="24"/>
          <w:szCs w:val="24"/>
        </w:rPr>
      </w:pPr>
    </w:p>
    <w:p w:rsidR="004C7A7D" w:rsidRPr="00A72039" w:rsidRDefault="004C7A7D" w:rsidP="00A72039">
      <w:pPr>
        <w:spacing w:before="120" w:after="0" w:line="240" w:lineRule="auto"/>
        <w:rPr>
          <w:sz w:val="24"/>
          <w:szCs w:val="24"/>
        </w:rPr>
      </w:pPr>
      <w:r w:rsidRPr="00A72039">
        <w:rPr>
          <w:b/>
          <w:sz w:val="24"/>
          <w:szCs w:val="24"/>
        </w:rPr>
        <w:t xml:space="preserve">Voluntary </w:t>
      </w:r>
      <w:proofErr w:type="spellStart"/>
      <w:r w:rsidRPr="00A72039">
        <w:rPr>
          <w:b/>
          <w:sz w:val="24"/>
          <w:szCs w:val="24"/>
        </w:rPr>
        <w:t>CoM</w:t>
      </w:r>
      <w:proofErr w:type="spellEnd"/>
      <w:r w:rsidRPr="00A72039">
        <w:rPr>
          <w:b/>
          <w:sz w:val="24"/>
          <w:szCs w:val="24"/>
        </w:rPr>
        <w:t xml:space="preserve"> Community Consultation Fact Sheet</w:t>
      </w:r>
    </w:p>
    <w:p w:rsidR="004C7A7D" w:rsidRPr="00A72039" w:rsidRDefault="004C7A7D" w:rsidP="00A72039">
      <w:pPr>
        <w:spacing w:before="120" w:after="0" w:line="300" w:lineRule="exact"/>
        <w:rPr>
          <w:sz w:val="20"/>
          <w:szCs w:val="20"/>
        </w:rPr>
      </w:pPr>
      <w:r w:rsidRPr="00A72039">
        <w:rPr>
          <w:sz w:val="20"/>
          <w:szCs w:val="20"/>
        </w:rPr>
        <w:t xml:space="preserve">The voluntary </w:t>
      </w:r>
      <w:proofErr w:type="gramStart"/>
      <w:r w:rsidRPr="00A72039">
        <w:rPr>
          <w:sz w:val="20"/>
          <w:szCs w:val="20"/>
        </w:rPr>
        <w:t>committees of management community engagement fact sheet is</w:t>
      </w:r>
      <w:proofErr w:type="gramEnd"/>
      <w:r w:rsidRPr="00A72039">
        <w:rPr>
          <w:sz w:val="20"/>
          <w:szCs w:val="20"/>
        </w:rPr>
        <w:t xml:space="preserve"> now available. </w:t>
      </w:r>
    </w:p>
    <w:p w:rsidR="004C7A7D" w:rsidRPr="00A72039" w:rsidRDefault="004C7A7D" w:rsidP="00A72039">
      <w:pPr>
        <w:spacing w:before="120" w:after="0" w:line="240" w:lineRule="auto"/>
        <w:rPr>
          <w:color w:val="F38225"/>
          <w:sz w:val="26"/>
          <w:szCs w:val="26"/>
        </w:rPr>
      </w:pPr>
      <w:r w:rsidRPr="00A72039">
        <w:rPr>
          <w:color w:val="F38225"/>
          <w:sz w:val="26"/>
          <w:szCs w:val="26"/>
        </w:rPr>
        <w:t xml:space="preserve">Thank you for your responses to our survey, which we used </w:t>
      </w:r>
      <w:proofErr w:type="gramStart"/>
      <w:r w:rsidRPr="00A72039">
        <w:rPr>
          <w:color w:val="F38225"/>
          <w:sz w:val="26"/>
          <w:szCs w:val="26"/>
        </w:rPr>
        <w:t>to</w:t>
      </w:r>
      <w:proofErr w:type="gramEnd"/>
      <w:r w:rsidRPr="00A72039">
        <w:rPr>
          <w:color w:val="F38225"/>
          <w:sz w:val="26"/>
          <w:szCs w:val="26"/>
        </w:rPr>
        <w:t xml:space="preserve"> developed this fact sheet. </w:t>
      </w:r>
    </w:p>
    <w:p w:rsidR="00F94FCE" w:rsidRPr="00A72039" w:rsidRDefault="004C7A7D" w:rsidP="00A72039">
      <w:pPr>
        <w:spacing w:before="120" w:after="0" w:line="300" w:lineRule="exact"/>
        <w:rPr>
          <w:sz w:val="20"/>
          <w:szCs w:val="20"/>
        </w:rPr>
      </w:pPr>
      <w:r w:rsidRPr="00A72039">
        <w:rPr>
          <w:sz w:val="20"/>
          <w:szCs w:val="20"/>
        </w:rPr>
        <w:t xml:space="preserve">The fact sheet provides information on when a </w:t>
      </w:r>
      <w:proofErr w:type="spellStart"/>
      <w:r w:rsidRPr="00A72039">
        <w:rPr>
          <w:sz w:val="20"/>
          <w:szCs w:val="20"/>
        </w:rPr>
        <w:t>CoM</w:t>
      </w:r>
      <w:proofErr w:type="spellEnd"/>
      <w:r w:rsidRPr="00A72039">
        <w:rPr>
          <w:sz w:val="20"/>
          <w:szCs w:val="20"/>
        </w:rPr>
        <w:t xml:space="preserve"> should consult its community, highlights the benefits of effective consultation, and also gives some tips on effective communication. At the end of the fact sheet, </w:t>
      </w:r>
      <w:r w:rsidR="00B73565" w:rsidRPr="00A72039">
        <w:rPr>
          <w:sz w:val="20"/>
          <w:szCs w:val="20"/>
        </w:rPr>
        <w:t xml:space="preserve">a case study of </w:t>
      </w:r>
      <w:proofErr w:type="gramStart"/>
      <w:r w:rsidR="00B73565" w:rsidRPr="00A72039">
        <w:rPr>
          <w:sz w:val="20"/>
          <w:szCs w:val="20"/>
        </w:rPr>
        <w:t xml:space="preserve">a </w:t>
      </w:r>
      <w:r w:rsidRPr="00A72039">
        <w:rPr>
          <w:sz w:val="20"/>
          <w:szCs w:val="20"/>
        </w:rPr>
        <w:t xml:space="preserve"> C</w:t>
      </w:r>
      <w:r w:rsidR="00A3066E">
        <w:rPr>
          <w:sz w:val="20"/>
          <w:szCs w:val="20"/>
        </w:rPr>
        <w:t>ommittee</w:t>
      </w:r>
      <w:proofErr w:type="gramEnd"/>
      <w:r w:rsidR="00A3066E">
        <w:rPr>
          <w:sz w:val="20"/>
          <w:szCs w:val="20"/>
        </w:rPr>
        <w:t xml:space="preserve"> </w:t>
      </w:r>
      <w:r w:rsidRPr="00A72039">
        <w:rPr>
          <w:sz w:val="20"/>
          <w:szCs w:val="20"/>
        </w:rPr>
        <w:t xml:space="preserve">has been provided to illustrate effective community consultation. The fact sheet is available at: </w:t>
      </w:r>
    </w:p>
    <w:p w:rsidR="00F94FCE" w:rsidRDefault="00236FBF" w:rsidP="00F94FCE">
      <w:pPr>
        <w:spacing w:before="120" w:after="0"/>
        <w:rPr>
          <w:sz w:val="20"/>
          <w:szCs w:val="20"/>
        </w:rPr>
      </w:pPr>
      <w:hyperlink r:id="rId28" w:history="1">
        <w:r w:rsidR="00F94FCE" w:rsidRPr="00A13FC8">
          <w:rPr>
            <w:rStyle w:val="Hyperlink"/>
            <w:sz w:val="20"/>
            <w:szCs w:val="20"/>
          </w:rPr>
          <w:t>http://www.depi.vic.gov.au/forestry-and-land-use/managing-land/managing-crown-land/managing-crown-land-fact-sheets</w:t>
        </w:r>
      </w:hyperlink>
    </w:p>
    <w:p w:rsidR="00F94FCE" w:rsidRDefault="00F94FCE" w:rsidP="007014E9">
      <w:pPr>
        <w:spacing w:after="0"/>
        <w:rPr>
          <w:sz w:val="20"/>
          <w:szCs w:val="20"/>
        </w:rPr>
      </w:pPr>
    </w:p>
    <w:p w:rsidR="007014E9" w:rsidRDefault="00A72039" w:rsidP="007014E9">
      <w:pPr>
        <w:spacing w:after="0"/>
        <w:rPr>
          <w:sz w:val="24"/>
          <w:szCs w:val="24"/>
        </w:rPr>
      </w:pPr>
      <w:r>
        <w:rPr>
          <w:noProof/>
          <w:color w:val="333333"/>
          <w:lang w:eastAsia="en-AU"/>
        </w:rPr>
        <w:drawing>
          <wp:anchor distT="0" distB="0" distL="114300" distR="114300" simplePos="0" relativeHeight="251677696" behindDoc="1" locked="0" layoutInCell="1" allowOverlap="1" wp14:anchorId="7ACE866D" wp14:editId="6007ECB8">
            <wp:simplePos x="0" y="0"/>
            <wp:positionH relativeFrom="column">
              <wp:posOffset>-112394</wp:posOffset>
            </wp:positionH>
            <wp:positionV relativeFrom="paragraph">
              <wp:posOffset>20955</wp:posOffset>
            </wp:positionV>
            <wp:extent cx="3276600" cy="2343150"/>
            <wp:effectExtent l="0" t="0" r="0" b="0"/>
            <wp:wrapNone/>
            <wp:docPr id="11" name="Picture 11" descr="https://fbcdn-sphotos-d-a.akamaihd.net/hphotos-ak-prn1/t1/22185_525950734093385_13474885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prn1/t1/22185_525950734093385_1347488564_n.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823" t="7117" r="6392" b="5338"/>
                    <a:stretch/>
                  </pic:blipFill>
                  <pic:spPr bwMode="auto">
                    <a:xfrm>
                      <a:off x="0" y="0"/>
                      <a:ext cx="327660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14E9" w:rsidRDefault="007014E9" w:rsidP="007014E9">
      <w:pPr>
        <w:spacing w:after="0"/>
        <w:rPr>
          <w:sz w:val="24"/>
          <w:szCs w:val="24"/>
        </w:rPr>
      </w:pPr>
    </w:p>
    <w:p w:rsidR="007014E9" w:rsidRDefault="007014E9" w:rsidP="007014E9">
      <w:pPr>
        <w:spacing w:after="0"/>
        <w:rPr>
          <w:sz w:val="24"/>
          <w:szCs w:val="24"/>
        </w:rPr>
      </w:pPr>
    </w:p>
    <w:p w:rsidR="007014E9" w:rsidRDefault="007014E9" w:rsidP="007014E9">
      <w:pPr>
        <w:spacing w:after="0"/>
        <w:rPr>
          <w:sz w:val="24"/>
          <w:szCs w:val="24"/>
        </w:rPr>
      </w:pPr>
    </w:p>
    <w:p w:rsidR="007014E9" w:rsidRDefault="007014E9" w:rsidP="007014E9">
      <w:pPr>
        <w:spacing w:after="0"/>
        <w:rPr>
          <w:sz w:val="24"/>
          <w:szCs w:val="24"/>
        </w:rPr>
      </w:pPr>
    </w:p>
    <w:p w:rsidR="001D09A0" w:rsidRDefault="001D09A0" w:rsidP="007014E9">
      <w:pPr>
        <w:spacing w:after="0"/>
        <w:rPr>
          <w:sz w:val="24"/>
          <w:szCs w:val="24"/>
        </w:rPr>
      </w:pPr>
    </w:p>
    <w:p w:rsidR="007014E9" w:rsidRDefault="007014E9" w:rsidP="00DF4E91">
      <w:pPr>
        <w:spacing w:after="0"/>
        <w:rPr>
          <w:sz w:val="24"/>
          <w:szCs w:val="24"/>
        </w:rPr>
      </w:pPr>
    </w:p>
    <w:p w:rsidR="007014E9" w:rsidRDefault="007014E9" w:rsidP="00DF4E91">
      <w:pPr>
        <w:spacing w:after="0"/>
        <w:rPr>
          <w:sz w:val="24"/>
          <w:szCs w:val="24"/>
        </w:rPr>
      </w:pPr>
    </w:p>
    <w:p w:rsidR="007014E9" w:rsidRDefault="007014E9" w:rsidP="00DF4E91">
      <w:pPr>
        <w:spacing w:after="0"/>
        <w:rPr>
          <w:sz w:val="24"/>
          <w:szCs w:val="24"/>
        </w:rPr>
      </w:pPr>
    </w:p>
    <w:p w:rsidR="007014E9" w:rsidRDefault="007014E9" w:rsidP="00DF4E91">
      <w:pPr>
        <w:spacing w:after="0"/>
        <w:rPr>
          <w:sz w:val="24"/>
          <w:szCs w:val="24"/>
        </w:rPr>
      </w:pPr>
    </w:p>
    <w:p w:rsidR="007014E9" w:rsidRDefault="007014E9" w:rsidP="00DF4E91">
      <w:pPr>
        <w:spacing w:after="0"/>
        <w:rPr>
          <w:sz w:val="24"/>
          <w:szCs w:val="24"/>
        </w:rPr>
      </w:pPr>
    </w:p>
    <w:p w:rsidR="007014E9" w:rsidRPr="00A72039" w:rsidRDefault="007014E9" w:rsidP="00F94FCE">
      <w:pPr>
        <w:spacing w:before="120" w:after="0"/>
        <w:rPr>
          <w:b/>
          <w:sz w:val="24"/>
          <w:szCs w:val="24"/>
        </w:rPr>
      </w:pPr>
      <w:r w:rsidRPr="00A72039">
        <w:rPr>
          <w:b/>
          <w:sz w:val="24"/>
          <w:szCs w:val="24"/>
        </w:rPr>
        <w:t>Fire Services Property levy</w:t>
      </w:r>
    </w:p>
    <w:p w:rsidR="007014E9" w:rsidRDefault="007014E9" w:rsidP="00A72039">
      <w:pPr>
        <w:spacing w:before="120" w:after="0"/>
        <w:rPr>
          <w:rFonts w:ascii="Calibri" w:hAnsi="Calibri"/>
          <w:sz w:val="20"/>
          <w:szCs w:val="20"/>
        </w:rPr>
      </w:pPr>
      <w:r w:rsidRPr="00A72039">
        <w:rPr>
          <w:sz w:val="20"/>
          <w:szCs w:val="20"/>
        </w:rPr>
        <w:t xml:space="preserve">Confused about how the </w:t>
      </w:r>
      <w:r w:rsidRPr="00A72039">
        <w:rPr>
          <w:rFonts w:ascii="Calibri" w:hAnsi="Calibri"/>
          <w:sz w:val="20"/>
          <w:szCs w:val="20"/>
        </w:rPr>
        <w:t>Fire Services Property Levy applies to the land you manage?</w:t>
      </w:r>
    </w:p>
    <w:p w:rsidR="007014E9" w:rsidRPr="00A72039" w:rsidRDefault="00A72039" w:rsidP="00A72039">
      <w:pPr>
        <w:spacing w:before="120" w:after="0"/>
        <w:rPr>
          <w:sz w:val="20"/>
          <w:szCs w:val="20"/>
        </w:rPr>
      </w:pPr>
      <w:r w:rsidRPr="00A72039">
        <w:rPr>
          <w:rFonts w:cstheme="minorHAnsi"/>
          <w:sz w:val="20"/>
          <w:szCs w:val="20"/>
        </w:rPr>
        <w:t>The Fire Services Property Levy was introduced in July 2013, after the Victorian Bushfires Royal Commission found that the old, insurance-based scheme was unfair and lacked transparency.</w:t>
      </w:r>
      <w:r>
        <w:rPr>
          <w:sz w:val="20"/>
          <w:szCs w:val="20"/>
        </w:rPr>
        <w:t xml:space="preserve"> </w:t>
      </w:r>
      <w:r w:rsidR="007014E9" w:rsidRPr="00A72039">
        <w:rPr>
          <w:rFonts w:cstheme="minorHAnsi"/>
          <w:sz w:val="20"/>
          <w:szCs w:val="20"/>
        </w:rPr>
        <w:t xml:space="preserve">Now, a property-based levy is collected with council rates. </w:t>
      </w:r>
      <w:r w:rsidR="007014E9" w:rsidRPr="00A72039">
        <w:rPr>
          <w:rFonts w:cstheme="minorHAnsi"/>
          <w:sz w:val="20"/>
          <w:szCs w:val="20"/>
          <w:lang w:val="en"/>
        </w:rPr>
        <w:t xml:space="preserve">The Levy funds vital services provided by the Country Fire Authority and the Metropolitan Fire Brigade, </w:t>
      </w:r>
      <w:proofErr w:type="gramStart"/>
      <w:r w:rsidR="007014E9" w:rsidRPr="00A72039">
        <w:rPr>
          <w:rFonts w:cstheme="minorHAnsi"/>
          <w:sz w:val="20"/>
          <w:szCs w:val="20"/>
          <w:lang w:val="en"/>
        </w:rPr>
        <w:t>including  personnel</w:t>
      </w:r>
      <w:proofErr w:type="gramEnd"/>
      <w:r w:rsidR="007014E9" w:rsidRPr="00A72039">
        <w:rPr>
          <w:rFonts w:cstheme="minorHAnsi"/>
          <w:sz w:val="20"/>
          <w:szCs w:val="20"/>
          <w:lang w:val="en"/>
        </w:rPr>
        <w:t>, training, infrastructure and equipment</w:t>
      </w:r>
      <w:r>
        <w:rPr>
          <w:rFonts w:cstheme="minorHAnsi"/>
          <w:sz w:val="20"/>
          <w:szCs w:val="20"/>
          <w:lang w:val="en"/>
        </w:rPr>
        <w:t>.</w:t>
      </w:r>
    </w:p>
    <w:p w:rsidR="00A72039" w:rsidRDefault="00A72039" w:rsidP="00A72039">
      <w:pPr>
        <w:spacing w:before="120" w:after="0" w:line="240" w:lineRule="auto"/>
        <w:ind w:left="142"/>
        <w:rPr>
          <w:rFonts w:cstheme="minorHAnsi"/>
          <w:color w:val="F38225"/>
          <w:sz w:val="26"/>
          <w:szCs w:val="26"/>
        </w:rPr>
      </w:pPr>
    </w:p>
    <w:p w:rsidR="00103A0A" w:rsidRDefault="00103A0A" w:rsidP="00A72039">
      <w:pPr>
        <w:spacing w:before="120" w:after="0" w:line="240" w:lineRule="auto"/>
        <w:ind w:left="142"/>
        <w:rPr>
          <w:rFonts w:cstheme="minorHAnsi"/>
          <w:color w:val="000000"/>
          <w:sz w:val="20"/>
          <w:szCs w:val="20"/>
        </w:rPr>
      </w:pPr>
      <w:r>
        <w:rPr>
          <w:rFonts w:cstheme="minorHAnsi"/>
          <w:color w:val="F38225"/>
          <w:sz w:val="26"/>
          <w:szCs w:val="26"/>
        </w:rPr>
        <w:t xml:space="preserve">Under the Fire Services Property levy Act 2012, Crown land, which is not leased or licensed to another </w:t>
      </w:r>
      <w:proofErr w:type="gramStart"/>
      <w:r>
        <w:rPr>
          <w:rFonts w:cstheme="minorHAnsi"/>
          <w:color w:val="F38225"/>
          <w:sz w:val="26"/>
          <w:szCs w:val="26"/>
        </w:rPr>
        <w:t>person</w:t>
      </w:r>
      <w:proofErr w:type="gramEnd"/>
      <w:r>
        <w:rPr>
          <w:rFonts w:cstheme="minorHAnsi"/>
          <w:color w:val="F38225"/>
          <w:sz w:val="26"/>
          <w:szCs w:val="26"/>
        </w:rPr>
        <w:t xml:space="preserve"> is exempt from the fire services property levy. Therefore, Committees of Management are not required to pay the fire services property levy on the Crown land reserve which they manage.</w:t>
      </w:r>
    </w:p>
    <w:p w:rsidR="00103A0A" w:rsidRDefault="00103A0A" w:rsidP="00A72039">
      <w:pPr>
        <w:spacing w:before="120" w:after="0" w:line="240" w:lineRule="auto"/>
        <w:ind w:left="142"/>
        <w:rPr>
          <w:rFonts w:cstheme="minorHAnsi"/>
          <w:color w:val="000000"/>
          <w:sz w:val="20"/>
          <w:szCs w:val="20"/>
        </w:rPr>
      </w:pPr>
      <w:r w:rsidRPr="00103A0A">
        <w:rPr>
          <w:rFonts w:cstheme="minorHAnsi"/>
          <w:color w:val="000000"/>
          <w:sz w:val="20"/>
          <w:szCs w:val="20"/>
        </w:rPr>
        <w:t>However, if a Committee of Manage</w:t>
      </w:r>
      <w:r>
        <w:rPr>
          <w:rFonts w:cstheme="minorHAnsi"/>
          <w:color w:val="000000"/>
          <w:sz w:val="20"/>
          <w:szCs w:val="20"/>
        </w:rPr>
        <w:t xml:space="preserve">ment leases or licences part of </w:t>
      </w:r>
      <w:r w:rsidRPr="00103A0A">
        <w:rPr>
          <w:rFonts w:cstheme="minorHAnsi"/>
          <w:color w:val="000000"/>
          <w:sz w:val="20"/>
          <w:szCs w:val="20"/>
        </w:rPr>
        <w:t>its reserve, the lessee or licensee may beco</w:t>
      </w:r>
      <w:r>
        <w:rPr>
          <w:rFonts w:cstheme="minorHAnsi"/>
          <w:color w:val="000000"/>
          <w:sz w:val="20"/>
          <w:szCs w:val="20"/>
        </w:rPr>
        <w:t xml:space="preserve">me liable for the fire services </w:t>
      </w:r>
      <w:r w:rsidRPr="00103A0A">
        <w:rPr>
          <w:rFonts w:cstheme="minorHAnsi"/>
          <w:color w:val="000000"/>
          <w:sz w:val="20"/>
          <w:szCs w:val="20"/>
        </w:rPr>
        <w:t xml:space="preserve">property levy. </w:t>
      </w:r>
    </w:p>
    <w:p w:rsidR="00A72039" w:rsidRPr="00103A0A" w:rsidRDefault="00103A0A" w:rsidP="00103A0A">
      <w:pPr>
        <w:spacing w:before="120" w:after="0" w:line="240" w:lineRule="auto"/>
        <w:ind w:left="142"/>
        <w:rPr>
          <w:rFonts w:cstheme="minorHAnsi"/>
          <w:color w:val="000000"/>
          <w:sz w:val="20"/>
          <w:szCs w:val="20"/>
        </w:rPr>
      </w:pPr>
      <w:r w:rsidRPr="00103A0A">
        <w:rPr>
          <w:rFonts w:cstheme="minorHAnsi"/>
          <w:color w:val="000000"/>
          <w:sz w:val="20"/>
          <w:szCs w:val="20"/>
        </w:rPr>
        <w:t>For general information regar</w:t>
      </w:r>
      <w:r>
        <w:rPr>
          <w:rFonts w:cstheme="minorHAnsi"/>
          <w:color w:val="000000"/>
          <w:sz w:val="20"/>
          <w:szCs w:val="20"/>
        </w:rPr>
        <w:t xml:space="preserve">ding the fire services property </w:t>
      </w:r>
      <w:r w:rsidRPr="00103A0A">
        <w:rPr>
          <w:rFonts w:cstheme="minorHAnsi"/>
          <w:color w:val="000000"/>
          <w:sz w:val="20"/>
          <w:szCs w:val="20"/>
        </w:rPr>
        <w:t xml:space="preserve">levy and its application to Committees </w:t>
      </w:r>
      <w:r>
        <w:rPr>
          <w:rFonts w:cstheme="minorHAnsi"/>
          <w:color w:val="000000"/>
          <w:sz w:val="20"/>
          <w:szCs w:val="20"/>
        </w:rPr>
        <w:t xml:space="preserve">of Management, please visit the </w:t>
      </w:r>
      <w:r w:rsidRPr="00103A0A">
        <w:rPr>
          <w:rFonts w:cstheme="minorHAnsi"/>
          <w:color w:val="000000"/>
          <w:sz w:val="20"/>
          <w:szCs w:val="20"/>
        </w:rPr>
        <w:t>State Revenue Office website</w:t>
      </w:r>
      <w:r>
        <w:rPr>
          <w:rFonts w:cstheme="minorHAnsi"/>
          <w:color w:val="000000"/>
          <w:sz w:val="20"/>
          <w:szCs w:val="20"/>
        </w:rPr>
        <w:t>:</w:t>
      </w:r>
      <w:r w:rsidRPr="00103A0A">
        <w:rPr>
          <w:rFonts w:cstheme="minorHAnsi"/>
          <w:color w:val="000000"/>
          <w:sz w:val="20"/>
          <w:szCs w:val="20"/>
        </w:rPr>
        <w:t xml:space="preserve"> </w:t>
      </w:r>
      <w:hyperlink r:id="rId30" w:history="1">
        <w:r w:rsidRPr="002513BD">
          <w:rPr>
            <w:rStyle w:val="Hyperlink"/>
            <w:rFonts w:cstheme="minorHAnsi"/>
            <w:sz w:val="20"/>
            <w:szCs w:val="20"/>
          </w:rPr>
          <w:t>www.sro.vic.gov.au</w:t>
        </w:r>
      </w:hyperlink>
      <w:r>
        <w:rPr>
          <w:rFonts w:cstheme="minorHAnsi"/>
          <w:color w:val="000000"/>
          <w:sz w:val="20"/>
          <w:szCs w:val="20"/>
        </w:rPr>
        <w:t xml:space="preserve"> or the </w:t>
      </w:r>
      <w:r w:rsidR="007014E9" w:rsidRPr="00A72039">
        <w:rPr>
          <w:rFonts w:cstheme="minorHAnsi"/>
          <w:sz w:val="20"/>
          <w:szCs w:val="20"/>
        </w:rPr>
        <w:t xml:space="preserve">Fire Services Property Levy website:  </w:t>
      </w:r>
      <w:hyperlink r:id="rId31" w:history="1">
        <w:r w:rsidR="007014E9" w:rsidRPr="00103A0A">
          <w:rPr>
            <w:rStyle w:val="Hyperlink"/>
            <w:rFonts w:cstheme="minorHAnsi"/>
            <w:sz w:val="20"/>
            <w:szCs w:val="20"/>
          </w:rPr>
          <w:t>http://www.firelevy.vic.gov.au/</w:t>
        </w:r>
      </w:hyperlink>
    </w:p>
    <w:p w:rsidR="00A72039" w:rsidRDefault="00A72039" w:rsidP="00A72039">
      <w:pPr>
        <w:autoSpaceDE w:val="0"/>
        <w:autoSpaceDN w:val="0"/>
        <w:adjustRightInd w:val="0"/>
        <w:spacing w:after="0" w:line="240" w:lineRule="auto"/>
        <w:rPr>
          <w:rFonts w:ascii="Helv" w:hAnsi="Helv" w:cs="Helv"/>
          <w:color w:val="000000"/>
          <w:sz w:val="20"/>
          <w:szCs w:val="20"/>
        </w:rPr>
      </w:pPr>
    </w:p>
    <w:p w:rsidR="00A72039" w:rsidRPr="00A72039" w:rsidRDefault="00A72039" w:rsidP="00A72039">
      <w:pPr>
        <w:autoSpaceDE w:val="0"/>
        <w:autoSpaceDN w:val="0"/>
        <w:adjustRightInd w:val="0"/>
        <w:spacing w:after="0" w:line="240" w:lineRule="auto"/>
        <w:ind w:left="142"/>
        <w:rPr>
          <w:rFonts w:cstheme="minorHAnsi"/>
          <w:b/>
          <w:color w:val="000000"/>
          <w:sz w:val="24"/>
          <w:szCs w:val="24"/>
        </w:rPr>
      </w:pPr>
      <w:r w:rsidRPr="00A72039">
        <w:rPr>
          <w:rFonts w:cstheme="minorHAnsi"/>
          <w:b/>
          <w:color w:val="000000"/>
          <w:sz w:val="24"/>
          <w:szCs w:val="24"/>
        </w:rPr>
        <w:t xml:space="preserve">New smoke-free areas </w:t>
      </w:r>
    </w:p>
    <w:p w:rsidR="00A72039" w:rsidRPr="00A72039" w:rsidRDefault="00A72039" w:rsidP="00A72039">
      <w:pPr>
        <w:autoSpaceDE w:val="0"/>
        <w:autoSpaceDN w:val="0"/>
        <w:adjustRightInd w:val="0"/>
        <w:spacing w:before="120" w:after="0" w:line="240" w:lineRule="auto"/>
        <w:ind w:left="142"/>
        <w:rPr>
          <w:rFonts w:cstheme="minorHAnsi"/>
          <w:color w:val="000000"/>
          <w:sz w:val="20"/>
          <w:szCs w:val="20"/>
        </w:rPr>
      </w:pPr>
      <w:r w:rsidRPr="00A72039">
        <w:rPr>
          <w:rFonts w:cstheme="minorHAnsi"/>
          <w:color w:val="000000"/>
          <w:sz w:val="20"/>
          <w:szCs w:val="20"/>
        </w:rPr>
        <w:t xml:space="preserve">New tobacco reforms come into force April 1, 2014. Committees of Management need to be aware that: </w:t>
      </w:r>
    </w:p>
    <w:p w:rsidR="00A72039" w:rsidRPr="00A72039" w:rsidRDefault="00A72039" w:rsidP="00A72039">
      <w:pPr>
        <w:autoSpaceDE w:val="0"/>
        <w:autoSpaceDN w:val="0"/>
        <w:adjustRightInd w:val="0"/>
        <w:spacing w:before="120" w:after="0" w:line="240" w:lineRule="auto"/>
        <w:ind w:left="142"/>
        <w:rPr>
          <w:color w:val="F38225"/>
          <w:sz w:val="26"/>
          <w:szCs w:val="26"/>
        </w:rPr>
      </w:pPr>
      <w:r w:rsidRPr="00A72039">
        <w:rPr>
          <w:color w:val="F38225"/>
          <w:sz w:val="26"/>
          <w:szCs w:val="26"/>
        </w:rPr>
        <w:t xml:space="preserve">Smoking will be banned at areas commonly used by children and young people for recreational and sporting activities. </w:t>
      </w:r>
    </w:p>
    <w:p w:rsidR="00A72039" w:rsidRPr="00A72039" w:rsidRDefault="00A72039" w:rsidP="00A72039">
      <w:pPr>
        <w:autoSpaceDE w:val="0"/>
        <w:autoSpaceDN w:val="0"/>
        <w:adjustRightInd w:val="0"/>
        <w:spacing w:before="120" w:after="0" w:line="240" w:lineRule="auto"/>
        <w:ind w:left="142"/>
        <w:rPr>
          <w:rFonts w:cstheme="minorHAnsi"/>
          <w:color w:val="000000"/>
          <w:sz w:val="20"/>
          <w:szCs w:val="20"/>
        </w:rPr>
      </w:pPr>
      <w:r w:rsidRPr="00A72039">
        <w:rPr>
          <w:rFonts w:cstheme="minorHAnsi"/>
          <w:color w:val="000000"/>
          <w:sz w:val="20"/>
          <w:szCs w:val="20"/>
        </w:rPr>
        <w:t xml:space="preserve">Under the </w:t>
      </w:r>
      <w:r w:rsidRPr="00A72039">
        <w:rPr>
          <w:rFonts w:cstheme="minorHAnsi"/>
          <w:i/>
          <w:iCs/>
          <w:color w:val="000000"/>
          <w:sz w:val="20"/>
          <w:szCs w:val="20"/>
        </w:rPr>
        <w:t>Tobacco Act 1987</w:t>
      </w:r>
      <w:r w:rsidRPr="00A72039">
        <w:rPr>
          <w:rFonts w:cstheme="minorHAnsi"/>
          <w:color w:val="000000"/>
          <w:sz w:val="20"/>
          <w:szCs w:val="20"/>
        </w:rPr>
        <w:t xml:space="preserve"> (the Act) smoking will be banned:</w:t>
      </w:r>
    </w:p>
    <w:p w:rsidR="00A72039" w:rsidRPr="00A72039" w:rsidRDefault="00A72039" w:rsidP="00A72039">
      <w:pPr>
        <w:numPr>
          <w:ilvl w:val="0"/>
          <w:numId w:val="5"/>
        </w:numPr>
        <w:autoSpaceDE w:val="0"/>
        <w:autoSpaceDN w:val="0"/>
        <w:adjustRightInd w:val="0"/>
        <w:spacing w:before="120" w:after="0" w:line="240" w:lineRule="auto"/>
        <w:ind w:left="284" w:hanging="284"/>
        <w:rPr>
          <w:rFonts w:cstheme="minorHAnsi"/>
          <w:color w:val="000000"/>
          <w:sz w:val="20"/>
          <w:szCs w:val="20"/>
        </w:rPr>
      </w:pPr>
      <w:r w:rsidRPr="00A72039">
        <w:rPr>
          <w:rFonts w:cstheme="minorHAnsi"/>
          <w:color w:val="000000"/>
          <w:sz w:val="20"/>
          <w:szCs w:val="20"/>
        </w:rPr>
        <w:t>at or within 10 metres of children’s playground equipment that is an outdoor public place</w:t>
      </w:r>
      <w:r w:rsidR="00484102">
        <w:rPr>
          <w:rFonts w:cstheme="minorHAnsi"/>
          <w:color w:val="000000"/>
          <w:sz w:val="20"/>
          <w:szCs w:val="20"/>
        </w:rPr>
        <w:t>;</w:t>
      </w:r>
    </w:p>
    <w:p w:rsidR="00A72039" w:rsidRPr="00A72039" w:rsidRDefault="00A72039" w:rsidP="00A72039">
      <w:pPr>
        <w:numPr>
          <w:ilvl w:val="0"/>
          <w:numId w:val="5"/>
        </w:numPr>
        <w:autoSpaceDE w:val="0"/>
        <w:autoSpaceDN w:val="0"/>
        <w:adjustRightInd w:val="0"/>
        <w:spacing w:after="0" w:line="240" w:lineRule="auto"/>
        <w:ind w:left="284" w:hanging="284"/>
        <w:rPr>
          <w:rFonts w:cstheme="minorHAnsi"/>
          <w:color w:val="000000"/>
          <w:sz w:val="20"/>
          <w:szCs w:val="20"/>
        </w:rPr>
      </w:pPr>
      <w:r w:rsidRPr="00A72039">
        <w:rPr>
          <w:rFonts w:cstheme="minorHAnsi"/>
          <w:color w:val="000000"/>
          <w:sz w:val="20"/>
          <w:szCs w:val="20"/>
        </w:rPr>
        <w:t>at or within 10 metres of a skate park that is an outdoor public place</w:t>
      </w:r>
      <w:r w:rsidR="00484102">
        <w:rPr>
          <w:rFonts w:cstheme="minorHAnsi"/>
          <w:color w:val="000000"/>
          <w:sz w:val="20"/>
          <w:szCs w:val="20"/>
        </w:rPr>
        <w:t>;</w:t>
      </w:r>
    </w:p>
    <w:p w:rsidR="00A72039" w:rsidRPr="00A72039" w:rsidRDefault="00A72039" w:rsidP="00A72039">
      <w:pPr>
        <w:numPr>
          <w:ilvl w:val="0"/>
          <w:numId w:val="5"/>
        </w:numPr>
        <w:autoSpaceDE w:val="0"/>
        <w:autoSpaceDN w:val="0"/>
        <w:adjustRightInd w:val="0"/>
        <w:spacing w:after="0" w:line="240" w:lineRule="auto"/>
        <w:ind w:left="284" w:hanging="284"/>
        <w:rPr>
          <w:rFonts w:cstheme="minorHAnsi"/>
          <w:color w:val="000000"/>
          <w:sz w:val="20"/>
          <w:szCs w:val="20"/>
        </w:rPr>
      </w:pPr>
      <w:r w:rsidRPr="00A72039">
        <w:rPr>
          <w:rFonts w:cstheme="minorHAnsi"/>
          <w:color w:val="000000"/>
          <w:sz w:val="20"/>
          <w:szCs w:val="20"/>
        </w:rPr>
        <w:t>at or within 10 metres of a sporting venue that is an outdoor public place during an organised underage sporting event, including training or practice sessions and during breaks or intervals in play</w:t>
      </w:r>
      <w:r w:rsidR="00484102">
        <w:rPr>
          <w:rFonts w:cstheme="minorHAnsi"/>
          <w:color w:val="000000"/>
          <w:sz w:val="20"/>
          <w:szCs w:val="20"/>
        </w:rPr>
        <w:t>;</w:t>
      </w:r>
    </w:p>
    <w:p w:rsidR="00A72039" w:rsidRPr="00A72039" w:rsidRDefault="00A72039" w:rsidP="00A72039">
      <w:pPr>
        <w:numPr>
          <w:ilvl w:val="0"/>
          <w:numId w:val="5"/>
        </w:numPr>
        <w:autoSpaceDE w:val="0"/>
        <w:autoSpaceDN w:val="0"/>
        <w:adjustRightInd w:val="0"/>
        <w:spacing w:after="0" w:line="240" w:lineRule="auto"/>
        <w:ind w:left="284" w:hanging="284"/>
        <w:rPr>
          <w:rFonts w:cstheme="minorHAnsi"/>
          <w:color w:val="000000"/>
          <w:sz w:val="20"/>
          <w:szCs w:val="20"/>
        </w:rPr>
      </w:pPr>
      <w:proofErr w:type="gramStart"/>
      <w:r w:rsidRPr="00A72039">
        <w:rPr>
          <w:rFonts w:cstheme="minorHAnsi"/>
          <w:color w:val="000000"/>
          <w:sz w:val="20"/>
          <w:szCs w:val="20"/>
        </w:rPr>
        <w:t>in</w:t>
      </w:r>
      <w:proofErr w:type="gramEnd"/>
      <w:r w:rsidRPr="00A72039">
        <w:rPr>
          <w:rFonts w:cstheme="minorHAnsi"/>
          <w:color w:val="000000"/>
          <w:sz w:val="20"/>
          <w:szCs w:val="20"/>
        </w:rPr>
        <w:t xml:space="preserve"> an outdoor area of a swimming pool complex that is a public place.</w:t>
      </w:r>
    </w:p>
    <w:p w:rsidR="00A72039" w:rsidRPr="00A72039" w:rsidRDefault="00A72039" w:rsidP="00A72039">
      <w:pPr>
        <w:autoSpaceDE w:val="0"/>
        <w:autoSpaceDN w:val="0"/>
        <w:adjustRightInd w:val="0"/>
        <w:spacing w:after="0" w:line="240" w:lineRule="auto"/>
        <w:ind w:left="60"/>
        <w:rPr>
          <w:rFonts w:cstheme="minorHAnsi"/>
          <w:color w:val="000000"/>
          <w:sz w:val="20"/>
          <w:szCs w:val="20"/>
        </w:rPr>
      </w:pPr>
    </w:p>
    <w:p w:rsidR="00A72039" w:rsidRPr="00A72039" w:rsidRDefault="00A72039" w:rsidP="00484102">
      <w:pPr>
        <w:autoSpaceDE w:val="0"/>
        <w:autoSpaceDN w:val="0"/>
        <w:adjustRightInd w:val="0"/>
        <w:spacing w:after="0" w:line="240" w:lineRule="auto"/>
        <w:ind w:left="142"/>
        <w:rPr>
          <w:rFonts w:cstheme="minorHAnsi"/>
          <w:color w:val="000000"/>
          <w:sz w:val="20"/>
          <w:szCs w:val="20"/>
        </w:rPr>
      </w:pPr>
      <w:r w:rsidRPr="00A72039">
        <w:rPr>
          <w:rFonts w:cstheme="minorHAnsi"/>
          <w:color w:val="000000"/>
          <w:sz w:val="20"/>
          <w:szCs w:val="20"/>
        </w:rPr>
        <w:t>More information can be found via the following link:</w:t>
      </w:r>
    </w:p>
    <w:p w:rsidR="00A72039" w:rsidRPr="00A72039" w:rsidRDefault="00A72039" w:rsidP="00484102">
      <w:pPr>
        <w:autoSpaceDE w:val="0"/>
        <w:autoSpaceDN w:val="0"/>
        <w:adjustRightInd w:val="0"/>
        <w:spacing w:after="0" w:line="240" w:lineRule="auto"/>
        <w:ind w:left="142"/>
        <w:rPr>
          <w:rFonts w:cstheme="minorHAnsi"/>
          <w:color w:val="000000"/>
          <w:sz w:val="20"/>
          <w:szCs w:val="20"/>
        </w:rPr>
      </w:pPr>
    </w:p>
    <w:p w:rsidR="00A72039" w:rsidRDefault="00236FBF" w:rsidP="0048410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42"/>
        <w:rPr>
          <w:rFonts w:ascii="Helv" w:hAnsi="Helv" w:cs="Helv"/>
          <w:color w:val="000000"/>
          <w:sz w:val="20"/>
          <w:szCs w:val="20"/>
        </w:rPr>
      </w:pPr>
      <w:hyperlink r:id="rId32" w:history="1">
        <w:r w:rsidR="00A72039" w:rsidRPr="00A72039">
          <w:rPr>
            <w:rFonts w:cstheme="minorHAnsi"/>
            <w:color w:val="0000FF"/>
            <w:sz w:val="20"/>
            <w:szCs w:val="20"/>
          </w:rPr>
          <w:t>http://www.health.vic.gov.au/tobaccoreforms/index.htm</w:t>
        </w:r>
      </w:hyperlink>
    </w:p>
    <w:p w:rsidR="001D1B6C" w:rsidRPr="00A72039" w:rsidRDefault="004C7A7D" w:rsidP="00A72039">
      <w:pPr>
        <w:spacing w:before="120" w:after="0"/>
        <w:ind w:left="142"/>
        <w:rPr>
          <w:rFonts w:cstheme="minorHAnsi"/>
          <w:sz w:val="20"/>
          <w:szCs w:val="20"/>
          <w:lang w:val="en"/>
        </w:rPr>
      </w:pPr>
      <w:r w:rsidRPr="00A72039">
        <w:rPr>
          <w:b/>
          <w:noProof/>
          <w:sz w:val="20"/>
          <w:szCs w:val="20"/>
          <w:u w:val="single"/>
          <w:lang w:eastAsia="en-AU"/>
        </w:rPr>
        <w:drawing>
          <wp:anchor distT="0" distB="0" distL="114300" distR="114300" simplePos="0" relativeHeight="251675648" behindDoc="0" locked="0" layoutInCell="1" allowOverlap="1" wp14:anchorId="70FAE80B" wp14:editId="64A4D46C">
            <wp:simplePos x="0" y="0"/>
            <wp:positionH relativeFrom="page">
              <wp:posOffset>5477510</wp:posOffset>
            </wp:positionH>
            <wp:positionV relativeFrom="page">
              <wp:posOffset>10008235</wp:posOffset>
            </wp:positionV>
            <wp:extent cx="1850390" cy="482600"/>
            <wp:effectExtent l="0" t="0" r="0" b="0"/>
            <wp:wrapNone/>
            <wp:docPr id="10" name="Picture 10" descr="C:\Users\SPF\Documents\TMC\DEPI\To mod\DEPI_RGB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VicBrick" descr="C:\Users\SPF\Documents\TMC\DEPI\To mod\DEPI_RGB_righ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039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630" w:rsidRPr="00A72039">
        <w:rPr>
          <w:noProof/>
          <w:color w:val="FFFFFF" w:themeColor="background1"/>
          <w:sz w:val="20"/>
          <w:szCs w:val="20"/>
          <w:lang w:eastAsia="en-AU"/>
        </w:rPr>
        <w:drawing>
          <wp:anchor distT="0" distB="0" distL="114300" distR="114300" simplePos="0" relativeHeight="251673600" behindDoc="1" locked="0" layoutInCell="1" allowOverlap="1" wp14:anchorId="227618C4" wp14:editId="27A0CF67">
            <wp:simplePos x="0" y="0"/>
            <wp:positionH relativeFrom="page">
              <wp:posOffset>247650</wp:posOffset>
            </wp:positionH>
            <wp:positionV relativeFrom="page">
              <wp:posOffset>114300</wp:posOffset>
            </wp:positionV>
            <wp:extent cx="7799705" cy="9334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5" r="-5245"/>
                    <a:stretch/>
                  </pic:blipFill>
                  <pic:spPr bwMode="auto">
                    <a:xfrm>
                      <a:off x="0" y="0"/>
                      <a:ext cx="779970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D1B6C" w:rsidRPr="00A72039" w:rsidSect="008F3F55">
      <w:type w:val="continuous"/>
      <w:pgSz w:w="11906" w:h="16838"/>
      <w:pgMar w:top="567" w:right="707" w:bottom="1440" w:left="567" w:header="708" w:footer="708" w:gutter="0"/>
      <w:cols w:num="2"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E9" w:rsidRDefault="007014E9" w:rsidP="007014E9">
      <w:pPr>
        <w:spacing w:after="0" w:line="240" w:lineRule="auto"/>
      </w:pPr>
      <w:r>
        <w:separator/>
      </w:r>
    </w:p>
  </w:endnote>
  <w:endnote w:type="continuationSeparator" w:id="0">
    <w:p w:rsidR="007014E9" w:rsidRDefault="007014E9" w:rsidP="0070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5" w:type="dxa"/>
      <w:tblInd w:w="-601" w:type="dxa"/>
      <w:tblLook w:val="01E0" w:firstRow="1" w:lastRow="1" w:firstColumn="1" w:lastColumn="1" w:noHBand="0" w:noVBand="0"/>
    </w:tblPr>
    <w:tblGrid>
      <w:gridCol w:w="5387"/>
      <w:gridCol w:w="5228"/>
    </w:tblGrid>
    <w:tr w:rsidR="007014E9" w:rsidTr="00A72039">
      <w:trPr>
        <w:trHeight w:val="2241"/>
      </w:trPr>
      <w:tc>
        <w:tcPr>
          <w:tcW w:w="5387" w:type="dxa"/>
          <w:shd w:val="clear" w:color="auto" w:fill="auto"/>
        </w:tcPr>
        <w:p w:rsidR="007014E9" w:rsidRDefault="007014E9" w:rsidP="00A72039">
          <w:pPr>
            <w:pStyle w:val="ImprintText"/>
          </w:pPr>
          <w:r>
            <w:t xml:space="preserve">Published by the Victorian Government Department of Environment and Primary Industries Melbourne, </w:t>
          </w:r>
          <w:r w:rsidR="003C415E" w:rsidRPr="003C415E">
            <w:t>March</w:t>
          </w:r>
          <w:r w:rsidRPr="003C415E">
            <w:t xml:space="preserve"> </w:t>
          </w:r>
          <w:r w:rsidRPr="005931DB">
            <w:t>2014</w:t>
          </w:r>
        </w:p>
        <w:p w:rsidR="007014E9" w:rsidRDefault="007014E9" w:rsidP="006D4A3E">
          <w:pPr>
            <w:pStyle w:val="ImprintText"/>
          </w:pPr>
          <w:r>
            <w:t xml:space="preserve">© The State of Victoria Department of Environment and Primary Industries Melbourne </w:t>
          </w:r>
          <w:r w:rsidRPr="005931DB">
            <w:t>2014</w:t>
          </w:r>
        </w:p>
        <w:p w:rsidR="007014E9" w:rsidRDefault="007014E9" w:rsidP="006D4A3E">
          <w:pPr>
            <w:pStyle w:val="ImprintText"/>
          </w:pPr>
          <w:r>
            <w:t xml:space="preserve">This publication is copyright. No part may be reproduced by any process except in accordance with the provisions of the </w:t>
          </w:r>
          <w:r w:rsidRPr="00B3689A">
            <w:rPr>
              <w:i/>
            </w:rPr>
            <w:t>Copyright Act 1968</w:t>
          </w:r>
          <w:r>
            <w:t>.</w:t>
          </w:r>
        </w:p>
        <w:p w:rsidR="007014E9" w:rsidRDefault="007014E9" w:rsidP="006D4A3E">
          <w:pPr>
            <w:pStyle w:val="ImprintText"/>
          </w:pPr>
          <w:r>
            <w:t xml:space="preserve">Print managed by Finsbury Green </w:t>
          </w:r>
          <w:r w:rsidR="003C415E" w:rsidRPr="003C415E">
            <w:t>March</w:t>
          </w:r>
          <w:r>
            <w:rPr>
              <w:color w:val="FF0000"/>
            </w:rPr>
            <w:t xml:space="preserve"> </w:t>
          </w:r>
          <w:r w:rsidRPr="005931DB">
            <w:t>2014</w:t>
          </w:r>
        </w:p>
        <w:p w:rsidR="007014E9" w:rsidRDefault="007014E9" w:rsidP="003C415E">
          <w:pPr>
            <w:pStyle w:val="ImprintText"/>
          </w:pPr>
        </w:p>
      </w:tc>
      <w:tc>
        <w:tcPr>
          <w:tcW w:w="5228" w:type="dxa"/>
          <w:shd w:val="clear" w:color="auto" w:fill="auto"/>
        </w:tcPr>
        <w:p w:rsidR="007014E9" w:rsidRDefault="007014E9" w:rsidP="00A72039">
          <w:pPr>
            <w:pStyle w:val="ImprintTxtBold"/>
            <w:ind w:left="176"/>
          </w:pPr>
          <w:r>
            <w:t>Accessibility</w:t>
          </w:r>
        </w:p>
        <w:p w:rsidR="007014E9" w:rsidRDefault="007014E9" w:rsidP="00A72039">
          <w:pPr>
            <w:pStyle w:val="ImprintText"/>
            <w:ind w:left="176"/>
          </w:pPr>
          <w:r>
            <w:t>If you would like to receive this publication in an alternative format,</w:t>
          </w:r>
          <w:r>
            <w:br/>
            <w:t>please telephone DEPI Customer Service Centre 136 186, email</w:t>
          </w:r>
          <w:r>
            <w:br/>
            <w:t>customer.service@dse.vic.gov.au (or relevant address), via the National</w:t>
          </w:r>
          <w:r>
            <w:br/>
            <w:t>Relay Service on 133 677 www.relayservice.com.au This document is</w:t>
          </w:r>
          <w:r>
            <w:br/>
            <w:t>also available in on the internet at www.depi.vic.gov.au</w:t>
          </w:r>
        </w:p>
        <w:p w:rsidR="007014E9" w:rsidRDefault="00A72039" w:rsidP="00A72039">
          <w:pPr>
            <w:pStyle w:val="ImprintTxtBold"/>
            <w:ind w:left="176" w:hanging="176"/>
          </w:pPr>
          <w:r>
            <w:t xml:space="preserve">     </w:t>
          </w:r>
          <w:r w:rsidR="007014E9">
            <w:t>Disclaimer</w:t>
          </w:r>
        </w:p>
        <w:p w:rsidR="007014E9" w:rsidRDefault="007014E9" w:rsidP="00A72039">
          <w:pPr>
            <w:pStyle w:val="ImprintText"/>
            <w:ind w:left="176"/>
          </w:pPr>
          <w:r>
            <w:t>This publication may be of assistance to you but the State of Victoria and its</w:t>
          </w:r>
          <w:r>
            <w:br/>
            <w:t xml:space="preserve">employees do not guarantee that the publication is without flaw of any kind </w:t>
          </w:r>
          <w:r>
            <w:br/>
            <w:t xml:space="preserve">or is wholly appropriate for your particular purposes and therefore disclaims </w:t>
          </w:r>
          <w:r>
            <w:br/>
            <w:t>all liability for any error, loss or other consequence which may arise from you relying on any information in this publication.</w:t>
          </w:r>
        </w:p>
      </w:tc>
    </w:tr>
  </w:tbl>
  <w:p w:rsidR="007014E9" w:rsidRDefault="00701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E9" w:rsidRDefault="007014E9" w:rsidP="007014E9">
      <w:pPr>
        <w:spacing w:after="0" w:line="240" w:lineRule="auto"/>
      </w:pPr>
      <w:r>
        <w:separator/>
      </w:r>
    </w:p>
  </w:footnote>
  <w:footnote w:type="continuationSeparator" w:id="0">
    <w:p w:rsidR="007014E9" w:rsidRDefault="007014E9" w:rsidP="00701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5E" w:rsidRDefault="003C4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04264"/>
    <w:lvl w:ilvl="0">
      <w:numFmt w:val="bullet"/>
      <w:lvlText w:val="*"/>
      <w:lvlJc w:val="left"/>
    </w:lvl>
  </w:abstractNum>
  <w:abstractNum w:abstractNumId="1">
    <w:nsid w:val="254D3D06"/>
    <w:multiLevelType w:val="hybridMultilevel"/>
    <w:tmpl w:val="ADF0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8B34F1"/>
    <w:multiLevelType w:val="hybridMultilevel"/>
    <w:tmpl w:val="8528E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885897"/>
    <w:multiLevelType w:val="hybridMultilevel"/>
    <w:tmpl w:val="B562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A111D0"/>
    <w:multiLevelType w:val="hybridMultilevel"/>
    <w:tmpl w:val="7DBE8730"/>
    <w:lvl w:ilvl="0" w:tplc="B36E37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EB"/>
    <w:rsid w:val="000B1630"/>
    <w:rsid w:val="000E29B5"/>
    <w:rsid w:val="00103A0A"/>
    <w:rsid w:val="00131285"/>
    <w:rsid w:val="001B03B4"/>
    <w:rsid w:val="001D09A0"/>
    <w:rsid w:val="001D1B6C"/>
    <w:rsid w:val="001D5CA1"/>
    <w:rsid w:val="00210A6D"/>
    <w:rsid w:val="00236FBF"/>
    <w:rsid w:val="00264137"/>
    <w:rsid w:val="003375CD"/>
    <w:rsid w:val="003C415E"/>
    <w:rsid w:val="00484102"/>
    <w:rsid w:val="004C7A7D"/>
    <w:rsid w:val="0050351C"/>
    <w:rsid w:val="0062574C"/>
    <w:rsid w:val="007014E9"/>
    <w:rsid w:val="008F3F55"/>
    <w:rsid w:val="0097388A"/>
    <w:rsid w:val="009A01C0"/>
    <w:rsid w:val="00A3066E"/>
    <w:rsid w:val="00A72039"/>
    <w:rsid w:val="00AD7EEB"/>
    <w:rsid w:val="00AE0D03"/>
    <w:rsid w:val="00AF5EC7"/>
    <w:rsid w:val="00B12AAE"/>
    <w:rsid w:val="00B73565"/>
    <w:rsid w:val="00CC37A5"/>
    <w:rsid w:val="00CD73F1"/>
    <w:rsid w:val="00D159DB"/>
    <w:rsid w:val="00DF4E91"/>
    <w:rsid w:val="00E5654E"/>
    <w:rsid w:val="00F24147"/>
    <w:rsid w:val="00F94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1C0"/>
    <w:rPr>
      <w:color w:val="0000FF" w:themeColor="hyperlink"/>
      <w:u w:val="single"/>
    </w:rPr>
  </w:style>
  <w:style w:type="table" w:styleId="TableGrid">
    <w:name w:val="Table Grid"/>
    <w:basedOn w:val="TableNormal"/>
    <w:uiPriority w:val="59"/>
    <w:rsid w:val="009A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1C0"/>
    <w:pPr>
      <w:ind w:left="720"/>
      <w:contextualSpacing/>
    </w:pPr>
  </w:style>
  <w:style w:type="paragraph" w:customStyle="1" w:styleId="ImprintText">
    <w:name w:val="_ImprintText"/>
    <w:uiPriority w:val="9"/>
    <w:rsid w:val="007014E9"/>
    <w:pPr>
      <w:spacing w:after="85" w:line="170" w:lineRule="atLeast"/>
    </w:pPr>
    <w:rPr>
      <w:rFonts w:ascii="Arial" w:eastAsia="Times New Roman" w:hAnsi="Arial" w:cs="Arial"/>
      <w:sz w:val="14"/>
      <w:szCs w:val="14"/>
    </w:rPr>
  </w:style>
  <w:style w:type="paragraph" w:customStyle="1" w:styleId="ImprintTxtBold">
    <w:name w:val="_ImprintTxtBold"/>
    <w:basedOn w:val="ImprintText"/>
    <w:next w:val="ImprintText"/>
    <w:uiPriority w:val="9"/>
    <w:rsid w:val="007014E9"/>
    <w:rPr>
      <w:b/>
    </w:rPr>
  </w:style>
  <w:style w:type="paragraph" w:styleId="Header">
    <w:name w:val="header"/>
    <w:basedOn w:val="Normal"/>
    <w:link w:val="HeaderChar"/>
    <w:uiPriority w:val="99"/>
    <w:unhideWhenUsed/>
    <w:rsid w:val="00701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4E9"/>
  </w:style>
  <w:style w:type="paragraph" w:styleId="Footer">
    <w:name w:val="footer"/>
    <w:basedOn w:val="Normal"/>
    <w:link w:val="FooterChar"/>
    <w:uiPriority w:val="99"/>
    <w:unhideWhenUsed/>
    <w:rsid w:val="00701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4E9"/>
  </w:style>
  <w:style w:type="paragraph" w:styleId="BalloonText">
    <w:name w:val="Balloon Text"/>
    <w:basedOn w:val="Normal"/>
    <w:link w:val="BalloonTextChar"/>
    <w:uiPriority w:val="99"/>
    <w:semiHidden/>
    <w:unhideWhenUsed/>
    <w:rsid w:val="0070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1C0"/>
    <w:rPr>
      <w:color w:val="0000FF" w:themeColor="hyperlink"/>
      <w:u w:val="single"/>
    </w:rPr>
  </w:style>
  <w:style w:type="table" w:styleId="TableGrid">
    <w:name w:val="Table Grid"/>
    <w:basedOn w:val="TableNormal"/>
    <w:uiPriority w:val="59"/>
    <w:rsid w:val="009A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1C0"/>
    <w:pPr>
      <w:ind w:left="720"/>
      <w:contextualSpacing/>
    </w:pPr>
  </w:style>
  <w:style w:type="paragraph" w:customStyle="1" w:styleId="ImprintText">
    <w:name w:val="_ImprintText"/>
    <w:uiPriority w:val="9"/>
    <w:rsid w:val="007014E9"/>
    <w:pPr>
      <w:spacing w:after="85" w:line="170" w:lineRule="atLeast"/>
    </w:pPr>
    <w:rPr>
      <w:rFonts w:ascii="Arial" w:eastAsia="Times New Roman" w:hAnsi="Arial" w:cs="Arial"/>
      <w:sz w:val="14"/>
      <w:szCs w:val="14"/>
    </w:rPr>
  </w:style>
  <w:style w:type="paragraph" w:customStyle="1" w:styleId="ImprintTxtBold">
    <w:name w:val="_ImprintTxtBold"/>
    <w:basedOn w:val="ImprintText"/>
    <w:next w:val="ImprintText"/>
    <w:uiPriority w:val="9"/>
    <w:rsid w:val="007014E9"/>
    <w:rPr>
      <w:b/>
    </w:rPr>
  </w:style>
  <w:style w:type="paragraph" w:styleId="Header">
    <w:name w:val="header"/>
    <w:basedOn w:val="Normal"/>
    <w:link w:val="HeaderChar"/>
    <w:uiPriority w:val="99"/>
    <w:unhideWhenUsed/>
    <w:rsid w:val="00701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4E9"/>
  </w:style>
  <w:style w:type="paragraph" w:styleId="Footer">
    <w:name w:val="footer"/>
    <w:basedOn w:val="Normal"/>
    <w:link w:val="FooterChar"/>
    <w:uiPriority w:val="99"/>
    <w:unhideWhenUsed/>
    <w:rsid w:val="00701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4E9"/>
  </w:style>
  <w:style w:type="paragraph" w:styleId="BalloonText">
    <w:name w:val="Balloon Text"/>
    <w:basedOn w:val="Normal"/>
    <w:link w:val="BalloonTextChar"/>
    <w:uiPriority w:val="99"/>
    <w:semiHidden/>
    <w:unhideWhenUsed/>
    <w:rsid w:val="0070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nrm.gov.au/funding/environment/ceg/index.html"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www.dpcd.vic.gov.au/home/grants/all-grants/community-facilities-funding-progra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pi.vic.gov.au/environment-and-wildlife/community-programs/communities-for-nature-grants" TargetMode="External"/><Relationship Id="rId25" Type="http://schemas.openxmlformats.org/officeDocument/2006/relationships/hyperlink" Target="http://www.grantslink.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transport.vic.gov.au/freight/boating-safety-and-facilities-program"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ic.gov.au/grants.html" TargetMode="External"/><Relationship Id="rId32" Type="http://schemas.openxmlformats.org/officeDocument/2006/relationships/hyperlink" Target="http://www.health.vic.gov.au/tobaccoreforms/index.htm" TargetMode="External"/><Relationship Id="rId5" Type="http://schemas.openxmlformats.org/officeDocument/2006/relationships/webSettings" Target="webSettings.xml"/><Relationship Id="rId15" Type="http://schemas.openxmlformats.org/officeDocument/2006/relationships/hyperlink" Target="http://www.audit.vic.gov.au" TargetMode="External"/><Relationship Id="rId23" Type="http://schemas.openxmlformats.org/officeDocument/2006/relationships/hyperlink" Target="http://www.dpcd.vic.gov.au/localgovernment/find-your-local-council" TargetMode="External"/><Relationship Id="rId28" Type="http://schemas.openxmlformats.org/officeDocument/2006/relationships/hyperlink" Target="http://www.depi.vic.gov.au/forestry-and-land-use/managing-land/managing-crown-land/managing-crown-land-fact-sheets" TargetMode="External"/><Relationship Id="rId10" Type="http://schemas.openxmlformats.org/officeDocument/2006/relationships/header" Target="header2.xml"/><Relationship Id="rId19" Type="http://schemas.openxmlformats.org/officeDocument/2006/relationships/hyperlink" Target="http://www.dpi.vic.gov.au/fisheries/about-fisheries/fishing-grants-program" TargetMode="External"/><Relationship Id="rId31" Type="http://schemas.openxmlformats.org/officeDocument/2006/relationships/hyperlink" Target="http://www.firelevy.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pcd.vic.gov.au/heritage/grants" TargetMode="External"/><Relationship Id="rId27" Type="http://schemas.openxmlformats.org/officeDocument/2006/relationships/footer" Target="footer4.xml"/><Relationship Id="rId30" Type="http://schemas.openxmlformats.org/officeDocument/2006/relationships/hyperlink" Target="http://www.sro.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Garnick</dc:creator>
  <cp:lastModifiedBy>Stephanie Forbes</cp:lastModifiedBy>
  <cp:revision>2</cp:revision>
  <cp:lastPrinted>2014-03-27T04:04:00Z</cp:lastPrinted>
  <dcterms:created xsi:type="dcterms:W3CDTF">2014-03-27T04:06:00Z</dcterms:created>
  <dcterms:modified xsi:type="dcterms:W3CDTF">2014-03-27T04:06:00Z</dcterms:modified>
</cp:coreProperties>
</file>