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5E5D" w14:textId="77777777" w:rsidR="009330F7" w:rsidRPr="009330F7" w:rsidRDefault="009330F7" w:rsidP="009330F7">
      <w:pPr>
        <w:pStyle w:val="Title"/>
        <w:ind w:right="-285"/>
        <w:rPr>
          <w:rFonts w:cs="Times New Roman (Headings CS)"/>
          <w:bCs/>
          <w:spacing w:val="8"/>
          <w:lang w:val="en-GB"/>
        </w:rPr>
      </w:pPr>
      <w:r w:rsidRPr="009330F7">
        <w:rPr>
          <w:rFonts w:cs="Times New Roman (Headings CS)"/>
          <w:bCs/>
          <w:spacing w:val="8"/>
          <w:lang w:val="en-GB"/>
        </w:rPr>
        <w:t>Forestry Transition Program</w:t>
      </w:r>
    </w:p>
    <w:p w14:paraId="4E0C80CB" w14:textId="268F1CE3" w:rsidR="009330F7" w:rsidRPr="009330F7" w:rsidRDefault="009330F7" w:rsidP="009330F7">
      <w:pPr>
        <w:pStyle w:val="Subtitle"/>
        <w:spacing w:before="200" w:after="0" w:line="288" w:lineRule="auto"/>
        <w:rPr>
          <w:lang w:val="en-GB"/>
        </w:rPr>
      </w:pPr>
      <w:r w:rsidRPr="009330F7">
        <w:rPr>
          <w:lang w:val="en-GB"/>
        </w:rPr>
        <w:t>Transition Fund –</w:t>
      </w:r>
      <w:r>
        <w:rPr>
          <w:lang w:val="en-GB"/>
        </w:rPr>
        <w:t xml:space="preserve"> </w:t>
      </w:r>
      <w:r w:rsidRPr="009330F7">
        <w:rPr>
          <w:lang w:val="en-GB"/>
        </w:rPr>
        <w:t>Round Two</w:t>
      </w:r>
    </w:p>
    <w:p w14:paraId="50B5C822" w14:textId="134A3985" w:rsidR="009330F7" w:rsidRPr="009330F7" w:rsidRDefault="009330F7" w:rsidP="009330F7">
      <w:pPr>
        <w:pStyle w:val="Subtitle"/>
        <w:spacing w:before="0" w:after="0" w:line="288" w:lineRule="auto"/>
        <w:rPr>
          <w:lang w:val="en-GB"/>
        </w:rPr>
      </w:pPr>
      <w:r w:rsidRPr="009330F7">
        <w:rPr>
          <w:lang w:val="en-GB"/>
        </w:rPr>
        <w:t>Application guidelines</w:t>
      </w:r>
    </w:p>
    <w:p w14:paraId="165692B5" w14:textId="7A5705D4" w:rsidR="009330F7" w:rsidRDefault="009330F7" w:rsidP="009330F7">
      <w:pPr>
        <w:rPr>
          <w:lang w:val="en-GB"/>
        </w:rPr>
      </w:pPr>
      <w:r w:rsidRPr="009330F7">
        <w:rPr>
          <w:lang w:val="en-GB"/>
        </w:rPr>
        <w:t>N</w:t>
      </w:r>
      <w:r>
        <w:rPr>
          <w:lang w:val="en-GB"/>
        </w:rPr>
        <w:t>ovember</w:t>
      </w:r>
      <w:r w:rsidRPr="009330F7">
        <w:rPr>
          <w:lang w:val="en-GB"/>
        </w:rPr>
        <w:t xml:space="preserve"> 2024</w:t>
      </w:r>
      <w:r w:rsidR="007274DE">
        <w:rPr>
          <w:lang w:val="en-GB"/>
        </w:rPr>
        <w:br/>
      </w:r>
    </w:p>
    <w:sdt>
      <w:sdtPr>
        <w:rPr>
          <w:rFonts w:asciiTheme="minorHAnsi" w:eastAsiaTheme="minorEastAsia" w:hAnsiTheme="minorHAnsi" w:cstheme="minorBidi"/>
          <w:b w:val="0"/>
          <w:color w:val="auto"/>
          <w:sz w:val="24"/>
          <w:szCs w:val="24"/>
        </w:rPr>
        <w:id w:val="1364408367"/>
        <w:docPartObj>
          <w:docPartGallery w:val="Table of Contents"/>
          <w:docPartUnique/>
        </w:docPartObj>
      </w:sdtPr>
      <w:sdtEndPr>
        <w:rPr>
          <w:noProof/>
        </w:rPr>
      </w:sdtEndPr>
      <w:sdtContent>
        <w:p w14:paraId="77D56242" w14:textId="22FEEBD4" w:rsidR="00E924AC" w:rsidRDefault="00E924AC">
          <w:pPr>
            <w:pStyle w:val="TOCHeading"/>
          </w:pPr>
          <w:r>
            <w:t>Table of Contents</w:t>
          </w:r>
        </w:p>
        <w:p w14:paraId="04CBE101" w14:textId="6807B951" w:rsidR="007274DE" w:rsidRDefault="00E924AC">
          <w:pPr>
            <w:pStyle w:val="TOC1"/>
            <w:tabs>
              <w:tab w:val="left" w:pos="480"/>
              <w:tab w:val="right" w:leader="dot" w:pos="9628"/>
            </w:tabs>
            <w:rPr>
              <w:rFonts w:cstheme="minorBidi"/>
              <w:b w:val="0"/>
              <w:bCs w:val="0"/>
              <w:iCs w:val="0"/>
              <w:noProof/>
              <w:kern w:val="2"/>
              <w:lang w:eastAsia="en-GB"/>
              <w14:ligatures w14:val="standardContextual"/>
            </w:rPr>
          </w:pPr>
          <w:r>
            <w:rPr>
              <w:iCs w:val="0"/>
            </w:rPr>
            <w:fldChar w:fldCharType="begin"/>
          </w:r>
          <w:r>
            <w:rPr>
              <w:iCs w:val="0"/>
            </w:rPr>
            <w:instrText xml:space="preserve"> TOC \o "1-2" \h \z \u </w:instrText>
          </w:r>
          <w:r>
            <w:rPr>
              <w:iCs w:val="0"/>
            </w:rPr>
            <w:fldChar w:fldCharType="separate"/>
          </w:r>
          <w:hyperlink w:anchor="_Toc181180835" w:history="1">
            <w:r w:rsidR="007274DE" w:rsidRPr="00FE7A56">
              <w:rPr>
                <w:rStyle w:val="Hyperlink"/>
                <w:noProof/>
                <w:lang w:val="en-US"/>
              </w:rPr>
              <w:t>1.</w:t>
            </w:r>
            <w:r w:rsidR="007274DE">
              <w:rPr>
                <w:rFonts w:cstheme="minorBidi"/>
                <w:b w:val="0"/>
                <w:bCs w:val="0"/>
                <w:iCs w:val="0"/>
                <w:noProof/>
                <w:kern w:val="2"/>
                <w:lang w:eastAsia="en-GB"/>
                <w14:ligatures w14:val="standardContextual"/>
              </w:rPr>
              <w:tab/>
            </w:r>
            <w:r w:rsidR="007274DE" w:rsidRPr="00FE7A56">
              <w:rPr>
                <w:rStyle w:val="Hyperlink"/>
                <w:noProof/>
                <w:lang w:val="en-US"/>
              </w:rPr>
              <w:t>Background</w:t>
            </w:r>
            <w:r w:rsidR="007274DE">
              <w:rPr>
                <w:noProof/>
                <w:webHidden/>
              </w:rPr>
              <w:tab/>
            </w:r>
            <w:r w:rsidR="007274DE">
              <w:rPr>
                <w:noProof/>
                <w:webHidden/>
              </w:rPr>
              <w:fldChar w:fldCharType="begin"/>
            </w:r>
            <w:r w:rsidR="007274DE">
              <w:rPr>
                <w:noProof/>
                <w:webHidden/>
              </w:rPr>
              <w:instrText xml:space="preserve"> PAGEREF _Toc181180835 \h </w:instrText>
            </w:r>
            <w:r w:rsidR="007274DE">
              <w:rPr>
                <w:noProof/>
                <w:webHidden/>
              </w:rPr>
            </w:r>
            <w:r w:rsidR="007274DE">
              <w:rPr>
                <w:noProof/>
                <w:webHidden/>
              </w:rPr>
              <w:fldChar w:fldCharType="separate"/>
            </w:r>
            <w:r w:rsidR="007274DE">
              <w:rPr>
                <w:noProof/>
                <w:webHidden/>
              </w:rPr>
              <w:t>2</w:t>
            </w:r>
            <w:r w:rsidR="007274DE">
              <w:rPr>
                <w:noProof/>
                <w:webHidden/>
              </w:rPr>
              <w:fldChar w:fldCharType="end"/>
            </w:r>
          </w:hyperlink>
        </w:p>
        <w:p w14:paraId="1C83A66D" w14:textId="4AE8805D" w:rsidR="007274DE" w:rsidRDefault="007274DE">
          <w:pPr>
            <w:pStyle w:val="TOC1"/>
            <w:tabs>
              <w:tab w:val="left" w:pos="480"/>
              <w:tab w:val="right" w:leader="dot" w:pos="9628"/>
            </w:tabs>
            <w:rPr>
              <w:rFonts w:cstheme="minorBidi"/>
              <w:b w:val="0"/>
              <w:bCs w:val="0"/>
              <w:iCs w:val="0"/>
              <w:noProof/>
              <w:kern w:val="2"/>
              <w:lang w:eastAsia="en-GB"/>
              <w14:ligatures w14:val="standardContextual"/>
            </w:rPr>
          </w:pPr>
          <w:hyperlink w:anchor="_Toc181180836" w:history="1">
            <w:r w:rsidRPr="00FE7A56">
              <w:rPr>
                <w:rStyle w:val="Hyperlink"/>
                <w:noProof/>
                <w:lang w:val="en-US"/>
              </w:rPr>
              <w:t>2.</w:t>
            </w:r>
            <w:r>
              <w:rPr>
                <w:rFonts w:cstheme="minorBidi"/>
                <w:b w:val="0"/>
                <w:bCs w:val="0"/>
                <w:iCs w:val="0"/>
                <w:noProof/>
                <w:kern w:val="2"/>
                <w:lang w:eastAsia="en-GB"/>
                <w14:ligatures w14:val="standardContextual"/>
              </w:rPr>
              <w:tab/>
            </w:r>
            <w:r w:rsidRPr="00FE7A56">
              <w:rPr>
                <w:rStyle w:val="Hyperlink"/>
                <w:noProof/>
                <w:lang w:val="en-US"/>
              </w:rPr>
              <w:t>Overview of the Transition Fund</w:t>
            </w:r>
            <w:r>
              <w:rPr>
                <w:noProof/>
                <w:webHidden/>
              </w:rPr>
              <w:tab/>
            </w:r>
            <w:r>
              <w:rPr>
                <w:noProof/>
                <w:webHidden/>
              </w:rPr>
              <w:fldChar w:fldCharType="begin"/>
            </w:r>
            <w:r>
              <w:rPr>
                <w:noProof/>
                <w:webHidden/>
              </w:rPr>
              <w:instrText xml:space="preserve"> PAGEREF _Toc181180836 \h </w:instrText>
            </w:r>
            <w:r>
              <w:rPr>
                <w:noProof/>
                <w:webHidden/>
              </w:rPr>
            </w:r>
            <w:r>
              <w:rPr>
                <w:noProof/>
                <w:webHidden/>
              </w:rPr>
              <w:fldChar w:fldCharType="separate"/>
            </w:r>
            <w:r>
              <w:rPr>
                <w:noProof/>
                <w:webHidden/>
              </w:rPr>
              <w:t>2</w:t>
            </w:r>
            <w:r>
              <w:rPr>
                <w:noProof/>
                <w:webHidden/>
              </w:rPr>
              <w:fldChar w:fldCharType="end"/>
            </w:r>
          </w:hyperlink>
        </w:p>
        <w:p w14:paraId="01946CE2" w14:textId="3A78FEEE" w:rsidR="007274DE" w:rsidRDefault="007274DE">
          <w:pPr>
            <w:pStyle w:val="TOC1"/>
            <w:tabs>
              <w:tab w:val="left" w:pos="480"/>
              <w:tab w:val="right" w:leader="dot" w:pos="9628"/>
            </w:tabs>
            <w:rPr>
              <w:rFonts w:cstheme="minorBidi"/>
              <w:b w:val="0"/>
              <w:bCs w:val="0"/>
              <w:iCs w:val="0"/>
              <w:noProof/>
              <w:kern w:val="2"/>
              <w:lang w:eastAsia="en-GB"/>
              <w14:ligatures w14:val="standardContextual"/>
            </w:rPr>
          </w:pPr>
          <w:hyperlink w:anchor="_Toc181180837" w:history="1">
            <w:r w:rsidRPr="00FE7A56">
              <w:rPr>
                <w:rStyle w:val="Hyperlink"/>
                <w:noProof/>
                <w:lang w:val="en-US"/>
              </w:rPr>
              <w:t>3.</w:t>
            </w:r>
            <w:r>
              <w:rPr>
                <w:rFonts w:cstheme="minorBidi"/>
                <w:b w:val="0"/>
                <w:bCs w:val="0"/>
                <w:iCs w:val="0"/>
                <w:noProof/>
                <w:kern w:val="2"/>
                <w:lang w:eastAsia="en-GB"/>
                <w14:ligatures w14:val="standardContextual"/>
              </w:rPr>
              <w:tab/>
            </w:r>
            <w:r w:rsidRPr="00FE7A56">
              <w:rPr>
                <w:rStyle w:val="Hyperlink"/>
                <w:noProof/>
                <w:lang w:val="en-US"/>
              </w:rPr>
              <w:t>Eligibility</w:t>
            </w:r>
            <w:r>
              <w:rPr>
                <w:noProof/>
                <w:webHidden/>
              </w:rPr>
              <w:tab/>
            </w:r>
            <w:r>
              <w:rPr>
                <w:noProof/>
                <w:webHidden/>
              </w:rPr>
              <w:fldChar w:fldCharType="begin"/>
            </w:r>
            <w:r>
              <w:rPr>
                <w:noProof/>
                <w:webHidden/>
              </w:rPr>
              <w:instrText xml:space="preserve"> PAGEREF _Toc181180837 \h </w:instrText>
            </w:r>
            <w:r>
              <w:rPr>
                <w:noProof/>
                <w:webHidden/>
              </w:rPr>
            </w:r>
            <w:r>
              <w:rPr>
                <w:noProof/>
                <w:webHidden/>
              </w:rPr>
              <w:fldChar w:fldCharType="separate"/>
            </w:r>
            <w:r>
              <w:rPr>
                <w:noProof/>
                <w:webHidden/>
              </w:rPr>
              <w:t>3</w:t>
            </w:r>
            <w:r>
              <w:rPr>
                <w:noProof/>
                <w:webHidden/>
              </w:rPr>
              <w:fldChar w:fldCharType="end"/>
            </w:r>
          </w:hyperlink>
        </w:p>
        <w:p w14:paraId="3621BFF1" w14:textId="3DC02065" w:rsidR="007274DE" w:rsidRDefault="007274DE">
          <w:pPr>
            <w:pStyle w:val="TOC2"/>
            <w:tabs>
              <w:tab w:val="left" w:pos="960"/>
              <w:tab w:val="right" w:leader="dot" w:pos="9628"/>
            </w:tabs>
            <w:rPr>
              <w:rFonts w:cstheme="minorBidi"/>
              <w:bCs w:val="0"/>
              <w:noProof/>
              <w:kern w:val="2"/>
              <w:szCs w:val="24"/>
              <w:lang w:eastAsia="en-GB"/>
              <w14:ligatures w14:val="standardContextual"/>
            </w:rPr>
          </w:pPr>
          <w:hyperlink w:anchor="_Toc181180838" w:history="1">
            <w:r w:rsidRPr="00FE7A56">
              <w:rPr>
                <w:rStyle w:val="Hyperlink"/>
                <w:noProof/>
              </w:rPr>
              <w:t>3.1</w:t>
            </w:r>
            <w:r>
              <w:rPr>
                <w:rFonts w:cstheme="minorBidi"/>
                <w:bCs w:val="0"/>
                <w:noProof/>
                <w:kern w:val="2"/>
                <w:szCs w:val="24"/>
                <w:lang w:eastAsia="en-GB"/>
                <w14:ligatures w14:val="standardContextual"/>
              </w:rPr>
              <w:tab/>
            </w:r>
            <w:r w:rsidRPr="00FE7A56">
              <w:rPr>
                <w:rStyle w:val="Hyperlink"/>
                <w:noProof/>
              </w:rPr>
              <w:t>Eligible businesses and organisations</w:t>
            </w:r>
            <w:r>
              <w:rPr>
                <w:noProof/>
                <w:webHidden/>
              </w:rPr>
              <w:tab/>
            </w:r>
            <w:r>
              <w:rPr>
                <w:noProof/>
                <w:webHidden/>
              </w:rPr>
              <w:fldChar w:fldCharType="begin"/>
            </w:r>
            <w:r>
              <w:rPr>
                <w:noProof/>
                <w:webHidden/>
              </w:rPr>
              <w:instrText xml:space="preserve"> PAGEREF _Toc181180838 \h </w:instrText>
            </w:r>
            <w:r>
              <w:rPr>
                <w:noProof/>
                <w:webHidden/>
              </w:rPr>
            </w:r>
            <w:r>
              <w:rPr>
                <w:noProof/>
                <w:webHidden/>
              </w:rPr>
              <w:fldChar w:fldCharType="separate"/>
            </w:r>
            <w:r>
              <w:rPr>
                <w:noProof/>
                <w:webHidden/>
              </w:rPr>
              <w:t>3</w:t>
            </w:r>
            <w:r>
              <w:rPr>
                <w:noProof/>
                <w:webHidden/>
              </w:rPr>
              <w:fldChar w:fldCharType="end"/>
            </w:r>
          </w:hyperlink>
        </w:p>
        <w:p w14:paraId="47CD4FFA" w14:textId="3A9D9CD0" w:rsidR="007274DE" w:rsidRDefault="007274DE">
          <w:pPr>
            <w:pStyle w:val="TOC2"/>
            <w:tabs>
              <w:tab w:val="left" w:pos="960"/>
              <w:tab w:val="right" w:leader="dot" w:pos="9628"/>
            </w:tabs>
            <w:rPr>
              <w:rFonts w:cstheme="minorBidi"/>
              <w:bCs w:val="0"/>
              <w:noProof/>
              <w:kern w:val="2"/>
              <w:szCs w:val="24"/>
              <w:lang w:eastAsia="en-GB"/>
              <w14:ligatures w14:val="standardContextual"/>
            </w:rPr>
          </w:pPr>
          <w:hyperlink w:anchor="_Toc181180839" w:history="1">
            <w:r w:rsidRPr="00FE7A56">
              <w:rPr>
                <w:rStyle w:val="Hyperlink"/>
                <w:noProof/>
              </w:rPr>
              <w:t>3.2</w:t>
            </w:r>
            <w:r>
              <w:rPr>
                <w:rFonts w:cstheme="minorBidi"/>
                <w:bCs w:val="0"/>
                <w:noProof/>
                <w:kern w:val="2"/>
                <w:szCs w:val="24"/>
                <w:lang w:eastAsia="en-GB"/>
                <w14:ligatures w14:val="standardContextual"/>
              </w:rPr>
              <w:tab/>
            </w:r>
            <w:r w:rsidRPr="00FE7A56">
              <w:rPr>
                <w:rStyle w:val="Hyperlink"/>
                <w:noProof/>
              </w:rPr>
              <w:t>Eligible locations</w:t>
            </w:r>
            <w:r>
              <w:rPr>
                <w:noProof/>
                <w:webHidden/>
              </w:rPr>
              <w:tab/>
            </w:r>
            <w:r>
              <w:rPr>
                <w:noProof/>
                <w:webHidden/>
              </w:rPr>
              <w:fldChar w:fldCharType="begin"/>
            </w:r>
            <w:r>
              <w:rPr>
                <w:noProof/>
                <w:webHidden/>
              </w:rPr>
              <w:instrText xml:space="preserve"> PAGEREF _Toc181180839 \h </w:instrText>
            </w:r>
            <w:r>
              <w:rPr>
                <w:noProof/>
                <w:webHidden/>
              </w:rPr>
            </w:r>
            <w:r>
              <w:rPr>
                <w:noProof/>
                <w:webHidden/>
              </w:rPr>
              <w:fldChar w:fldCharType="separate"/>
            </w:r>
            <w:r>
              <w:rPr>
                <w:noProof/>
                <w:webHidden/>
              </w:rPr>
              <w:t>4</w:t>
            </w:r>
            <w:r>
              <w:rPr>
                <w:noProof/>
                <w:webHidden/>
              </w:rPr>
              <w:fldChar w:fldCharType="end"/>
            </w:r>
          </w:hyperlink>
        </w:p>
        <w:p w14:paraId="2A81FD71" w14:textId="4C4E8A7A" w:rsidR="007274DE" w:rsidRDefault="007274DE">
          <w:pPr>
            <w:pStyle w:val="TOC2"/>
            <w:tabs>
              <w:tab w:val="left" w:pos="960"/>
              <w:tab w:val="right" w:leader="dot" w:pos="9628"/>
            </w:tabs>
            <w:rPr>
              <w:rFonts w:cstheme="minorBidi"/>
              <w:bCs w:val="0"/>
              <w:noProof/>
              <w:kern w:val="2"/>
              <w:szCs w:val="24"/>
              <w:lang w:eastAsia="en-GB"/>
              <w14:ligatures w14:val="standardContextual"/>
            </w:rPr>
          </w:pPr>
          <w:hyperlink w:anchor="_Toc181180840" w:history="1">
            <w:r w:rsidRPr="00FE7A56">
              <w:rPr>
                <w:rStyle w:val="Hyperlink"/>
                <w:noProof/>
              </w:rPr>
              <w:t>3.3</w:t>
            </w:r>
            <w:r>
              <w:rPr>
                <w:rFonts w:cstheme="minorBidi"/>
                <w:bCs w:val="0"/>
                <w:noProof/>
                <w:kern w:val="2"/>
                <w:szCs w:val="24"/>
                <w:lang w:eastAsia="en-GB"/>
                <w14:ligatures w14:val="standardContextual"/>
              </w:rPr>
              <w:tab/>
            </w:r>
            <w:r w:rsidRPr="00FE7A56">
              <w:rPr>
                <w:rStyle w:val="Hyperlink"/>
                <w:noProof/>
              </w:rPr>
              <w:t>Eligible funded activities</w:t>
            </w:r>
            <w:r>
              <w:rPr>
                <w:noProof/>
                <w:webHidden/>
              </w:rPr>
              <w:tab/>
            </w:r>
            <w:r>
              <w:rPr>
                <w:noProof/>
                <w:webHidden/>
              </w:rPr>
              <w:fldChar w:fldCharType="begin"/>
            </w:r>
            <w:r>
              <w:rPr>
                <w:noProof/>
                <w:webHidden/>
              </w:rPr>
              <w:instrText xml:space="preserve"> PAGEREF _Toc181180840 \h </w:instrText>
            </w:r>
            <w:r>
              <w:rPr>
                <w:noProof/>
                <w:webHidden/>
              </w:rPr>
            </w:r>
            <w:r>
              <w:rPr>
                <w:noProof/>
                <w:webHidden/>
              </w:rPr>
              <w:fldChar w:fldCharType="separate"/>
            </w:r>
            <w:r>
              <w:rPr>
                <w:noProof/>
                <w:webHidden/>
              </w:rPr>
              <w:t>4</w:t>
            </w:r>
            <w:r>
              <w:rPr>
                <w:noProof/>
                <w:webHidden/>
              </w:rPr>
              <w:fldChar w:fldCharType="end"/>
            </w:r>
          </w:hyperlink>
        </w:p>
        <w:p w14:paraId="57E4A6CD" w14:textId="6E3E4CB2" w:rsidR="007274DE" w:rsidRDefault="007274DE">
          <w:pPr>
            <w:pStyle w:val="TOC2"/>
            <w:tabs>
              <w:tab w:val="left" w:pos="960"/>
              <w:tab w:val="right" w:leader="dot" w:pos="9628"/>
            </w:tabs>
            <w:rPr>
              <w:rFonts w:cstheme="minorBidi"/>
              <w:bCs w:val="0"/>
              <w:noProof/>
              <w:kern w:val="2"/>
              <w:szCs w:val="24"/>
              <w:lang w:eastAsia="en-GB"/>
              <w14:ligatures w14:val="standardContextual"/>
            </w:rPr>
          </w:pPr>
          <w:hyperlink w:anchor="_Toc181180841" w:history="1">
            <w:r w:rsidRPr="00FE7A56">
              <w:rPr>
                <w:rStyle w:val="Hyperlink"/>
                <w:noProof/>
              </w:rPr>
              <w:t>3.4</w:t>
            </w:r>
            <w:r>
              <w:rPr>
                <w:rFonts w:cstheme="minorBidi"/>
                <w:bCs w:val="0"/>
                <w:noProof/>
                <w:kern w:val="2"/>
                <w:szCs w:val="24"/>
                <w:lang w:eastAsia="en-GB"/>
                <w14:ligatures w14:val="standardContextual"/>
              </w:rPr>
              <w:tab/>
            </w:r>
            <w:r w:rsidRPr="00FE7A56">
              <w:rPr>
                <w:rStyle w:val="Hyperlink"/>
                <w:noProof/>
              </w:rPr>
              <w:t>Ineligible activities</w:t>
            </w:r>
            <w:r>
              <w:rPr>
                <w:noProof/>
                <w:webHidden/>
              </w:rPr>
              <w:tab/>
            </w:r>
            <w:r>
              <w:rPr>
                <w:noProof/>
                <w:webHidden/>
              </w:rPr>
              <w:fldChar w:fldCharType="begin"/>
            </w:r>
            <w:r>
              <w:rPr>
                <w:noProof/>
                <w:webHidden/>
              </w:rPr>
              <w:instrText xml:space="preserve"> PAGEREF _Toc181180841 \h </w:instrText>
            </w:r>
            <w:r>
              <w:rPr>
                <w:noProof/>
                <w:webHidden/>
              </w:rPr>
            </w:r>
            <w:r>
              <w:rPr>
                <w:noProof/>
                <w:webHidden/>
              </w:rPr>
              <w:fldChar w:fldCharType="separate"/>
            </w:r>
            <w:r>
              <w:rPr>
                <w:noProof/>
                <w:webHidden/>
              </w:rPr>
              <w:t>4</w:t>
            </w:r>
            <w:r>
              <w:rPr>
                <w:noProof/>
                <w:webHidden/>
              </w:rPr>
              <w:fldChar w:fldCharType="end"/>
            </w:r>
          </w:hyperlink>
        </w:p>
        <w:p w14:paraId="79DFDCA3" w14:textId="77E41704" w:rsidR="007274DE" w:rsidRDefault="007274DE">
          <w:pPr>
            <w:pStyle w:val="TOC1"/>
            <w:tabs>
              <w:tab w:val="left" w:pos="480"/>
              <w:tab w:val="right" w:leader="dot" w:pos="9628"/>
            </w:tabs>
            <w:rPr>
              <w:rFonts w:cstheme="minorBidi"/>
              <w:b w:val="0"/>
              <w:bCs w:val="0"/>
              <w:iCs w:val="0"/>
              <w:noProof/>
              <w:kern w:val="2"/>
              <w:lang w:eastAsia="en-GB"/>
              <w14:ligatures w14:val="standardContextual"/>
            </w:rPr>
          </w:pPr>
          <w:hyperlink w:anchor="_Toc181180842" w:history="1">
            <w:r w:rsidRPr="00FE7A56">
              <w:rPr>
                <w:rStyle w:val="Hyperlink"/>
                <w:noProof/>
                <w:lang w:val="en-US"/>
              </w:rPr>
              <w:t>4.</w:t>
            </w:r>
            <w:r>
              <w:rPr>
                <w:rFonts w:cstheme="minorBidi"/>
                <w:b w:val="0"/>
                <w:bCs w:val="0"/>
                <w:iCs w:val="0"/>
                <w:noProof/>
                <w:kern w:val="2"/>
                <w:lang w:eastAsia="en-GB"/>
                <w14:ligatures w14:val="standardContextual"/>
              </w:rPr>
              <w:tab/>
            </w:r>
            <w:r w:rsidRPr="00FE7A56">
              <w:rPr>
                <w:rStyle w:val="Hyperlink"/>
                <w:noProof/>
                <w:lang w:val="en-US"/>
              </w:rPr>
              <w:t>Funding</w:t>
            </w:r>
            <w:r>
              <w:rPr>
                <w:noProof/>
                <w:webHidden/>
              </w:rPr>
              <w:tab/>
            </w:r>
            <w:r>
              <w:rPr>
                <w:noProof/>
                <w:webHidden/>
              </w:rPr>
              <w:fldChar w:fldCharType="begin"/>
            </w:r>
            <w:r>
              <w:rPr>
                <w:noProof/>
                <w:webHidden/>
              </w:rPr>
              <w:instrText xml:space="preserve"> PAGEREF _Toc181180842 \h </w:instrText>
            </w:r>
            <w:r>
              <w:rPr>
                <w:noProof/>
                <w:webHidden/>
              </w:rPr>
            </w:r>
            <w:r>
              <w:rPr>
                <w:noProof/>
                <w:webHidden/>
              </w:rPr>
              <w:fldChar w:fldCharType="separate"/>
            </w:r>
            <w:r>
              <w:rPr>
                <w:noProof/>
                <w:webHidden/>
              </w:rPr>
              <w:t>5</w:t>
            </w:r>
            <w:r>
              <w:rPr>
                <w:noProof/>
                <w:webHidden/>
              </w:rPr>
              <w:fldChar w:fldCharType="end"/>
            </w:r>
          </w:hyperlink>
        </w:p>
        <w:p w14:paraId="1C205513" w14:textId="4E367574" w:rsidR="007274DE" w:rsidRDefault="007274DE">
          <w:pPr>
            <w:pStyle w:val="TOC2"/>
            <w:tabs>
              <w:tab w:val="left" w:pos="960"/>
              <w:tab w:val="right" w:leader="dot" w:pos="9628"/>
            </w:tabs>
            <w:rPr>
              <w:rFonts w:cstheme="minorBidi"/>
              <w:bCs w:val="0"/>
              <w:noProof/>
              <w:kern w:val="2"/>
              <w:szCs w:val="24"/>
              <w:lang w:eastAsia="en-GB"/>
              <w14:ligatures w14:val="standardContextual"/>
            </w:rPr>
          </w:pPr>
          <w:hyperlink w:anchor="_Toc181180843" w:history="1">
            <w:r w:rsidRPr="00FE7A56">
              <w:rPr>
                <w:rStyle w:val="Hyperlink"/>
                <w:noProof/>
              </w:rPr>
              <w:t>4.1</w:t>
            </w:r>
            <w:r>
              <w:rPr>
                <w:rFonts w:cstheme="minorBidi"/>
                <w:bCs w:val="0"/>
                <w:noProof/>
                <w:kern w:val="2"/>
                <w:szCs w:val="24"/>
                <w:lang w:eastAsia="en-GB"/>
                <w14:ligatures w14:val="standardContextual"/>
              </w:rPr>
              <w:tab/>
            </w:r>
            <w:r w:rsidRPr="00FE7A56">
              <w:rPr>
                <w:rStyle w:val="Hyperlink"/>
                <w:noProof/>
              </w:rPr>
              <w:t>Co-contributions</w:t>
            </w:r>
            <w:r>
              <w:rPr>
                <w:noProof/>
                <w:webHidden/>
              </w:rPr>
              <w:tab/>
            </w:r>
            <w:r>
              <w:rPr>
                <w:noProof/>
                <w:webHidden/>
              </w:rPr>
              <w:fldChar w:fldCharType="begin"/>
            </w:r>
            <w:r>
              <w:rPr>
                <w:noProof/>
                <w:webHidden/>
              </w:rPr>
              <w:instrText xml:space="preserve"> PAGEREF _Toc181180843 \h </w:instrText>
            </w:r>
            <w:r>
              <w:rPr>
                <w:noProof/>
                <w:webHidden/>
              </w:rPr>
            </w:r>
            <w:r>
              <w:rPr>
                <w:noProof/>
                <w:webHidden/>
              </w:rPr>
              <w:fldChar w:fldCharType="separate"/>
            </w:r>
            <w:r>
              <w:rPr>
                <w:noProof/>
                <w:webHidden/>
              </w:rPr>
              <w:t>6</w:t>
            </w:r>
            <w:r>
              <w:rPr>
                <w:noProof/>
                <w:webHidden/>
              </w:rPr>
              <w:fldChar w:fldCharType="end"/>
            </w:r>
          </w:hyperlink>
        </w:p>
        <w:p w14:paraId="1F6C771F" w14:textId="27BB43F9" w:rsidR="007274DE" w:rsidRDefault="007274DE">
          <w:pPr>
            <w:pStyle w:val="TOC2"/>
            <w:tabs>
              <w:tab w:val="left" w:pos="960"/>
              <w:tab w:val="right" w:leader="dot" w:pos="9628"/>
            </w:tabs>
            <w:rPr>
              <w:rFonts w:cstheme="minorBidi"/>
              <w:bCs w:val="0"/>
              <w:noProof/>
              <w:kern w:val="2"/>
              <w:szCs w:val="24"/>
              <w:lang w:eastAsia="en-GB"/>
              <w14:ligatures w14:val="standardContextual"/>
            </w:rPr>
          </w:pPr>
          <w:hyperlink w:anchor="_Toc181180844" w:history="1">
            <w:r w:rsidRPr="00FE7A56">
              <w:rPr>
                <w:rStyle w:val="Hyperlink"/>
                <w:noProof/>
              </w:rPr>
              <w:t>4.2</w:t>
            </w:r>
            <w:r>
              <w:rPr>
                <w:rFonts w:cstheme="minorBidi"/>
                <w:bCs w:val="0"/>
                <w:noProof/>
                <w:kern w:val="2"/>
                <w:szCs w:val="24"/>
                <w:lang w:eastAsia="en-GB"/>
                <w14:ligatures w14:val="standardContextual"/>
              </w:rPr>
              <w:tab/>
            </w:r>
            <w:r w:rsidRPr="00FE7A56">
              <w:rPr>
                <w:rStyle w:val="Hyperlink"/>
                <w:noProof/>
              </w:rPr>
              <w:t>Funding conditions</w:t>
            </w:r>
            <w:r>
              <w:rPr>
                <w:noProof/>
                <w:webHidden/>
              </w:rPr>
              <w:tab/>
            </w:r>
            <w:r>
              <w:rPr>
                <w:noProof/>
                <w:webHidden/>
              </w:rPr>
              <w:fldChar w:fldCharType="begin"/>
            </w:r>
            <w:r>
              <w:rPr>
                <w:noProof/>
                <w:webHidden/>
              </w:rPr>
              <w:instrText xml:space="preserve"> PAGEREF _Toc181180844 \h </w:instrText>
            </w:r>
            <w:r>
              <w:rPr>
                <w:noProof/>
                <w:webHidden/>
              </w:rPr>
            </w:r>
            <w:r>
              <w:rPr>
                <w:noProof/>
                <w:webHidden/>
              </w:rPr>
              <w:fldChar w:fldCharType="separate"/>
            </w:r>
            <w:r>
              <w:rPr>
                <w:noProof/>
                <w:webHidden/>
              </w:rPr>
              <w:t>7</w:t>
            </w:r>
            <w:r>
              <w:rPr>
                <w:noProof/>
                <w:webHidden/>
              </w:rPr>
              <w:fldChar w:fldCharType="end"/>
            </w:r>
          </w:hyperlink>
        </w:p>
        <w:p w14:paraId="1F22A31A" w14:textId="21DFC3A8" w:rsidR="007274DE" w:rsidRDefault="007274DE">
          <w:pPr>
            <w:pStyle w:val="TOC1"/>
            <w:tabs>
              <w:tab w:val="left" w:pos="480"/>
              <w:tab w:val="right" w:leader="dot" w:pos="9628"/>
            </w:tabs>
            <w:rPr>
              <w:rFonts w:cstheme="minorBidi"/>
              <w:b w:val="0"/>
              <w:bCs w:val="0"/>
              <w:iCs w:val="0"/>
              <w:noProof/>
              <w:kern w:val="2"/>
              <w:lang w:eastAsia="en-GB"/>
              <w14:ligatures w14:val="standardContextual"/>
            </w:rPr>
          </w:pPr>
          <w:hyperlink w:anchor="_Toc181180845" w:history="1">
            <w:r w:rsidRPr="00FE7A56">
              <w:rPr>
                <w:rStyle w:val="Hyperlink"/>
                <w:noProof/>
                <w:lang w:val="en-US"/>
              </w:rPr>
              <w:t>5.</w:t>
            </w:r>
            <w:r>
              <w:rPr>
                <w:rFonts w:cstheme="minorBidi"/>
                <w:b w:val="0"/>
                <w:bCs w:val="0"/>
                <w:iCs w:val="0"/>
                <w:noProof/>
                <w:kern w:val="2"/>
                <w:lang w:eastAsia="en-GB"/>
                <w14:ligatures w14:val="standardContextual"/>
              </w:rPr>
              <w:tab/>
            </w:r>
            <w:r w:rsidRPr="00FE7A56">
              <w:rPr>
                <w:rStyle w:val="Hyperlink"/>
                <w:noProof/>
                <w:lang w:val="en-US"/>
              </w:rPr>
              <w:t>Application process</w:t>
            </w:r>
            <w:r>
              <w:rPr>
                <w:noProof/>
                <w:webHidden/>
              </w:rPr>
              <w:tab/>
            </w:r>
            <w:r>
              <w:rPr>
                <w:noProof/>
                <w:webHidden/>
              </w:rPr>
              <w:fldChar w:fldCharType="begin"/>
            </w:r>
            <w:r>
              <w:rPr>
                <w:noProof/>
                <w:webHidden/>
              </w:rPr>
              <w:instrText xml:space="preserve"> PAGEREF _Toc181180845 \h </w:instrText>
            </w:r>
            <w:r>
              <w:rPr>
                <w:noProof/>
                <w:webHidden/>
              </w:rPr>
            </w:r>
            <w:r>
              <w:rPr>
                <w:noProof/>
                <w:webHidden/>
              </w:rPr>
              <w:fldChar w:fldCharType="separate"/>
            </w:r>
            <w:r>
              <w:rPr>
                <w:noProof/>
                <w:webHidden/>
              </w:rPr>
              <w:t>7</w:t>
            </w:r>
            <w:r>
              <w:rPr>
                <w:noProof/>
                <w:webHidden/>
              </w:rPr>
              <w:fldChar w:fldCharType="end"/>
            </w:r>
          </w:hyperlink>
        </w:p>
        <w:p w14:paraId="0ED7D0D3" w14:textId="7BD83574" w:rsidR="007274DE" w:rsidRDefault="007274DE">
          <w:pPr>
            <w:pStyle w:val="TOC1"/>
            <w:tabs>
              <w:tab w:val="left" w:pos="480"/>
              <w:tab w:val="right" w:leader="dot" w:pos="9628"/>
            </w:tabs>
            <w:rPr>
              <w:rFonts w:cstheme="minorBidi"/>
              <w:b w:val="0"/>
              <w:bCs w:val="0"/>
              <w:iCs w:val="0"/>
              <w:noProof/>
              <w:kern w:val="2"/>
              <w:lang w:eastAsia="en-GB"/>
              <w14:ligatures w14:val="standardContextual"/>
            </w:rPr>
          </w:pPr>
          <w:hyperlink w:anchor="_Toc181180846" w:history="1">
            <w:r w:rsidRPr="00FE7A56">
              <w:rPr>
                <w:rStyle w:val="Hyperlink"/>
                <w:noProof/>
                <w:lang w:val="en-US"/>
              </w:rPr>
              <w:t>6.</w:t>
            </w:r>
            <w:r>
              <w:rPr>
                <w:rFonts w:cstheme="minorBidi"/>
                <w:b w:val="0"/>
                <w:bCs w:val="0"/>
                <w:iCs w:val="0"/>
                <w:noProof/>
                <w:kern w:val="2"/>
                <w:lang w:eastAsia="en-GB"/>
                <w14:ligatures w14:val="standardContextual"/>
              </w:rPr>
              <w:tab/>
            </w:r>
            <w:r w:rsidRPr="00FE7A56">
              <w:rPr>
                <w:rStyle w:val="Hyperlink"/>
                <w:noProof/>
                <w:lang w:val="en-US"/>
              </w:rPr>
              <w:t>Application assessment and approval</w:t>
            </w:r>
            <w:r>
              <w:rPr>
                <w:noProof/>
                <w:webHidden/>
              </w:rPr>
              <w:tab/>
            </w:r>
            <w:r>
              <w:rPr>
                <w:noProof/>
                <w:webHidden/>
              </w:rPr>
              <w:fldChar w:fldCharType="begin"/>
            </w:r>
            <w:r>
              <w:rPr>
                <w:noProof/>
                <w:webHidden/>
              </w:rPr>
              <w:instrText xml:space="preserve"> PAGEREF _Toc181180846 \h </w:instrText>
            </w:r>
            <w:r>
              <w:rPr>
                <w:noProof/>
                <w:webHidden/>
              </w:rPr>
            </w:r>
            <w:r>
              <w:rPr>
                <w:noProof/>
                <w:webHidden/>
              </w:rPr>
              <w:fldChar w:fldCharType="separate"/>
            </w:r>
            <w:r>
              <w:rPr>
                <w:noProof/>
                <w:webHidden/>
              </w:rPr>
              <w:t>8</w:t>
            </w:r>
            <w:r>
              <w:rPr>
                <w:noProof/>
                <w:webHidden/>
              </w:rPr>
              <w:fldChar w:fldCharType="end"/>
            </w:r>
          </w:hyperlink>
        </w:p>
        <w:p w14:paraId="0872E0DC" w14:textId="638E4F6C" w:rsidR="007274DE" w:rsidRDefault="007274DE">
          <w:pPr>
            <w:pStyle w:val="TOC2"/>
            <w:tabs>
              <w:tab w:val="left" w:pos="960"/>
              <w:tab w:val="right" w:leader="dot" w:pos="9628"/>
            </w:tabs>
            <w:rPr>
              <w:rFonts w:cstheme="minorBidi"/>
              <w:bCs w:val="0"/>
              <w:noProof/>
              <w:kern w:val="2"/>
              <w:szCs w:val="24"/>
              <w:lang w:eastAsia="en-GB"/>
              <w14:ligatures w14:val="standardContextual"/>
            </w:rPr>
          </w:pPr>
          <w:hyperlink w:anchor="_Toc181180847" w:history="1">
            <w:r w:rsidRPr="00FE7A56">
              <w:rPr>
                <w:rStyle w:val="Hyperlink"/>
                <w:noProof/>
              </w:rPr>
              <w:t>6.1</w:t>
            </w:r>
            <w:r>
              <w:rPr>
                <w:rFonts w:cstheme="minorBidi"/>
                <w:bCs w:val="0"/>
                <w:noProof/>
                <w:kern w:val="2"/>
                <w:szCs w:val="24"/>
                <w:lang w:eastAsia="en-GB"/>
                <w14:ligatures w14:val="standardContextual"/>
              </w:rPr>
              <w:tab/>
            </w:r>
            <w:r w:rsidRPr="00FE7A56">
              <w:rPr>
                <w:rStyle w:val="Hyperlink"/>
                <w:noProof/>
              </w:rPr>
              <w:t>Expressions of Interest assessment</w:t>
            </w:r>
            <w:r>
              <w:rPr>
                <w:noProof/>
                <w:webHidden/>
              </w:rPr>
              <w:tab/>
            </w:r>
            <w:r>
              <w:rPr>
                <w:noProof/>
                <w:webHidden/>
              </w:rPr>
              <w:fldChar w:fldCharType="begin"/>
            </w:r>
            <w:r>
              <w:rPr>
                <w:noProof/>
                <w:webHidden/>
              </w:rPr>
              <w:instrText xml:space="preserve"> PAGEREF _Toc181180847 \h </w:instrText>
            </w:r>
            <w:r>
              <w:rPr>
                <w:noProof/>
                <w:webHidden/>
              </w:rPr>
            </w:r>
            <w:r>
              <w:rPr>
                <w:noProof/>
                <w:webHidden/>
              </w:rPr>
              <w:fldChar w:fldCharType="separate"/>
            </w:r>
            <w:r>
              <w:rPr>
                <w:noProof/>
                <w:webHidden/>
              </w:rPr>
              <w:t>8</w:t>
            </w:r>
            <w:r>
              <w:rPr>
                <w:noProof/>
                <w:webHidden/>
              </w:rPr>
              <w:fldChar w:fldCharType="end"/>
            </w:r>
          </w:hyperlink>
        </w:p>
        <w:p w14:paraId="3A28FFDC" w14:textId="4842D605" w:rsidR="007274DE" w:rsidRDefault="007274DE">
          <w:pPr>
            <w:pStyle w:val="TOC2"/>
            <w:tabs>
              <w:tab w:val="left" w:pos="960"/>
              <w:tab w:val="right" w:leader="dot" w:pos="9628"/>
            </w:tabs>
            <w:rPr>
              <w:rFonts w:cstheme="minorBidi"/>
              <w:bCs w:val="0"/>
              <w:noProof/>
              <w:kern w:val="2"/>
              <w:szCs w:val="24"/>
              <w:lang w:eastAsia="en-GB"/>
              <w14:ligatures w14:val="standardContextual"/>
            </w:rPr>
          </w:pPr>
          <w:hyperlink w:anchor="_Toc181180848" w:history="1">
            <w:r w:rsidRPr="00FE7A56">
              <w:rPr>
                <w:rStyle w:val="Hyperlink"/>
                <w:noProof/>
              </w:rPr>
              <w:t>6.2</w:t>
            </w:r>
            <w:r>
              <w:rPr>
                <w:rFonts w:cstheme="minorBidi"/>
                <w:bCs w:val="0"/>
                <w:noProof/>
                <w:kern w:val="2"/>
                <w:szCs w:val="24"/>
                <w:lang w:eastAsia="en-GB"/>
                <w14:ligatures w14:val="standardContextual"/>
              </w:rPr>
              <w:tab/>
            </w:r>
            <w:r w:rsidRPr="00FE7A56">
              <w:rPr>
                <w:rStyle w:val="Hyperlink"/>
                <w:noProof/>
              </w:rPr>
              <w:t>Application assessment</w:t>
            </w:r>
            <w:r>
              <w:rPr>
                <w:noProof/>
                <w:webHidden/>
              </w:rPr>
              <w:tab/>
            </w:r>
            <w:r>
              <w:rPr>
                <w:noProof/>
                <w:webHidden/>
              </w:rPr>
              <w:fldChar w:fldCharType="begin"/>
            </w:r>
            <w:r>
              <w:rPr>
                <w:noProof/>
                <w:webHidden/>
              </w:rPr>
              <w:instrText xml:space="preserve"> PAGEREF _Toc181180848 \h </w:instrText>
            </w:r>
            <w:r>
              <w:rPr>
                <w:noProof/>
                <w:webHidden/>
              </w:rPr>
            </w:r>
            <w:r>
              <w:rPr>
                <w:noProof/>
                <w:webHidden/>
              </w:rPr>
              <w:fldChar w:fldCharType="separate"/>
            </w:r>
            <w:r>
              <w:rPr>
                <w:noProof/>
                <w:webHidden/>
              </w:rPr>
              <w:t>9</w:t>
            </w:r>
            <w:r>
              <w:rPr>
                <w:noProof/>
                <w:webHidden/>
              </w:rPr>
              <w:fldChar w:fldCharType="end"/>
            </w:r>
          </w:hyperlink>
        </w:p>
        <w:p w14:paraId="51EC6DA4" w14:textId="561318B5" w:rsidR="007274DE" w:rsidRDefault="007274DE">
          <w:pPr>
            <w:pStyle w:val="TOC1"/>
            <w:tabs>
              <w:tab w:val="left" w:pos="480"/>
              <w:tab w:val="right" w:leader="dot" w:pos="9628"/>
            </w:tabs>
            <w:rPr>
              <w:rFonts w:cstheme="minorBidi"/>
              <w:b w:val="0"/>
              <w:bCs w:val="0"/>
              <w:iCs w:val="0"/>
              <w:noProof/>
              <w:kern w:val="2"/>
              <w:lang w:eastAsia="en-GB"/>
              <w14:ligatures w14:val="standardContextual"/>
            </w:rPr>
          </w:pPr>
          <w:hyperlink w:anchor="_Toc181180849" w:history="1">
            <w:r w:rsidRPr="00FE7A56">
              <w:rPr>
                <w:rStyle w:val="Hyperlink"/>
                <w:noProof/>
                <w:lang w:val="en-US"/>
              </w:rPr>
              <w:t>7.</w:t>
            </w:r>
            <w:r>
              <w:rPr>
                <w:rFonts w:cstheme="minorBidi"/>
                <w:b w:val="0"/>
                <w:bCs w:val="0"/>
                <w:iCs w:val="0"/>
                <w:noProof/>
                <w:kern w:val="2"/>
                <w:lang w:eastAsia="en-GB"/>
                <w14:ligatures w14:val="standardContextual"/>
              </w:rPr>
              <w:tab/>
            </w:r>
            <w:r w:rsidRPr="00FE7A56">
              <w:rPr>
                <w:rStyle w:val="Hyperlink"/>
                <w:noProof/>
                <w:lang w:val="en-US"/>
              </w:rPr>
              <w:t>Offer and grant agreement</w:t>
            </w:r>
            <w:r>
              <w:rPr>
                <w:noProof/>
                <w:webHidden/>
              </w:rPr>
              <w:tab/>
            </w:r>
            <w:r>
              <w:rPr>
                <w:noProof/>
                <w:webHidden/>
              </w:rPr>
              <w:fldChar w:fldCharType="begin"/>
            </w:r>
            <w:r>
              <w:rPr>
                <w:noProof/>
                <w:webHidden/>
              </w:rPr>
              <w:instrText xml:space="preserve"> PAGEREF _Toc181180849 \h </w:instrText>
            </w:r>
            <w:r>
              <w:rPr>
                <w:noProof/>
                <w:webHidden/>
              </w:rPr>
            </w:r>
            <w:r>
              <w:rPr>
                <w:noProof/>
                <w:webHidden/>
              </w:rPr>
              <w:fldChar w:fldCharType="separate"/>
            </w:r>
            <w:r>
              <w:rPr>
                <w:noProof/>
                <w:webHidden/>
              </w:rPr>
              <w:t>11</w:t>
            </w:r>
            <w:r>
              <w:rPr>
                <w:noProof/>
                <w:webHidden/>
              </w:rPr>
              <w:fldChar w:fldCharType="end"/>
            </w:r>
          </w:hyperlink>
        </w:p>
        <w:p w14:paraId="76371ACB" w14:textId="0D4DE4DF" w:rsidR="007274DE" w:rsidRDefault="007274DE">
          <w:pPr>
            <w:pStyle w:val="TOC1"/>
            <w:tabs>
              <w:tab w:val="left" w:pos="480"/>
              <w:tab w:val="right" w:leader="dot" w:pos="9628"/>
            </w:tabs>
            <w:rPr>
              <w:rFonts w:cstheme="minorBidi"/>
              <w:b w:val="0"/>
              <w:bCs w:val="0"/>
              <w:iCs w:val="0"/>
              <w:noProof/>
              <w:kern w:val="2"/>
              <w:lang w:eastAsia="en-GB"/>
              <w14:ligatures w14:val="standardContextual"/>
            </w:rPr>
          </w:pPr>
          <w:hyperlink w:anchor="_Toc181180850" w:history="1">
            <w:r w:rsidRPr="00FE7A56">
              <w:rPr>
                <w:rStyle w:val="Hyperlink"/>
                <w:noProof/>
                <w:lang w:val="en-US"/>
              </w:rPr>
              <w:t>8.</w:t>
            </w:r>
            <w:r>
              <w:rPr>
                <w:rFonts w:cstheme="minorBidi"/>
                <w:b w:val="0"/>
                <w:bCs w:val="0"/>
                <w:iCs w:val="0"/>
                <w:noProof/>
                <w:kern w:val="2"/>
                <w:lang w:eastAsia="en-GB"/>
                <w14:ligatures w14:val="standardContextual"/>
              </w:rPr>
              <w:tab/>
            </w:r>
            <w:r w:rsidRPr="00FE7A56">
              <w:rPr>
                <w:rStyle w:val="Hyperlink"/>
                <w:noProof/>
                <w:lang w:val="en-US"/>
              </w:rPr>
              <w:t>Payments, monitoring, evaluation and reporting</w:t>
            </w:r>
            <w:r>
              <w:rPr>
                <w:noProof/>
                <w:webHidden/>
              </w:rPr>
              <w:tab/>
            </w:r>
            <w:r>
              <w:rPr>
                <w:noProof/>
                <w:webHidden/>
              </w:rPr>
              <w:fldChar w:fldCharType="begin"/>
            </w:r>
            <w:r>
              <w:rPr>
                <w:noProof/>
                <w:webHidden/>
              </w:rPr>
              <w:instrText xml:space="preserve"> PAGEREF _Toc181180850 \h </w:instrText>
            </w:r>
            <w:r>
              <w:rPr>
                <w:noProof/>
                <w:webHidden/>
              </w:rPr>
            </w:r>
            <w:r>
              <w:rPr>
                <w:noProof/>
                <w:webHidden/>
              </w:rPr>
              <w:fldChar w:fldCharType="separate"/>
            </w:r>
            <w:r>
              <w:rPr>
                <w:noProof/>
                <w:webHidden/>
              </w:rPr>
              <w:t>11</w:t>
            </w:r>
            <w:r>
              <w:rPr>
                <w:noProof/>
                <w:webHidden/>
              </w:rPr>
              <w:fldChar w:fldCharType="end"/>
            </w:r>
          </w:hyperlink>
        </w:p>
        <w:p w14:paraId="3B0BE55E" w14:textId="27A7DB9C" w:rsidR="007274DE" w:rsidRDefault="007274DE">
          <w:pPr>
            <w:pStyle w:val="TOC1"/>
            <w:tabs>
              <w:tab w:val="left" w:pos="480"/>
              <w:tab w:val="right" w:leader="dot" w:pos="9628"/>
            </w:tabs>
            <w:rPr>
              <w:rFonts w:cstheme="minorBidi"/>
              <w:b w:val="0"/>
              <w:bCs w:val="0"/>
              <w:iCs w:val="0"/>
              <w:noProof/>
              <w:kern w:val="2"/>
              <w:lang w:eastAsia="en-GB"/>
              <w14:ligatures w14:val="standardContextual"/>
            </w:rPr>
          </w:pPr>
          <w:hyperlink w:anchor="_Toc181180851" w:history="1">
            <w:r w:rsidRPr="00FE7A56">
              <w:rPr>
                <w:rStyle w:val="Hyperlink"/>
                <w:noProof/>
                <w:lang w:val="en-US"/>
              </w:rPr>
              <w:t>9.</w:t>
            </w:r>
            <w:r>
              <w:rPr>
                <w:rFonts w:cstheme="minorBidi"/>
                <w:b w:val="0"/>
                <w:bCs w:val="0"/>
                <w:iCs w:val="0"/>
                <w:noProof/>
                <w:kern w:val="2"/>
                <w:lang w:eastAsia="en-GB"/>
                <w14:ligatures w14:val="standardContextual"/>
              </w:rPr>
              <w:tab/>
            </w:r>
            <w:r w:rsidRPr="00FE7A56">
              <w:rPr>
                <w:rStyle w:val="Hyperlink"/>
                <w:noProof/>
                <w:lang w:val="en-US"/>
              </w:rPr>
              <w:t>Terms of applying</w:t>
            </w:r>
            <w:r>
              <w:rPr>
                <w:noProof/>
                <w:webHidden/>
              </w:rPr>
              <w:tab/>
            </w:r>
            <w:r>
              <w:rPr>
                <w:noProof/>
                <w:webHidden/>
              </w:rPr>
              <w:fldChar w:fldCharType="begin"/>
            </w:r>
            <w:r>
              <w:rPr>
                <w:noProof/>
                <w:webHidden/>
              </w:rPr>
              <w:instrText xml:space="preserve"> PAGEREF _Toc181180851 \h </w:instrText>
            </w:r>
            <w:r>
              <w:rPr>
                <w:noProof/>
                <w:webHidden/>
              </w:rPr>
            </w:r>
            <w:r>
              <w:rPr>
                <w:noProof/>
                <w:webHidden/>
              </w:rPr>
              <w:fldChar w:fldCharType="separate"/>
            </w:r>
            <w:r>
              <w:rPr>
                <w:noProof/>
                <w:webHidden/>
              </w:rPr>
              <w:t>12</w:t>
            </w:r>
            <w:r>
              <w:rPr>
                <w:noProof/>
                <w:webHidden/>
              </w:rPr>
              <w:fldChar w:fldCharType="end"/>
            </w:r>
          </w:hyperlink>
        </w:p>
        <w:p w14:paraId="526B1825" w14:textId="50E52DE7" w:rsidR="007274DE" w:rsidRDefault="007274DE">
          <w:pPr>
            <w:pStyle w:val="TOC1"/>
            <w:tabs>
              <w:tab w:val="left" w:pos="720"/>
              <w:tab w:val="right" w:leader="dot" w:pos="9628"/>
            </w:tabs>
            <w:rPr>
              <w:rFonts w:cstheme="minorBidi"/>
              <w:b w:val="0"/>
              <w:bCs w:val="0"/>
              <w:iCs w:val="0"/>
              <w:noProof/>
              <w:kern w:val="2"/>
              <w:lang w:eastAsia="en-GB"/>
              <w14:ligatures w14:val="standardContextual"/>
            </w:rPr>
          </w:pPr>
          <w:hyperlink w:anchor="_Toc181180852" w:history="1">
            <w:r w:rsidRPr="00FE7A56">
              <w:rPr>
                <w:rStyle w:val="Hyperlink"/>
                <w:noProof/>
                <w:lang w:val="en-US"/>
              </w:rPr>
              <w:t>10.</w:t>
            </w:r>
            <w:r>
              <w:rPr>
                <w:rFonts w:cstheme="minorBidi"/>
                <w:b w:val="0"/>
                <w:bCs w:val="0"/>
                <w:iCs w:val="0"/>
                <w:noProof/>
                <w:kern w:val="2"/>
                <w:lang w:eastAsia="en-GB"/>
                <w14:ligatures w14:val="standardContextual"/>
              </w:rPr>
              <w:tab/>
            </w:r>
            <w:r w:rsidRPr="00FE7A56">
              <w:rPr>
                <w:rStyle w:val="Hyperlink"/>
                <w:noProof/>
                <w:lang w:val="en-US"/>
              </w:rPr>
              <w:t>Privacy</w:t>
            </w:r>
            <w:r>
              <w:rPr>
                <w:noProof/>
                <w:webHidden/>
              </w:rPr>
              <w:tab/>
            </w:r>
            <w:r>
              <w:rPr>
                <w:noProof/>
                <w:webHidden/>
              </w:rPr>
              <w:fldChar w:fldCharType="begin"/>
            </w:r>
            <w:r>
              <w:rPr>
                <w:noProof/>
                <w:webHidden/>
              </w:rPr>
              <w:instrText xml:space="preserve"> PAGEREF _Toc181180852 \h </w:instrText>
            </w:r>
            <w:r>
              <w:rPr>
                <w:noProof/>
                <w:webHidden/>
              </w:rPr>
            </w:r>
            <w:r>
              <w:rPr>
                <w:noProof/>
                <w:webHidden/>
              </w:rPr>
              <w:fldChar w:fldCharType="separate"/>
            </w:r>
            <w:r>
              <w:rPr>
                <w:noProof/>
                <w:webHidden/>
              </w:rPr>
              <w:t>13</w:t>
            </w:r>
            <w:r>
              <w:rPr>
                <w:noProof/>
                <w:webHidden/>
              </w:rPr>
              <w:fldChar w:fldCharType="end"/>
            </w:r>
          </w:hyperlink>
        </w:p>
        <w:p w14:paraId="718A2AD7" w14:textId="7DDFDC87" w:rsidR="007274DE" w:rsidRDefault="007274DE">
          <w:pPr>
            <w:pStyle w:val="TOC1"/>
            <w:tabs>
              <w:tab w:val="left" w:pos="720"/>
              <w:tab w:val="right" w:leader="dot" w:pos="9628"/>
            </w:tabs>
            <w:rPr>
              <w:rFonts w:cstheme="minorBidi"/>
              <w:b w:val="0"/>
              <w:bCs w:val="0"/>
              <w:iCs w:val="0"/>
              <w:noProof/>
              <w:kern w:val="2"/>
              <w:lang w:eastAsia="en-GB"/>
              <w14:ligatures w14:val="standardContextual"/>
            </w:rPr>
          </w:pPr>
          <w:hyperlink w:anchor="_Toc181180853" w:history="1">
            <w:r w:rsidRPr="00FE7A56">
              <w:rPr>
                <w:rStyle w:val="Hyperlink"/>
                <w:noProof/>
                <w:lang w:val="en-US"/>
              </w:rPr>
              <w:t>11.</w:t>
            </w:r>
            <w:r>
              <w:rPr>
                <w:rFonts w:cstheme="minorBidi"/>
                <w:b w:val="0"/>
                <w:bCs w:val="0"/>
                <w:iCs w:val="0"/>
                <w:noProof/>
                <w:kern w:val="2"/>
                <w:lang w:eastAsia="en-GB"/>
                <w14:ligatures w14:val="standardContextual"/>
              </w:rPr>
              <w:tab/>
            </w:r>
            <w:r w:rsidRPr="00FE7A56">
              <w:rPr>
                <w:rStyle w:val="Hyperlink"/>
                <w:noProof/>
                <w:lang w:val="en-US"/>
              </w:rPr>
              <w:t>Key dates</w:t>
            </w:r>
            <w:r>
              <w:rPr>
                <w:noProof/>
                <w:webHidden/>
              </w:rPr>
              <w:tab/>
            </w:r>
            <w:r>
              <w:rPr>
                <w:noProof/>
                <w:webHidden/>
              </w:rPr>
              <w:fldChar w:fldCharType="begin"/>
            </w:r>
            <w:r>
              <w:rPr>
                <w:noProof/>
                <w:webHidden/>
              </w:rPr>
              <w:instrText xml:space="preserve"> PAGEREF _Toc181180853 \h </w:instrText>
            </w:r>
            <w:r>
              <w:rPr>
                <w:noProof/>
                <w:webHidden/>
              </w:rPr>
            </w:r>
            <w:r>
              <w:rPr>
                <w:noProof/>
                <w:webHidden/>
              </w:rPr>
              <w:fldChar w:fldCharType="separate"/>
            </w:r>
            <w:r>
              <w:rPr>
                <w:noProof/>
                <w:webHidden/>
              </w:rPr>
              <w:t>14</w:t>
            </w:r>
            <w:r>
              <w:rPr>
                <w:noProof/>
                <w:webHidden/>
              </w:rPr>
              <w:fldChar w:fldCharType="end"/>
            </w:r>
          </w:hyperlink>
        </w:p>
        <w:p w14:paraId="5C9A6D6B" w14:textId="39FE125C" w:rsidR="007274DE" w:rsidRDefault="007274DE">
          <w:pPr>
            <w:pStyle w:val="TOC1"/>
            <w:tabs>
              <w:tab w:val="left" w:pos="720"/>
              <w:tab w:val="right" w:leader="dot" w:pos="9628"/>
            </w:tabs>
            <w:rPr>
              <w:rFonts w:cstheme="minorBidi"/>
              <w:b w:val="0"/>
              <w:bCs w:val="0"/>
              <w:iCs w:val="0"/>
              <w:noProof/>
              <w:kern w:val="2"/>
              <w:lang w:eastAsia="en-GB"/>
              <w14:ligatures w14:val="standardContextual"/>
            </w:rPr>
          </w:pPr>
          <w:hyperlink w:anchor="_Toc181180854" w:history="1">
            <w:r w:rsidRPr="00FE7A56">
              <w:rPr>
                <w:rStyle w:val="Hyperlink"/>
                <w:noProof/>
                <w:lang w:val="en-US"/>
              </w:rPr>
              <w:t>12.</w:t>
            </w:r>
            <w:r>
              <w:rPr>
                <w:rFonts w:cstheme="minorBidi"/>
                <w:b w:val="0"/>
                <w:bCs w:val="0"/>
                <w:iCs w:val="0"/>
                <w:noProof/>
                <w:kern w:val="2"/>
                <w:lang w:eastAsia="en-GB"/>
                <w14:ligatures w14:val="standardContextual"/>
              </w:rPr>
              <w:tab/>
            </w:r>
            <w:r w:rsidRPr="00FE7A56">
              <w:rPr>
                <w:rStyle w:val="Hyperlink"/>
                <w:noProof/>
                <w:lang w:val="en-US"/>
              </w:rPr>
              <w:t>Further support</w:t>
            </w:r>
            <w:r>
              <w:rPr>
                <w:noProof/>
                <w:webHidden/>
              </w:rPr>
              <w:tab/>
            </w:r>
            <w:r>
              <w:rPr>
                <w:noProof/>
                <w:webHidden/>
              </w:rPr>
              <w:fldChar w:fldCharType="begin"/>
            </w:r>
            <w:r>
              <w:rPr>
                <w:noProof/>
                <w:webHidden/>
              </w:rPr>
              <w:instrText xml:space="preserve"> PAGEREF _Toc181180854 \h </w:instrText>
            </w:r>
            <w:r>
              <w:rPr>
                <w:noProof/>
                <w:webHidden/>
              </w:rPr>
            </w:r>
            <w:r>
              <w:rPr>
                <w:noProof/>
                <w:webHidden/>
              </w:rPr>
              <w:fldChar w:fldCharType="separate"/>
            </w:r>
            <w:r>
              <w:rPr>
                <w:noProof/>
                <w:webHidden/>
              </w:rPr>
              <w:t>14</w:t>
            </w:r>
            <w:r>
              <w:rPr>
                <w:noProof/>
                <w:webHidden/>
              </w:rPr>
              <w:fldChar w:fldCharType="end"/>
            </w:r>
          </w:hyperlink>
        </w:p>
        <w:p w14:paraId="2B6490B1" w14:textId="4539A280" w:rsidR="007274DE" w:rsidRDefault="007274DE">
          <w:pPr>
            <w:pStyle w:val="TOC1"/>
            <w:tabs>
              <w:tab w:val="right" w:leader="dot" w:pos="9628"/>
            </w:tabs>
            <w:rPr>
              <w:rFonts w:cstheme="minorBidi"/>
              <w:b w:val="0"/>
              <w:bCs w:val="0"/>
              <w:iCs w:val="0"/>
              <w:noProof/>
              <w:kern w:val="2"/>
              <w:lang w:eastAsia="en-GB"/>
              <w14:ligatures w14:val="standardContextual"/>
            </w:rPr>
          </w:pPr>
          <w:hyperlink w:anchor="_Toc181180855" w:history="1">
            <w:r w:rsidRPr="00FE7A56">
              <w:rPr>
                <w:rStyle w:val="Hyperlink"/>
                <w:noProof/>
                <w:lang w:val="en-US"/>
              </w:rPr>
              <w:t>Appendix 1 – Employment Incentive</w:t>
            </w:r>
            <w:r>
              <w:rPr>
                <w:noProof/>
                <w:webHidden/>
              </w:rPr>
              <w:tab/>
            </w:r>
            <w:r>
              <w:rPr>
                <w:noProof/>
                <w:webHidden/>
              </w:rPr>
              <w:fldChar w:fldCharType="begin"/>
            </w:r>
            <w:r>
              <w:rPr>
                <w:noProof/>
                <w:webHidden/>
              </w:rPr>
              <w:instrText xml:space="preserve"> PAGEREF _Toc181180855 \h </w:instrText>
            </w:r>
            <w:r>
              <w:rPr>
                <w:noProof/>
                <w:webHidden/>
              </w:rPr>
            </w:r>
            <w:r>
              <w:rPr>
                <w:noProof/>
                <w:webHidden/>
              </w:rPr>
              <w:fldChar w:fldCharType="separate"/>
            </w:r>
            <w:r>
              <w:rPr>
                <w:noProof/>
                <w:webHidden/>
              </w:rPr>
              <w:t>15</w:t>
            </w:r>
            <w:r>
              <w:rPr>
                <w:noProof/>
                <w:webHidden/>
              </w:rPr>
              <w:fldChar w:fldCharType="end"/>
            </w:r>
          </w:hyperlink>
        </w:p>
        <w:p w14:paraId="50278752" w14:textId="4C0FA294" w:rsidR="00E924AC" w:rsidRDefault="00E924AC">
          <w:r>
            <w:rPr>
              <w:rFonts w:cstheme="minorHAnsi"/>
              <w:iCs/>
              <w:szCs w:val="24"/>
            </w:rPr>
            <w:fldChar w:fldCharType="end"/>
          </w:r>
        </w:p>
      </w:sdtContent>
    </w:sdt>
    <w:p w14:paraId="5B30110B" w14:textId="066D3F62" w:rsidR="009330F7" w:rsidRPr="009330F7" w:rsidRDefault="009330F7" w:rsidP="008D320B">
      <w:pPr>
        <w:pStyle w:val="Heading1"/>
        <w:rPr>
          <w:lang w:val="en-US"/>
        </w:rPr>
      </w:pPr>
      <w:r>
        <w:rPr>
          <w:lang w:val="en-US"/>
        </w:rPr>
        <w:br w:type="page"/>
      </w:r>
      <w:bookmarkStart w:id="0" w:name="_Toc181180835"/>
      <w:r w:rsidRPr="009330F7">
        <w:rPr>
          <w:lang w:val="en-US"/>
        </w:rPr>
        <w:lastRenderedPageBreak/>
        <w:t>1.</w:t>
      </w:r>
      <w:r w:rsidRPr="009330F7">
        <w:rPr>
          <w:lang w:val="en-US"/>
        </w:rPr>
        <w:tab/>
        <w:t>Background</w:t>
      </w:r>
      <w:bookmarkEnd w:id="0"/>
    </w:p>
    <w:p w14:paraId="5E0AAAE3" w14:textId="77777777" w:rsidR="009330F7" w:rsidRPr="009330F7" w:rsidRDefault="009330F7" w:rsidP="009330F7">
      <w:pPr>
        <w:spacing w:line="360" w:lineRule="auto"/>
        <w:rPr>
          <w:lang w:val="en-US"/>
        </w:rPr>
      </w:pPr>
      <w:r w:rsidRPr="009330F7">
        <w:rPr>
          <w:lang w:val="en-US"/>
        </w:rPr>
        <w:t>The Forestry Transition Program provides support for workers, businesses and communities who are impacted by the cessation of commercial native timber harvesting in Victorian State forests.</w:t>
      </w:r>
    </w:p>
    <w:p w14:paraId="5A4AA2C6" w14:textId="77777777" w:rsidR="009330F7" w:rsidRPr="009330F7" w:rsidRDefault="009330F7" w:rsidP="009330F7">
      <w:pPr>
        <w:spacing w:line="360" w:lineRule="auto"/>
        <w:rPr>
          <w:lang w:val="en-US"/>
        </w:rPr>
      </w:pPr>
      <w:r w:rsidRPr="009330F7">
        <w:rPr>
          <w:lang w:val="en-US"/>
        </w:rPr>
        <w:t>The program has funding to support the creation of jobs and economic development through the following grant programs:</w:t>
      </w:r>
    </w:p>
    <w:p w14:paraId="7C537DBD" w14:textId="77777777" w:rsidR="009330F7" w:rsidRPr="00124E1B" w:rsidRDefault="009330F7" w:rsidP="00124E1B">
      <w:pPr>
        <w:pStyle w:val="Bullet1last"/>
      </w:pPr>
      <w:r w:rsidRPr="00124E1B">
        <w:t>the $36 million Forestry Transition Fund aims to support the creation of jobs and economic activity through business development in communities affected by the forestry transition</w:t>
      </w:r>
    </w:p>
    <w:p w14:paraId="2A0BA682" w14:textId="77777777" w:rsidR="009330F7" w:rsidRPr="00124E1B" w:rsidRDefault="009330F7" w:rsidP="00124E1B">
      <w:pPr>
        <w:pStyle w:val="Bullet1last"/>
      </w:pPr>
      <w:r w:rsidRPr="00124E1B">
        <w:t xml:space="preserve">the $35 million Victorian Timber Innovation Fund (VTIF) is supporting impacted native forestry businesses to transition into other industry sectors including the plantation </w:t>
      </w:r>
      <w:proofErr w:type="spellStart"/>
      <w:r w:rsidRPr="00124E1B">
        <w:t>fibre</w:t>
      </w:r>
      <w:proofErr w:type="spellEnd"/>
      <w:r w:rsidRPr="00124E1B">
        <w:t xml:space="preserve"> sector </w:t>
      </w:r>
    </w:p>
    <w:p w14:paraId="1BFFA3D1" w14:textId="77777777" w:rsidR="009330F7" w:rsidRPr="00124E1B" w:rsidRDefault="009330F7" w:rsidP="00124E1B">
      <w:pPr>
        <w:pStyle w:val="Bullet1last"/>
      </w:pPr>
      <w:r w:rsidRPr="00124E1B">
        <w:t>the Local Development Strategy (LDS) is funding 11 communities most at risk because of the transition to identify economic diversification opportunities to support their transition to new and sustainable industries</w:t>
      </w:r>
    </w:p>
    <w:p w14:paraId="5A5E4520" w14:textId="0CD93F04" w:rsidR="009330F7" w:rsidRPr="009330F7" w:rsidRDefault="009330F7" w:rsidP="003F0B1D">
      <w:pPr>
        <w:pStyle w:val="Bullet1last"/>
        <w:spacing w:after="360"/>
      </w:pPr>
      <w:r w:rsidRPr="00124E1B">
        <w:t>the $22 million Community Development Fund (CDF) is supporting the early implementation of opportunities identified</w:t>
      </w:r>
      <w:r w:rsidRPr="009330F7">
        <w:t xml:space="preserve"> through the LDS program.</w:t>
      </w:r>
    </w:p>
    <w:p w14:paraId="6D8ED4F5" w14:textId="77777777" w:rsidR="009330F7" w:rsidRPr="009330F7" w:rsidRDefault="009330F7" w:rsidP="009330F7">
      <w:pPr>
        <w:pStyle w:val="Heading1"/>
        <w:rPr>
          <w:lang w:val="en-US"/>
        </w:rPr>
      </w:pPr>
      <w:bookmarkStart w:id="1" w:name="_Toc181180836"/>
      <w:r w:rsidRPr="009330F7">
        <w:rPr>
          <w:lang w:val="en-US"/>
        </w:rPr>
        <w:t>2.</w:t>
      </w:r>
      <w:r w:rsidRPr="009330F7">
        <w:rPr>
          <w:lang w:val="en-US"/>
        </w:rPr>
        <w:tab/>
        <w:t>Overview of the Transition Fund</w:t>
      </w:r>
      <w:bookmarkEnd w:id="1"/>
    </w:p>
    <w:p w14:paraId="1B8CB045" w14:textId="77777777" w:rsidR="009330F7" w:rsidRPr="009330F7" w:rsidRDefault="009330F7" w:rsidP="009330F7">
      <w:pPr>
        <w:spacing w:line="360" w:lineRule="auto"/>
        <w:rPr>
          <w:lang w:val="en-US"/>
        </w:rPr>
      </w:pPr>
      <w:r w:rsidRPr="009330F7">
        <w:rPr>
          <w:lang w:val="en-US"/>
        </w:rPr>
        <w:t>The Forestry Transition Fund – Round Two (this Round) is available primarily to support job creation, particularly for displaced timber workers, in localities significantly impacted by the transition from native timber harvesting including the eleven towns and communities that have an LDS. Funding will also be available in other Victorian towns or communities where there has been a demonstrated impact on local economies and employment due to the forestry transition.</w:t>
      </w:r>
    </w:p>
    <w:p w14:paraId="7F5304E1" w14:textId="77777777" w:rsidR="009330F7" w:rsidRPr="009330F7" w:rsidRDefault="009330F7" w:rsidP="009330F7">
      <w:pPr>
        <w:spacing w:line="360" w:lineRule="auto"/>
        <w:rPr>
          <w:lang w:val="en-US"/>
        </w:rPr>
      </w:pPr>
      <w:r w:rsidRPr="009330F7">
        <w:rPr>
          <w:lang w:val="en-US"/>
        </w:rPr>
        <w:t xml:space="preserve">Approximately $12 million of funding is available through this contestable funding Round. Further rounds may be available in the future. </w:t>
      </w:r>
    </w:p>
    <w:p w14:paraId="2EEF2653" w14:textId="77777777" w:rsidR="009330F7" w:rsidRPr="009330F7" w:rsidRDefault="009330F7" w:rsidP="009330F7">
      <w:pPr>
        <w:spacing w:line="360" w:lineRule="auto"/>
        <w:rPr>
          <w:lang w:val="en-US"/>
        </w:rPr>
      </w:pPr>
      <w:r w:rsidRPr="009330F7">
        <w:rPr>
          <w:lang w:val="en-US"/>
        </w:rPr>
        <w:t>Allocation of the funding will be guided by the following principles:</w:t>
      </w:r>
    </w:p>
    <w:p w14:paraId="279DF7ED" w14:textId="77777777" w:rsidR="009330F7" w:rsidRPr="009330F7" w:rsidRDefault="009330F7" w:rsidP="00124E1B">
      <w:pPr>
        <w:pStyle w:val="Bullet1last"/>
      </w:pPr>
      <w:r w:rsidRPr="009330F7">
        <w:t>funded projects are to offer good value-for-money for the State’s contribution</w:t>
      </w:r>
    </w:p>
    <w:p w14:paraId="723CF44B" w14:textId="77777777" w:rsidR="009330F7" w:rsidRPr="009330F7" w:rsidRDefault="009330F7" w:rsidP="00124E1B">
      <w:pPr>
        <w:pStyle w:val="Bullet1last"/>
      </w:pPr>
      <w:r w:rsidRPr="009330F7">
        <w:lastRenderedPageBreak/>
        <w:t>funds will be spent primarily in towns or communities that are particularly vulnerable to the industry transition due to:</w:t>
      </w:r>
    </w:p>
    <w:p w14:paraId="2774E01A" w14:textId="77777777" w:rsidR="009330F7" w:rsidRPr="004C1AF6" w:rsidRDefault="009330F7" w:rsidP="003F0B1D">
      <w:pPr>
        <w:pStyle w:val="Bullet2"/>
        <w:spacing w:line="276" w:lineRule="auto"/>
      </w:pPr>
      <w:r w:rsidRPr="004C1AF6">
        <w:t>the number of affected jobs in the town or community</w:t>
      </w:r>
    </w:p>
    <w:p w14:paraId="49C60CDA" w14:textId="77777777" w:rsidR="009330F7" w:rsidRPr="004C1AF6" w:rsidRDefault="009330F7" w:rsidP="003F0B1D">
      <w:pPr>
        <w:pStyle w:val="Bullet2"/>
        <w:spacing w:line="276" w:lineRule="auto"/>
      </w:pPr>
      <w:r w:rsidRPr="004C1AF6">
        <w:t>impacted jobs to population ratio</w:t>
      </w:r>
    </w:p>
    <w:p w14:paraId="4DE7E501" w14:textId="77777777" w:rsidR="009330F7" w:rsidRPr="004C1AF6" w:rsidRDefault="009330F7" w:rsidP="003F0B1D">
      <w:pPr>
        <w:pStyle w:val="Bullet2"/>
        <w:spacing w:line="276" w:lineRule="auto"/>
      </w:pPr>
      <w:r w:rsidRPr="004C1AF6">
        <w:t>the remoteness of the town or community</w:t>
      </w:r>
    </w:p>
    <w:p w14:paraId="54494116" w14:textId="77777777" w:rsidR="009330F7" w:rsidRPr="004C1AF6" w:rsidRDefault="009330F7" w:rsidP="003F0B1D">
      <w:pPr>
        <w:pStyle w:val="Bullet2"/>
        <w:spacing w:after="360" w:line="276" w:lineRule="auto"/>
      </w:pPr>
      <w:r w:rsidRPr="004C1AF6">
        <w:t>the level of disadvantage experienced in the community.</w:t>
      </w:r>
    </w:p>
    <w:p w14:paraId="18BB4386" w14:textId="55123DB0" w:rsidR="009330F7" w:rsidRPr="009330F7" w:rsidRDefault="009330F7" w:rsidP="009330F7">
      <w:pPr>
        <w:spacing w:line="360" w:lineRule="auto"/>
        <w:rPr>
          <w:lang w:val="en-US"/>
        </w:rPr>
      </w:pPr>
      <w:r w:rsidRPr="009330F7">
        <w:rPr>
          <w:lang w:val="en-US"/>
        </w:rPr>
        <w:t>The Forestry Transition Fund is administered by the Department of Energy, Environment and Climate Action (the Department).</w:t>
      </w:r>
    </w:p>
    <w:p w14:paraId="631A3C9A" w14:textId="77777777" w:rsidR="009330F7" w:rsidRPr="009330F7" w:rsidRDefault="009330F7" w:rsidP="008D320B">
      <w:pPr>
        <w:pStyle w:val="Heading1"/>
        <w:rPr>
          <w:lang w:val="en-US"/>
        </w:rPr>
      </w:pPr>
      <w:bookmarkStart w:id="2" w:name="_Toc181180837"/>
      <w:r w:rsidRPr="009330F7">
        <w:rPr>
          <w:lang w:val="en-US"/>
        </w:rPr>
        <w:t>3.</w:t>
      </w:r>
      <w:r w:rsidRPr="009330F7">
        <w:rPr>
          <w:lang w:val="en-US"/>
        </w:rPr>
        <w:tab/>
        <w:t>Eligibility</w:t>
      </w:r>
      <w:bookmarkEnd w:id="2"/>
      <w:r w:rsidRPr="009330F7">
        <w:rPr>
          <w:lang w:val="en-US"/>
        </w:rPr>
        <w:t xml:space="preserve"> </w:t>
      </w:r>
    </w:p>
    <w:p w14:paraId="0093C062" w14:textId="77777777" w:rsidR="009330F7" w:rsidRPr="009330F7" w:rsidRDefault="009330F7" w:rsidP="008D320B">
      <w:pPr>
        <w:pStyle w:val="Heading2"/>
      </w:pPr>
      <w:bookmarkStart w:id="3" w:name="_Toc181180838"/>
      <w:r w:rsidRPr="009330F7">
        <w:t>3.1</w:t>
      </w:r>
      <w:r w:rsidRPr="009330F7">
        <w:tab/>
        <w:t>Eligible businesses and </w:t>
      </w:r>
      <w:proofErr w:type="spellStart"/>
      <w:r w:rsidRPr="009330F7">
        <w:t>organisations</w:t>
      </w:r>
      <w:bookmarkEnd w:id="3"/>
      <w:proofErr w:type="spellEnd"/>
    </w:p>
    <w:p w14:paraId="3F481A50" w14:textId="77777777" w:rsidR="009330F7" w:rsidRPr="009330F7" w:rsidRDefault="009330F7" w:rsidP="009330F7">
      <w:pPr>
        <w:spacing w:line="360" w:lineRule="auto"/>
        <w:rPr>
          <w:lang w:val="en-US"/>
        </w:rPr>
      </w:pPr>
      <w:r w:rsidRPr="009330F7">
        <w:rPr>
          <w:lang w:val="en-US"/>
        </w:rPr>
        <w:t>Applications for the Round will be accepted from:</w:t>
      </w:r>
    </w:p>
    <w:p w14:paraId="4C263712" w14:textId="77777777" w:rsidR="009330F7" w:rsidRPr="009330F7" w:rsidRDefault="009330F7" w:rsidP="00124E1B">
      <w:pPr>
        <w:pStyle w:val="Bullet1last"/>
      </w:pPr>
      <w:r w:rsidRPr="009330F7">
        <w:t>private sector businesses</w:t>
      </w:r>
    </w:p>
    <w:p w14:paraId="711B81D5" w14:textId="77777777" w:rsidR="009330F7" w:rsidRPr="009330F7" w:rsidRDefault="009330F7" w:rsidP="00124E1B">
      <w:pPr>
        <w:pStyle w:val="Bullet1last"/>
      </w:pPr>
      <w:r w:rsidRPr="009330F7">
        <w:t>business and industry groups including but not limited to:</w:t>
      </w:r>
    </w:p>
    <w:p w14:paraId="4750AF7B" w14:textId="77777777" w:rsidR="009330F7" w:rsidRPr="009330F7" w:rsidRDefault="009330F7" w:rsidP="003F0B1D">
      <w:pPr>
        <w:pStyle w:val="Bullet2"/>
        <w:spacing w:line="276" w:lineRule="auto"/>
      </w:pPr>
      <w:r w:rsidRPr="009330F7">
        <w:t>chambers of commerce and business associations</w:t>
      </w:r>
    </w:p>
    <w:p w14:paraId="7D68D91F" w14:textId="77777777" w:rsidR="009330F7" w:rsidRPr="009330F7" w:rsidRDefault="009330F7" w:rsidP="003F0B1D">
      <w:pPr>
        <w:pStyle w:val="Bullet2"/>
        <w:spacing w:line="276" w:lineRule="auto"/>
      </w:pPr>
      <w:r w:rsidRPr="009330F7">
        <w:t>industry peak bodies</w:t>
      </w:r>
    </w:p>
    <w:p w14:paraId="3A5E797E" w14:textId="77777777" w:rsidR="009330F7" w:rsidRPr="009330F7" w:rsidRDefault="009330F7" w:rsidP="003F0B1D">
      <w:pPr>
        <w:pStyle w:val="Bullet2"/>
        <w:spacing w:line="276" w:lineRule="auto"/>
      </w:pPr>
      <w:r w:rsidRPr="009330F7">
        <w:t>business and industry clusters and networks (noting that a cluster or network would need to nominate a business or entity to enter into the funding agreement and take on primary responsibility and liability for delivering the project)</w:t>
      </w:r>
    </w:p>
    <w:p w14:paraId="55679A95" w14:textId="77777777" w:rsidR="009330F7" w:rsidRPr="009330F7" w:rsidRDefault="009330F7" w:rsidP="003F0B1D">
      <w:pPr>
        <w:pStyle w:val="Bullet2"/>
        <w:spacing w:line="276" w:lineRule="auto"/>
      </w:pPr>
      <w:r w:rsidRPr="009330F7">
        <w:t xml:space="preserve">incorporated not-for-profit </w:t>
      </w:r>
      <w:proofErr w:type="spellStart"/>
      <w:r w:rsidRPr="009330F7">
        <w:t>organisations</w:t>
      </w:r>
      <w:proofErr w:type="spellEnd"/>
      <w:r w:rsidRPr="009330F7">
        <w:t xml:space="preserve"> that operate as a business</w:t>
      </w:r>
    </w:p>
    <w:p w14:paraId="02A22EBC" w14:textId="77777777" w:rsidR="009330F7" w:rsidRPr="009330F7" w:rsidRDefault="009330F7" w:rsidP="003F0B1D">
      <w:pPr>
        <w:pStyle w:val="Bullet2"/>
        <w:spacing w:after="360" w:line="276" w:lineRule="auto"/>
      </w:pPr>
      <w:r w:rsidRPr="009330F7">
        <w:t>Local Government Authorities.</w:t>
      </w:r>
    </w:p>
    <w:p w14:paraId="22E7854A" w14:textId="77777777" w:rsidR="009330F7" w:rsidRPr="009330F7" w:rsidRDefault="009330F7" w:rsidP="009330F7">
      <w:pPr>
        <w:spacing w:line="360" w:lineRule="auto"/>
        <w:rPr>
          <w:lang w:val="en-US"/>
        </w:rPr>
      </w:pPr>
      <w:r w:rsidRPr="009330F7">
        <w:rPr>
          <w:lang w:val="en-US"/>
        </w:rPr>
        <w:t>Note that:</w:t>
      </w:r>
    </w:p>
    <w:p w14:paraId="26F13B0F" w14:textId="77777777" w:rsidR="009330F7" w:rsidRPr="009330F7" w:rsidRDefault="009330F7" w:rsidP="00124E1B">
      <w:pPr>
        <w:pStyle w:val="Bullet1last"/>
      </w:pPr>
      <w:r w:rsidRPr="009330F7">
        <w:t>all applicants must have an ABN and be registered for GST</w:t>
      </w:r>
    </w:p>
    <w:p w14:paraId="0F736A65" w14:textId="77777777" w:rsidR="009330F7" w:rsidRPr="009330F7" w:rsidRDefault="009330F7" w:rsidP="00124E1B">
      <w:pPr>
        <w:pStyle w:val="Bullet1last"/>
      </w:pPr>
      <w:r w:rsidRPr="009330F7">
        <w:t>for businesses, applicants must be the owner and/or the operator of the business</w:t>
      </w:r>
    </w:p>
    <w:p w14:paraId="59C56428" w14:textId="77777777" w:rsidR="009330F7" w:rsidRPr="009330F7" w:rsidRDefault="009330F7" w:rsidP="00124E1B">
      <w:pPr>
        <w:pStyle w:val="Bullet1last"/>
      </w:pPr>
      <w:r w:rsidRPr="009330F7">
        <w:t>all applicants must commit to meeting all industrial relations obligations as an employer in accordance with the National Employment Standards under the Fair Work Act 2009 (</w:t>
      </w:r>
      <w:proofErr w:type="spellStart"/>
      <w:r w:rsidRPr="009330F7">
        <w:t>Cth</w:t>
      </w:r>
      <w:proofErr w:type="spellEnd"/>
      <w:r w:rsidRPr="009330F7">
        <w:t>)</w:t>
      </w:r>
    </w:p>
    <w:p w14:paraId="04A0269B" w14:textId="22529237" w:rsidR="009330F7" w:rsidRPr="009330F7" w:rsidRDefault="009330F7" w:rsidP="007168D5">
      <w:pPr>
        <w:pStyle w:val="Bullet1last"/>
      </w:pPr>
      <w:r w:rsidRPr="009330F7">
        <w:t xml:space="preserve">all applicants must abide by the Buying for Victoria </w:t>
      </w:r>
      <w:hyperlink r:id="rId13" w:history="1">
        <w:r w:rsidRPr="007168D5">
          <w:rPr>
            <w:rStyle w:val="Hyperlink"/>
          </w:rPr>
          <w:t>Supplier Code of Conduct</w:t>
        </w:r>
      </w:hyperlink>
      <w:r w:rsidR="007168D5">
        <w:t xml:space="preserve"> (</w:t>
      </w:r>
      <w:r w:rsidR="007168D5" w:rsidRPr="007168D5">
        <w:t>https://www.buyingfor.vic.gov.au/supplier-code-conduct</w:t>
      </w:r>
      <w:r w:rsidR="007168D5">
        <w:t>)</w:t>
      </w:r>
      <w:r w:rsidRPr="009330F7">
        <w:t>.</w:t>
      </w:r>
    </w:p>
    <w:p w14:paraId="0EF5B425" w14:textId="77777777" w:rsidR="009330F7" w:rsidRPr="009330F7" w:rsidRDefault="009330F7" w:rsidP="008D320B">
      <w:pPr>
        <w:pStyle w:val="Heading2"/>
      </w:pPr>
      <w:bookmarkStart w:id="4" w:name="_Toc181180839"/>
      <w:r w:rsidRPr="009330F7">
        <w:lastRenderedPageBreak/>
        <w:t>3.2</w:t>
      </w:r>
      <w:r w:rsidRPr="009330F7">
        <w:tab/>
        <w:t>Eligible locations</w:t>
      </w:r>
      <w:bookmarkEnd w:id="4"/>
      <w:r w:rsidRPr="009330F7">
        <w:t xml:space="preserve"> </w:t>
      </w:r>
    </w:p>
    <w:p w14:paraId="030CACE3" w14:textId="77777777" w:rsidR="009330F7" w:rsidRPr="009330F7" w:rsidRDefault="009330F7" w:rsidP="009330F7">
      <w:pPr>
        <w:spacing w:line="360" w:lineRule="auto"/>
        <w:rPr>
          <w:lang w:val="en-US"/>
        </w:rPr>
      </w:pPr>
      <w:r w:rsidRPr="009330F7">
        <w:rPr>
          <w:lang w:val="en-US"/>
        </w:rPr>
        <w:t>This Round supports job creation and business development in towns affected by the Forestry Transition Program.</w:t>
      </w:r>
    </w:p>
    <w:p w14:paraId="185131D8" w14:textId="77777777" w:rsidR="009330F7" w:rsidRPr="009330F7" w:rsidRDefault="009330F7" w:rsidP="009330F7">
      <w:pPr>
        <w:spacing w:line="360" w:lineRule="auto"/>
        <w:rPr>
          <w:lang w:val="en-US"/>
        </w:rPr>
      </w:pPr>
      <w:r w:rsidRPr="009330F7">
        <w:rPr>
          <w:lang w:val="en-US"/>
        </w:rPr>
        <w:t xml:space="preserve">Applications will be considered from eligible businesses or </w:t>
      </w:r>
      <w:proofErr w:type="spellStart"/>
      <w:r w:rsidRPr="009330F7">
        <w:rPr>
          <w:lang w:val="en-US"/>
        </w:rPr>
        <w:t>organisations</w:t>
      </w:r>
      <w:proofErr w:type="spellEnd"/>
      <w:r w:rsidRPr="009330F7">
        <w:rPr>
          <w:lang w:val="en-US"/>
        </w:rPr>
        <w:t xml:space="preserve"> operating in or near Benalla, </w:t>
      </w:r>
      <w:proofErr w:type="spellStart"/>
      <w:r w:rsidRPr="009330F7">
        <w:rPr>
          <w:lang w:val="en-US"/>
        </w:rPr>
        <w:t>Corryong</w:t>
      </w:r>
      <w:proofErr w:type="spellEnd"/>
      <w:r w:rsidRPr="009330F7">
        <w:rPr>
          <w:lang w:val="en-US"/>
        </w:rPr>
        <w:t xml:space="preserve">, Heyfield, </w:t>
      </w:r>
      <w:proofErr w:type="spellStart"/>
      <w:r w:rsidRPr="009330F7">
        <w:rPr>
          <w:lang w:val="en-US"/>
        </w:rPr>
        <w:t>Koondrook</w:t>
      </w:r>
      <w:proofErr w:type="spellEnd"/>
      <w:r w:rsidRPr="009330F7">
        <w:rPr>
          <w:lang w:val="en-US"/>
        </w:rPr>
        <w:t xml:space="preserve">, </w:t>
      </w:r>
      <w:proofErr w:type="spellStart"/>
      <w:r w:rsidRPr="009330F7">
        <w:rPr>
          <w:lang w:val="en-US"/>
        </w:rPr>
        <w:t>Murrindindi</w:t>
      </w:r>
      <w:proofErr w:type="spellEnd"/>
      <w:r w:rsidRPr="009330F7">
        <w:rPr>
          <w:lang w:val="en-US"/>
        </w:rPr>
        <w:t xml:space="preserve"> (Alexandra, </w:t>
      </w:r>
      <w:proofErr w:type="spellStart"/>
      <w:r w:rsidRPr="009330F7">
        <w:rPr>
          <w:lang w:val="en-US"/>
        </w:rPr>
        <w:t>Taggerty</w:t>
      </w:r>
      <w:proofErr w:type="spellEnd"/>
      <w:r w:rsidRPr="009330F7">
        <w:rPr>
          <w:lang w:val="en-US"/>
        </w:rPr>
        <w:t xml:space="preserve">, Buxton and Marysville), </w:t>
      </w:r>
      <w:proofErr w:type="spellStart"/>
      <w:r w:rsidRPr="009330F7">
        <w:rPr>
          <w:lang w:val="en-US"/>
        </w:rPr>
        <w:t>Noojee</w:t>
      </w:r>
      <w:proofErr w:type="spellEnd"/>
      <w:r w:rsidRPr="009330F7">
        <w:rPr>
          <w:lang w:val="en-US"/>
        </w:rPr>
        <w:t xml:space="preserve">, Nowa </w:t>
      </w:r>
      <w:proofErr w:type="spellStart"/>
      <w:r w:rsidRPr="009330F7">
        <w:rPr>
          <w:lang w:val="en-US"/>
        </w:rPr>
        <w:t>Nowa</w:t>
      </w:r>
      <w:proofErr w:type="spellEnd"/>
      <w:r w:rsidRPr="009330F7">
        <w:rPr>
          <w:lang w:val="en-US"/>
        </w:rPr>
        <w:t xml:space="preserve">, </w:t>
      </w:r>
      <w:proofErr w:type="spellStart"/>
      <w:r w:rsidRPr="009330F7">
        <w:rPr>
          <w:lang w:val="en-US"/>
        </w:rPr>
        <w:t>Orbost</w:t>
      </w:r>
      <w:proofErr w:type="spellEnd"/>
      <w:r w:rsidRPr="009330F7">
        <w:rPr>
          <w:lang w:val="en-US"/>
        </w:rPr>
        <w:t xml:space="preserve">, Swifts Creek, </w:t>
      </w:r>
      <w:proofErr w:type="spellStart"/>
      <w:r w:rsidRPr="009330F7">
        <w:rPr>
          <w:lang w:val="en-US"/>
        </w:rPr>
        <w:t>Yarra</w:t>
      </w:r>
      <w:proofErr w:type="spellEnd"/>
      <w:r w:rsidRPr="009330F7">
        <w:rPr>
          <w:lang w:val="en-US"/>
        </w:rPr>
        <w:t xml:space="preserve"> Ranges (</w:t>
      </w:r>
      <w:proofErr w:type="spellStart"/>
      <w:r w:rsidRPr="009330F7">
        <w:rPr>
          <w:lang w:val="en-US"/>
        </w:rPr>
        <w:t>Yarra</w:t>
      </w:r>
      <w:proofErr w:type="spellEnd"/>
      <w:r w:rsidRPr="009330F7">
        <w:rPr>
          <w:lang w:val="en-US"/>
        </w:rPr>
        <w:t xml:space="preserve"> Junction, Warburton and </w:t>
      </w:r>
      <w:proofErr w:type="spellStart"/>
      <w:r w:rsidRPr="009330F7">
        <w:rPr>
          <w:lang w:val="en-US"/>
        </w:rPr>
        <w:t>Powelltown</w:t>
      </w:r>
      <w:proofErr w:type="spellEnd"/>
      <w:r w:rsidRPr="009330F7">
        <w:rPr>
          <w:lang w:val="en-US"/>
        </w:rPr>
        <w:t>) and </w:t>
      </w:r>
      <w:proofErr w:type="spellStart"/>
      <w:r w:rsidRPr="009330F7">
        <w:rPr>
          <w:lang w:val="en-US"/>
        </w:rPr>
        <w:t>Yarram</w:t>
      </w:r>
      <w:proofErr w:type="spellEnd"/>
      <w:r w:rsidRPr="009330F7">
        <w:rPr>
          <w:lang w:val="en-US"/>
        </w:rPr>
        <w:t>.</w:t>
      </w:r>
    </w:p>
    <w:p w14:paraId="7DF1F9D8" w14:textId="77777777" w:rsidR="009330F7" w:rsidRPr="009330F7" w:rsidRDefault="009330F7" w:rsidP="009330F7">
      <w:pPr>
        <w:spacing w:line="360" w:lineRule="auto"/>
        <w:rPr>
          <w:lang w:val="en-US"/>
        </w:rPr>
      </w:pPr>
      <w:r w:rsidRPr="009330F7">
        <w:rPr>
          <w:lang w:val="en-US"/>
        </w:rPr>
        <w:t>Applications will also be considered from other regional Victorian towns or communities where there has been a demonstrated impact on local economies and employment due to the forestry transition.</w:t>
      </w:r>
    </w:p>
    <w:p w14:paraId="470AC429" w14:textId="77777777" w:rsidR="009330F7" w:rsidRPr="009330F7" w:rsidRDefault="009330F7" w:rsidP="008D320B">
      <w:pPr>
        <w:pStyle w:val="Heading2"/>
      </w:pPr>
      <w:bookmarkStart w:id="5" w:name="_Toc181180840"/>
      <w:r w:rsidRPr="009330F7">
        <w:t>3.3</w:t>
      </w:r>
      <w:r w:rsidRPr="009330F7">
        <w:tab/>
        <w:t>Eligible funded activities</w:t>
      </w:r>
      <w:bookmarkEnd w:id="5"/>
    </w:p>
    <w:p w14:paraId="031439EE" w14:textId="77777777" w:rsidR="009330F7" w:rsidRPr="009330F7" w:rsidRDefault="009330F7" w:rsidP="009330F7">
      <w:pPr>
        <w:spacing w:line="360" w:lineRule="auto"/>
        <w:rPr>
          <w:lang w:val="en-US"/>
        </w:rPr>
      </w:pPr>
      <w:r w:rsidRPr="009330F7">
        <w:rPr>
          <w:lang w:val="en-US"/>
        </w:rPr>
        <w:t>Activities that may be eligible for funding include:</w:t>
      </w:r>
    </w:p>
    <w:p w14:paraId="39FF1B8E" w14:textId="77777777" w:rsidR="009330F7" w:rsidRPr="009330F7" w:rsidRDefault="009330F7" w:rsidP="00124E1B">
      <w:pPr>
        <w:pStyle w:val="Bullet1last"/>
      </w:pPr>
      <w:r w:rsidRPr="009330F7">
        <w:t>the expansion of existing or development of new facilities such as factories, offices or shops</w:t>
      </w:r>
    </w:p>
    <w:p w14:paraId="0AD0E3FE" w14:textId="77777777" w:rsidR="009330F7" w:rsidRPr="009330F7" w:rsidRDefault="009330F7" w:rsidP="004C1AF6">
      <w:pPr>
        <w:pStyle w:val="Bullet1last"/>
        <w:spacing w:after="360"/>
      </w:pPr>
      <w:r w:rsidRPr="009330F7">
        <w:t>the introduction of new technologies, innovations, plant and equipment, systems and processes to improve business growth.</w:t>
      </w:r>
    </w:p>
    <w:p w14:paraId="0AC743BF" w14:textId="494E6071" w:rsidR="009330F7" w:rsidRPr="009330F7" w:rsidRDefault="009330F7" w:rsidP="009330F7">
      <w:pPr>
        <w:spacing w:line="360" w:lineRule="auto"/>
        <w:rPr>
          <w:lang w:val="en-US"/>
        </w:rPr>
      </w:pPr>
      <w:r w:rsidRPr="009330F7">
        <w:rPr>
          <w:lang w:val="en-US"/>
        </w:rPr>
        <w:t>Note that:</w:t>
      </w:r>
    </w:p>
    <w:p w14:paraId="197E99E8" w14:textId="77777777" w:rsidR="009330F7" w:rsidRPr="009330F7" w:rsidRDefault="009330F7" w:rsidP="00124E1B">
      <w:pPr>
        <w:pStyle w:val="Bullet1last"/>
      </w:pPr>
      <w:r w:rsidRPr="009330F7">
        <w:t>projects funded through Transition Fund – Round One or other Victorian or Commonwealth Government grants may be eligible provided that the outputs of the projects are different</w:t>
      </w:r>
    </w:p>
    <w:p w14:paraId="28E31081" w14:textId="77777777" w:rsidR="009330F7" w:rsidRPr="009330F7" w:rsidRDefault="009330F7" w:rsidP="00124E1B">
      <w:pPr>
        <w:pStyle w:val="Bullet1last"/>
      </w:pPr>
      <w:r w:rsidRPr="009330F7">
        <w:t>project management activities (capped at 10% of the funded amount)</w:t>
      </w:r>
    </w:p>
    <w:p w14:paraId="29FCF9AF" w14:textId="77777777" w:rsidR="009330F7" w:rsidRPr="009330F7" w:rsidRDefault="009330F7" w:rsidP="004C1AF6">
      <w:pPr>
        <w:pStyle w:val="Bullet1last"/>
        <w:spacing w:after="360"/>
      </w:pPr>
      <w:r w:rsidRPr="009330F7">
        <w:t xml:space="preserve">businesses that are eligible for the Victorian Timber Innovation Fund must apply via that funding stream. </w:t>
      </w:r>
    </w:p>
    <w:p w14:paraId="690379BA" w14:textId="77777777" w:rsidR="009330F7" w:rsidRPr="009330F7" w:rsidRDefault="009330F7" w:rsidP="008D320B">
      <w:pPr>
        <w:pStyle w:val="Heading2"/>
      </w:pPr>
      <w:bookmarkStart w:id="6" w:name="_Toc181180841"/>
      <w:r w:rsidRPr="009330F7">
        <w:t>3.4</w:t>
      </w:r>
      <w:r w:rsidRPr="009330F7">
        <w:tab/>
        <w:t>Ineligible activities</w:t>
      </w:r>
      <w:bookmarkEnd w:id="6"/>
    </w:p>
    <w:p w14:paraId="4561B587" w14:textId="77777777" w:rsidR="009330F7" w:rsidRPr="009330F7" w:rsidRDefault="009330F7" w:rsidP="009330F7">
      <w:pPr>
        <w:spacing w:line="360" w:lineRule="auto"/>
        <w:rPr>
          <w:lang w:val="en-US"/>
        </w:rPr>
      </w:pPr>
      <w:r w:rsidRPr="009330F7">
        <w:rPr>
          <w:lang w:val="en-US"/>
        </w:rPr>
        <w:t>The following activities will not be considered for funding through this Round:</w:t>
      </w:r>
    </w:p>
    <w:p w14:paraId="507DD788" w14:textId="77777777" w:rsidR="009330F7" w:rsidRPr="009330F7" w:rsidRDefault="009330F7" w:rsidP="00124E1B">
      <w:pPr>
        <w:pStyle w:val="Bullet1last"/>
      </w:pPr>
      <w:r w:rsidRPr="009330F7">
        <w:t xml:space="preserve">requests for retrospective funding, where projects have commenced (i.e. equipment purchased, contracts </w:t>
      </w:r>
      <w:proofErr w:type="gramStart"/>
      <w:r w:rsidRPr="009330F7">
        <w:t>entered into</w:t>
      </w:r>
      <w:proofErr w:type="gramEnd"/>
      <w:r w:rsidRPr="009330F7">
        <w:t xml:space="preserve"> or where construction has begun) or have been completed prior to receiving funding approval</w:t>
      </w:r>
    </w:p>
    <w:p w14:paraId="06C24DEF" w14:textId="77777777" w:rsidR="009330F7" w:rsidRPr="009330F7" w:rsidRDefault="009330F7" w:rsidP="00124E1B">
      <w:pPr>
        <w:pStyle w:val="Bullet1last"/>
      </w:pPr>
      <w:r w:rsidRPr="009330F7">
        <w:lastRenderedPageBreak/>
        <w:t>projects requiring ongoing funding from the Victorian or Commonwealth Government</w:t>
      </w:r>
    </w:p>
    <w:p w14:paraId="67346EE9" w14:textId="77777777" w:rsidR="009330F7" w:rsidRPr="009330F7" w:rsidRDefault="009330F7" w:rsidP="00124E1B">
      <w:pPr>
        <w:pStyle w:val="Bullet1last"/>
      </w:pPr>
      <w:r w:rsidRPr="009330F7">
        <w:t xml:space="preserve">projects undertaken by the private sector </w:t>
      </w:r>
      <w:proofErr w:type="gramStart"/>
      <w:r w:rsidRPr="009330F7">
        <w:t>as a result of</w:t>
      </w:r>
      <w:proofErr w:type="gramEnd"/>
      <w:r w:rsidRPr="009330F7">
        <w:t xml:space="preserve"> an existing Victorian or Commonwealth Government contract</w:t>
      </w:r>
    </w:p>
    <w:p w14:paraId="618FDD79" w14:textId="77777777" w:rsidR="009330F7" w:rsidRPr="009330F7" w:rsidRDefault="009330F7" w:rsidP="003F0B1D">
      <w:pPr>
        <w:pStyle w:val="Bullet2"/>
        <w:spacing w:line="276" w:lineRule="auto"/>
      </w:pPr>
      <w:r w:rsidRPr="009330F7">
        <w:t>projects normally funded through Australian, state or local government sources</w:t>
      </w:r>
    </w:p>
    <w:p w14:paraId="67305C52" w14:textId="77777777" w:rsidR="009330F7" w:rsidRPr="009330F7" w:rsidRDefault="009330F7" w:rsidP="003F0B1D">
      <w:pPr>
        <w:pStyle w:val="Bullet2"/>
        <w:spacing w:line="276" w:lineRule="auto"/>
      </w:pPr>
      <w:r w:rsidRPr="009330F7">
        <w:t>ongoing operating costs or salary subsidies</w:t>
      </w:r>
    </w:p>
    <w:p w14:paraId="4552AF2C" w14:textId="77777777" w:rsidR="009330F7" w:rsidRPr="009330F7" w:rsidRDefault="009330F7" w:rsidP="003F0B1D">
      <w:pPr>
        <w:pStyle w:val="Bullet2"/>
        <w:spacing w:line="276" w:lineRule="auto"/>
      </w:pPr>
      <w:r w:rsidRPr="009330F7">
        <w:t>projects primarily to meet regulatory or compliance requirements</w:t>
      </w:r>
    </w:p>
    <w:p w14:paraId="10170EB8" w14:textId="77777777" w:rsidR="009330F7" w:rsidRPr="009330F7" w:rsidRDefault="009330F7" w:rsidP="003F0B1D">
      <w:pPr>
        <w:pStyle w:val="Bullet2"/>
        <w:spacing w:line="276" w:lineRule="auto"/>
      </w:pPr>
      <w:r w:rsidRPr="009330F7">
        <w:t>purchase of vehicles, unless they are directly required for the proposed job creation (that is, they would not be used for business-as-usual activities)</w:t>
      </w:r>
    </w:p>
    <w:p w14:paraId="5F9C5340" w14:textId="77777777" w:rsidR="009330F7" w:rsidRPr="009330F7" w:rsidRDefault="009330F7" w:rsidP="003F0B1D">
      <w:pPr>
        <w:pStyle w:val="Bullet2"/>
        <w:spacing w:line="276" w:lineRule="auto"/>
      </w:pPr>
      <w:r w:rsidRPr="009330F7">
        <w:t>event sponsorship</w:t>
      </w:r>
    </w:p>
    <w:p w14:paraId="0B32B71D" w14:textId="77777777" w:rsidR="009330F7" w:rsidRPr="009330F7" w:rsidRDefault="009330F7" w:rsidP="003F0B1D">
      <w:pPr>
        <w:pStyle w:val="Bullet2"/>
        <w:spacing w:line="276" w:lineRule="auto"/>
      </w:pPr>
      <w:r w:rsidRPr="009330F7">
        <w:t>purchase of property</w:t>
      </w:r>
    </w:p>
    <w:p w14:paraId="33A7867D" w14:textId="77777777" w:rsidR="009330F7" w:rsidRPr="009330F7" w:rsidRDefault="009330F7" w:rsidP="003F0B1D">
      <w:pPr>
        <w:pStyle w:val="Bullet2"/>
        <w:spacing w:line="276" w:lineRule="auto"/>
      </w:pPr>
      <w:r w:rsidRPr="009330F7">
        <w:t>access road upgrades</w:t>
      </w:r>
    </w:p>
    <w:p w14:paraId="3CDF30AB" w14:textId="77777777" w:rsidR="009330F7" w:rsidRPr="009330F7" w:rsidRDefault="009330F7" w:rsidP="003F0B1D">
      <w:pPr>
        <w:pStyle w:val="Bullet2"/>
        <w:spacing w:line="276" w:lineRule="auto"/>
      </w:pPr>
      <w:r w:rsidRPr="009330F7">
        <w:t>items of stock</w:t>
      </w:r>
    </w:p>
    <w:p w14:paraId="595ADFFE" w14:textId="77777777" w:rsidR="009330F7" w:rsidRPr="009330F7" w:rsidRDefault="009330F7" w:rsidP="003F0B1D">
      <w:pPr>
        <w:pStyle w:val="Bullet2"/>
        <w:spacing w:line="276" w:lineRule="auto"/>
      </w:pPr>
      <w:r w:rsidRPr="009330F7">
        <w:t>assets that were previously compensated through the Forestry Transition Program</w:t>
      </w:r>
    </w:p>
    <w:p w14:paraId="0E50053E" w14:textId="77777777" w:rsidR="009330F7" w:rsidRPr="009330F7" w:rsidRDefault="009330F7" w:rsidP="003F0B1D">
      <w:pPr>
        <w:pStyle w:val="Bullet2"/>
        <w:spacing w:after="360" w:line="276" w:lineRule="auto"/>
      </w:pPr>
      <w:r w:rsidRPr="009330F7">
        <w:t>activities that have received previous funding from the Victorian or Commonwealth Government.</w:t>
      </w:r>
    </w:p>
    <w:p w14:paraId="2EE5D991" w14:textId="77777777" w:rsidR="009330F7" w:rsidRPr="009330F7" w:rsidRDefault="009330F7" w:rsidP="008D320B">
      <w:pPr>
        <w:pStyle w:val="Heading1"/>
        <w:rPr>
          <w:lang w:val="en-US"/>
        </w:rPr>
      </w:pPr>
      <w:bookmarkStart w:id="7" w:name="_Toc181180842"/>
      <w:r w:rsidRPr="009330F7">
        <w:rPr>
          <w:lang w:val="en-US"/>
        </w:rPr>
        <w:t>4.</w:t>
      </w:r>
      <w:r w:rsidRPr="009330F7">
        <w:rPr>
          <w:lang w:val="en-US"/>
        </w:rPr>
        <w:tab/>
        <w:t>Funding</w:t>
      </w:r>
      <w:bookmarkEnd w:id="7"/>
    </w:p>
    <w:p w14:paraId="42D85270" w14:textId="77777777" w:rsidR="009330F7" w:rsidRPr="009330F7" w:rsidRDefault="009330F7" w:rsidP="009330F7">
      <w:pPr>
        <w:spacing w:line="360" w:lineRule="auto"/>
        <w:rPr>
          <w:lang w:val="en-US"/>
        </w:rPr>
      </w:pPr>
      <w:r w:rsidRPr="009330F7">
        <w:rPr>
          <w:lang w:val="en-US"/>
        </w:rPr>
        <w:t>Funding for the Transition Fund – Round Two will be $12 million for the 2024-25 financial year.</w:t>
      </w:r>
    </w:p>
    <w:p w14:paraId="7FDF6674" w14:textId="77777777" w:rsidR="009330F7" w:rsidRPr="009330F7" w:rsidRDefault="009330F7" w:rsidP="009330F7">
      <w:pPr>
        <w:spacing w:line="360" w:lineRule="auto"/>
        <w:rPr>
          <w:lang w:val="en-US"/>
        </w:rPr>
      </w:pPr>
      <w:r w:rsidRPr="009330F7">
        <w:rPr>
          <w:lang w:val="en-US"/>
        </w:rPr>
        <w:t>Grants of $10,000 to $1.0 million (excluding GST) are available.</w:t>
      </w:r>
    </w:p>
    <w:p w14:paraId="386A7331" w14:textId="77777777" w:rsidR="009330F7" w:rsidRPr="009330F7" w:rsidRDefault="009330F7" w:rsidP="009330F7">
      <w:pPr>
        <w:spacing w:line="360" w:lineRule="auto"/>
        <w:rPr>
          <w:lang w:val="en-US"/>
        </w:rPr>
      </w:pPr>
      <w:r w:rsidRPr="009330F7">
        <w:rPr>
          <w:lang w:val="en-US"/>
        </w:rPr>
        <w:t>Successful grant applicants will also be eligible to apply for a Transitioning Timber Worker Employment Incentive Payment of up to $20,000 per transitioning timber worker employed by the grant recipient as part of the funded project – see Appendix 1. This is in addition to funding provided for the project itself. Applicants are not able to claim this payment for themselves.</w:t>
      </w:r>
    </w:p>
    <w:p w14:paraId="66D1ECCD" w14:textId="15C1CF3A" w:rsidR="009330F7" w:rsidRPr="009330F7" w:rsidRDefault="009330F7" w:rsidP="009330F7">
      <w:pPr>
        <w:spacing w:line="360" w:lineRule="auto"/>
        <w:rPr>
          <w:lang w:val="en-US"/>
        </w:rPr>
      </w:pPr>
      <w:r w:rsidRPr="009330F7">
        <w:rPr>
          <w:lang w:val="en-US"/>
        </w:rPr>
        <w:t>Grants over $500,000 (excluding GST) will need to obtain and comply with the Fair Jobs Code</w:t>
      </w:r>
      <w:r w:rsidR="007168D5">
        <w:rPr>
          <w:rStyle w:val="FootnoteReference"/>
          <w:lang w:val="en-US"/>
        </w:rPr>
        <w:footnoteReference w:id="2"/>
      </w:r>
      <w:r w:rsidRPr="009330F7">
        <w:rPr>
          <w:lang w:val="en-US"/>
        </w:rPr>
        <w:t xml:space="preserve"> and Local Jobs First</w:t>
      </w:r>
      <w:r w:rsidR="007168D5">
        <w:rPr>
          <w:rStyle w:val="FootnoteReference"/>
          <w:lang w:val="en-US"/>
        </w:rPr>
        <w:footnoteReference w:id="3"/>
      </w:r>
      <w:r w:rsidRPr="009330F7">
        <w:rPr>
          <w:lang w:val="en-US"/>
        </w:rPr>
        <w:t xml:space="preserve"> policy.</w:t>
      </w:r>
    </w:p>
    <w:p w14:paraId="1E7651B0" w14:textId="77777777" w:rsidR="009330F7" w:rsidRPr="009330F7" w:rsidRDefault="009330F7" w:rsidP="009330F7">
      <w:pPr>
        <w:spacing w:line="360" w:lineRule="auto"/>
        <w:rPr>
          <w:lang w:val="en-US"/>
        </w:rPr>
      </w:pPr>
      <w:r w:rsidRPr="009330F7">
        <w:rPr>
          <w:lang w:val="en-US"/>
        </w:rPr>
        <w:lastRenderedPageBreak/>
        <w:t>The amount of funding to be given to any eligible applicant will be determined through the assessment of the application against the program’s assessment criteria, in particular the number of jobs that will be created – see ‘Application assessment and approval’ section.</w:t>
      </w:r>
    </w:p>
    <w:p w14:paraId="3C287EEA" w14:textId="77777777" w:rsidR="009330F7" w:rsidRPr="009330F7" w:rsidRDefault="009330F7" w:rsidP="008D320B">
      <w:pPr>
        <w:pStyle w:val="Heading2"/>
      </w:pPr>
      <w:bookmarkStart w:id="8" w:name="_Toc181180843"/>
      <w:r w:rsidRPr="009330F7">
        <w:t>4.1</w:t>
      </w:r>
      <w:r w:rsidRPr="009330F7">
        <w:tab/>
        <w:t>Co-contributions</w:t>
      </w:r>
      <w:bookmarkEnd w:id="8"/>
    </w:p>
    <w:p w14:paraId="7899B6C3" w14:textId="77777777" w:rsidR="009330F7" w:rsidRPr="009330F7" w:rsidRDefault="009330F7" w:rsidP="009330F7">
      <w:pPr>
        <w:spacing w:line="360" w:lineRule="auto"/>
        <w:rPr>
          <w:lang w:val="en-US"/>
        </w:rPr>
      </w:pPr>
      <w:r w:rsidRPr="009330F7">
        <w:rPr>
          <w:lang w:val="en-US"/>
        </w:rPr>
        <w:t>Applicants are expected to contribute their own funds towards the project including loans from financial institutions or equity from business investors.</w:t>
      </w:r>
    </w:p>
    <w:p w14:paraId="3C055C4A" w14:textId="77777777" w:rsidR="009330F7" w:rsidRPr="009330F7" w:rsidRDefault="009330F7" w:rsidP="009330F7">
      <w:pPr>
        <w:spacing w:line="360" w:lineRule="auto"/>
        <w:rPr>
          <w:lang w:val="en-US"/>
        </w:rPr>
      </w:pPr>
      <w:r w:rsidRPr="009330F7">
        <w:rPr>
          <w:lang w:val="en-US"/>
        </w:rPr>
        <w:t>In addition to their own contribution, applicants may seek additional funding for the project from a range of sources, including:</w:t>
      </w:r>
    </w:p>
    <w:p w14:paraId="34B249B1" w14:textId="77777777" w:rsidR="009330F7" w:rsidRPr="009330F7" w:rsidRDefault="009330F7" w:rsidP="00124E1B">
      <w:pPr>
        <w:pStyle w:val="Bullet1last"/>
      </w:pPr>
      <w:r w:rsidRPr="009330F7">
        <w:t>grants from the Australian Government</w:t>
      </w:r>
    </w:p>
    <w:p w14:paraId="36C1D7BB" w14:textId="77777777" w:rsidR="009330F7" w:rsidRPr="009330F7" w:rsidRDefault="009330F7" w:rsidP="00124E1B">
      <w:pPr>
        <w:pStyle w:val="Bullet1last"/>
      </w:pPr>
      <w:r w:rsidRPr="009330F7">
        <w:t>contributions from Local Government Authorities</w:t>
      </w:r>
    </w:p>
    <w:p w14:paraId="457DDEE6" w14:textId="77777777" w:rsidR="009330F7" w:rsidRPr="009330F7" w:rsidRDefault="009330F7" w:rsidP="004C1AF6">
      <w:pPr>
        <w:pStyle w:val="Bullet1last"/>
        <w:spacing w:after="360"/>
      </w:pPr>
      <w:r w:rsidRPr="009330F7">
        <w:t>contributions from utility/service providers.</w:t>
      </w:r>
    </w:p>
    <w:p w14:paraId="4E9115C3" w14:textId="1922C6B6" w:rsidR="0092583D" w:rsidRDefault="009330F7" w:rsidP="0092583D">
      <w:pPr>
        <w:pStyle w:val="Caption"/>
      </w:pPr>
      <w:r w:rsidRPr="009330F7">
        <w:t>Table 4.1 provides the co-contribution funding ratios</w:t>
      </w:r>
    </w:p>
    <w:tbl>
      <w:tblPr>
        <w:tblStyle w:val="TableGrid"/>
        <w:tblW w:w="9209" w:type="dxa"/>
        <w:tblLayout w:type="fixed"/>
        <w:tblCellMar>
          <w:top w:w="108" w:type="dxa"/>
          <w:bottom w:w="108" w:type="dxa"/>
        </w:tblCellMar>
        <w:tblLook w:val="0020" w:firstRow="1" w:lastRow="0" w:firstColumn="0" w:lastColumn="0" w:noHBand="0" w:noVBand="0"/>
        <w:tblCaption w:val="Co-contribution funding ratios"/>
      </w:tblPr>
      <w:tblGrid>
        <w:gridCol w:w="3397"/>
        <w:gridCol w:w="2127"/>
        <w:gridCol w:w="1984"/>
        <w:gridCol w:w="1701"/>
      </w:tblGrid>
      <w:tr w:rsidR="0092583D" w:rsidRPr="00285B57" w14:paraId="5456C3B6" w14:textId="77777777" w:rsidTr="0001637C">
        <w:trPr>
          <w:trHeight w:val="981"/>
          <w:tblHeader/>
        </w:trPr>
        <w:tc>
          <w:tcPr>
            <w:tcW w:w="3397" w:type="dxa"/>
          </w:tcPr>
          <w:p w14:paraId="2EFCB195" w14:textId="56D4A87D" w:rsidR="0092583D" w:rsidRPr="00285B57" w:rsidRDefault="0092583D" w:rsidP="00C403DA">
            <w:pPr>
              <w:pStyle w:val="Tabletext"/>
              <w:spacing w:line="276" w:lineRule="auto"/>
            </w:pPr>
            <w:r w:rsidRPr="0092583D">
              <w:rPr>
                <w:b/>
                <w:bCs/>
              </w:rPr>
              <w:t>Total cost of project activities eligible for funding</w:t>
            </w:r>
          </w:p>
        </w:tc>
        <w:tc>
          <w:tcPr>
            <w:tcW w:w="2127" w:type="dxa"/>
          </w:tcPr>
          <w:p w14:paraId="2F356F81" w14:textId="261E782D" w:rsidR="0092583D" w:rsidRPr="00285B57" w:rsidRDefault="0092583D" w:rsidP="00C403DA">
            <w:pPr>
              <w:pStyle w:val="Tabletext"/>
              <w:spacing w:before="80" w:line="276" w:lineRule="auto"/>
              <w:rPr>
                <w:b/>
                <w:bCs/>
              </w:rPr>
            </w:pPr>
            <w:r w:rsidRPr="0092583D">
              <w:rPr>
                <w:b/>
                <w:bCs/>
              </w:rPr>
              <w:t>Applicant contribution</w:t>
            </w:r>
          </w:p>
        </w:tc>
        <w:tc>
          <w:tcPr>
            <w:tcW w:w="1984" w:type="dxa"/>
          </w:tcPr>
          <w:p w14:paraId="3003818E" w14:textId="001014D1" w:rsidR="0092583D" w:rsidRPr="00285B57" w:rsidRDefault="0092583D" w:rsidP="00C403DA">
            <w:pPr>
              <w:pStyle w:val="Tabletext"/>
              <w:spacing w:before="80" w:line="276" w:lineRule="auto"/>
              <w:rPr>
                <w:b/>
                <w:bCs/>
              </w:rPr>
            </w:pPr>
            <w:r w:rsidRPr="0092583D">
              <w:rPr>
                <w:b/>
                <w:bCs/>
              </w:rPr>
              <w:t>Department contribution</w:t>
            </w:r>
          </w:p>
        </w:tc>
        <w:tc>
          <w:tcPr>
            <w:tcW w:w="1701" w:type="dxa"/>
          </w:tcPr>
          <w:p w14:paraId="118DE853" w14:textId="2044D6A8" w:rsidR="0092583D" w:rsidRPr="00285B57" w:rsidRDefault="0092583D" w:rsidP="00C403DA">
            <w:pPr>
              <w:pStyle w:val="Tabletext"/>
              <w:spacing w:before="80" w:line="276" w:lineRule="auto"/>
              <w:rPr>
                <w:b/>
                <w:bCs/>
              </w:rPr>
            </w:pPr>
            <w:r w:rsidRPr="0092583D">
              <w:rPr>
                <w:b/>
                <w:bCs/>
              </w:rPr>
              <w:t>Total</w:t>
            </w:r>
          </w:p>
        </w:tc>
      </w:tr>
      <w:tr w:rsidR="0092583D" w:rsidRPr="00285B57" w14:paraId="5ADBF0B0" w14:textId="77777777" w:rsidTr="0001637C">
        <w:trPr>
          <w:trHeight w:val="510"/>
        </w:trPr>
        <w:tc>
          <w:tcPr>
            <w:tcW w:w="3397" w:type="dxa"/>
          </w:tcPr>
          <w:p w14:paraId="1F9EEFEA" w14:textId="2EF10951" w:rsidR="0092583D" w:rsidRPr="004554EA" w:rsidRDefault="0092583D" w:rsidP="00C403DA">
            <w:pPr>
              <w:pStyle w:val="Tabletext"/>
              <w:spacing w:line="276" w:lineRule="auto"/>
              <w:rPr>
                <w:b/>
                <w:bCs/>
              </w:rPr>
            </w:pPr>
            <w:r w:rsidRPr="008D320B">
              <w:t>$10,000 to $250,000</w:t>
            </w:r>
          </w:p>
        </w:tc>
        <w:tc>
          <w:tcPr>
            <w:tcW w:w="2127" w:type="dxa"/>
          </w:tcPr>
          <w:p w14:paraId="2F66B2D5" w14:textId="6D3DD7BD" w:rsidR="0092583D" w:rsidRPr="00285B57" w:rsidRDefault="0092583D" w:rsidP="00C403DA">
            <w:pPr>
              <w:pStyle w:val="Tabletext"/>
              <w:spacing w:line="276" w:lineRule="auto"/>
            </w:pPr>
            <w:r w:rsidRPr="008D320B">
              <w:t>$0.50</w:t>
            </w:r>
          </w:p>
        </w:tc>
        <w:tc>
          <w:tcPr>
            <w:tcW w:w="1984" w:type="dxa"/>
          </w:tcPr>
          <w:p w14:paraId="11E77285" w14:textId="2DE4EA8B" w:rsidR="0092583D" w:rsidRPr="00285B57" w:rsidRDefault="0092583D" w:rsidP="00C403DA">
            <w:pPr>
              <w:pStyle w:val="Tabletext"/>
              <w:spacing w:line="276" w:lineRule="auto"/>
            </w:pPr>
            <w:r w:rsidRPr="008D320B">
              <w:t>$1.00</w:t>
            </w:r>
          </w:p>
        </w:tc>
        <w:tc>
          <w:tcPr>
            <w:tcW w:w="1701" w:type="dxa"/>
          </w:tcPr>
          <w:p w14:paraId="77210352" w14:textId="3C61AE78" w:rsidR="0092583D" w:rsidRPr="00285B57" w:rsidRDefault="0092583D" w:rsidP="00C403DA">
            <w:pPr>
              <w:pStyle w:val="Tabletext"/>
              <w:spacing w:line="276" w:lineRule="auto"/>
            </w:pPr>
            <w:r w:rsidRPr="008D320B">
              <w:t>$1.50</w:t>
            </w:r>
          </w:p>
        </w:tc>
      </w:tr>
      <w:tr w:rsidR="0092583D" w:rsidRPr="00285B57" w14:paraId="246CC818" w14:textId="77777777" w:rsidTr="0001637C">
        <w:trPr>
          <w:trHeight w:val="510"/>
        </w:trPr>
        <w:tc>
          <w:tcPr>
            <w:tcW w:w="3397" w:type="dxa"/>
          </w:tcPr>
          <w:p w14:paraId="42AD8786" w14:textId="2335484F" w:rsidR="0092583D" w:rsidRPr="004554EA" w:rsidRDefault="0092583D" w:rsidP="00C403DA">
            <w:pPr>
              <w:pStyle w:val="Tabletext"/>
              <w:spacing w:line="276" w:lineRule="auto"/>
              <w:rPr>
                <w:b/>
                <w:bCs/>
              </w:rPr>
            </w:pPr>
            <w:r w:rsidRPr="008D320B">
              <w:t>&gt;$250,000</w:t>
            </w:r>
          </w:p>
        </w:tc>
        <w:tc>
          <w:tcPr>
            <w:tcW w:w="2127" w:type="dxa"/>
          </w:tcPr>
          <w:p w14:paraId="1634F5A0" w14:textId="0221DDAF" w:rsidR="0092583D" w:rsidRPr="00285B57" w:rsidRDefault="0092583D" w:rsidP="00C403DA">
            <w:pPr>
              <w:pStyle w:val="Tabletext"/>
              <w:spacing w:line="276" w:lineRule="auto"/>
            </w:pPr>
            <w:r w:rsidRPr="008D320B">
              <w:t>$1.00</w:t>
            </w:r>
          </w:p>
        </w:tc>
        <w:tc>
          <w:tcPr>
            <w:tcW w:w="1984" w:type="dxa"/>
          </w:tcPr>
          <w:p w14:paraId="08BFBBB8" w14:textId="5D3BCFDE" w:rsidR="0092583D" w:rsidRPr="00285B57" w:rsidRDefault="0092583D" w:rsidP="00C403DA">
            <w:pPr>
              <w:pStyle w:val="Tabletext"/>
              <w:spacing w:line="276" w:lineRule="auto"/>
            </w:pPr>
            <w:r w:rsidRPr="008D320B">
              <w:t>$1.00</w:t>
            </w:r>
          </w:p>
        </w:tc>
        <w:tc>
          <w:tcPr>
            <w:tcW w:w="1701" w:type="dxa"/>
          </w:tcPr>
          <w:p w14:paraId="3E9124FC" w14:textId="24195F4D" w:rsidR="0092583D" w:rsidRPr="00285B57" w:rsidRDefault="0092583D" w:rsidP="00C403DA">
            <w:pPr>
              <w:pStyle w:val="Tabletext"/>
              <w:spacing w:line="276" w:lineRule="auto"/>
            </w:pPr>
            <w:r w:rsidRPr="008D320B">
              <w:t>$2.00</w:t>
            </w:r>
          </w:p>
        </w:tc>
      </w:tr>
    </w:tbl>
    <w:p w14:paraId="07982C21" w14:textId="5FE00471" w:rsidR="009330F7" w:rsidRPr="009330F7" w:rsidRDefault="004C1AF6" w:rsidP="009330F7">
      <w:pPr>
        <w:spacing w:line="360" w:lineRule="auto"/>
        <w:rPr>
          <w:lang w:val="en-US"/>
        </w:rPr>
      </w:pPr>
      <w:r>
        <w:rPr>
          <w:lang w:val="en-US"/>
        </w:rPr>
        <w:br/>
      </w:r>
      <w:r w:rsidR="009330F7" w:rsidRPr="009330F7">
        <w:rPr>
          <w:lang w:val="en-US"/>
        </w:rPr>
        <w:t>Note that:</w:t>
      </w:r>
    </w:p>
    <w:p w14:paraId="73E19240" w14:textId="77777777" w:rsidR="009330F7" w:rsidRPr="009330F7" w:rsidRDefault="009330F7" w:rsidP="00124E1B">
      <w:pPr>
        <w:pStyle w:val="Bullet1last"/>
      </w:pPr>
      <w:r w:rsidRPr="009330F7">
        <w:t>in-kind contributions will not be considered as part of the project costs in calculating the level of applicant contribution</w:t>
      </w:r>
    </w:p>
    <w:p w14:paraId="6B4EA1A2" w14:textId="418E5890" w:rsidR="009330F7" w:rsidRPr="008D320B" w:rsidRDefault="009330F7" w:rsidP="00124E1B">
      <w:pPr>
        <w:pStyle w:val="Bullet1last"/>
      </w:pPr>
      <w:r w:rsidRPr="009330F7">
        <w:t>the Department’s contribution will be calculated based on the applicant’s contribution excluding additional funding from the Australian or</w:t>
      </w:r>
      <w:r w:rsidR="008D320B">
        <w:t xml:space="preserve"> </w:t>
      </w:r>
      <w:r w:rsidRPr="008D320B">
        <w:t>Victorian Government, contributions from Local Government Authorities or contributions from utility/service providers</w:t>
      </w:r>
    </w:p>
    <w:p w14:paraId="429BA3D6" w14:textId="77777777" w:rsidR="009330F7" w:rsidRPr="009330F7" w:rsidRDefault="009330F7" w:rsidP="00124E1B">
      <w:pPr>
        <w:pStyle w:val="Bullet1last"/>
      </w:pPr>
      <w:r w:rsidRPr="009330F7">
        <w:t>for applicants who received funding through the Transition Fund - Round One, the total project cost and the amount already funded through the Fund will be considered when determining the co-contribution amount for this Round</w:t>
      </w:r>
    </w:p>
    <w:p w14:paraId="67E91671" w14:textId="77777777" w:rsidR="009330F7" w:rsidRPr="009330F7" w:rsidRDefault="009330F7" w:rsidP="00124E1B">
      <w:pPr>
        <w:pStyle w:val="Bullet1last"/>
      </w:pPr>
      <w:r w:rsidRPr="009330F7">
        <w:t>applicants must identify the source of all funding sources at the time of application</w:t>
      </w:r>
    </w:p>
    <w:p w14:paraId="740ED4C0" w14:textId="77777777" w:rsidR="009330F7" w:rsidRPr="009330F7" w:rsidRDefault="009330F7" w:rsidP="004C1AF6">
      <w:pPr>
        <w:pStyle w:val="Bullet1last"/>
        <w:spacing w:after="360"/>
      </w:pPr>
      <w:r w:rsidRPr="009330F7">
        <w:lastRenderedPageBreak/>
        <w:t xml:space="preserve">funding may be awarded at a different ratio to that in Table 4.1 if the State decides that the nature of the applicant </w:t>
      </w:r>
      <w:proofErr w:type="spellStart"/>
      <w:r w:rsidRPr="009330F7">
        <w:t>organisation</w:t>
      </w:r>
      <w:proofErr w:type="spellEnd"/>
      <w:r w:rsidRPr="009330F7">
        <w:t>, previous grant funding received through the Forestry Transition Program, job creation and/or the location of the project warrants a different level of financial support.</w:t>
      </w:r>
    </w:p>
    <w:p w14:paraId="7804B292" w14:textId="77777777" w:rsidR="009330F7" w:rsidRPr="009330F7" w:rsidRDefault="009330F7" w:rsidP="008D320B">
      <w:pPr>
        <w:pStyle w:val="Heading2"/>
      </w:pPr>
      <w:bookmarkStart w:id="9" w:name="_Toc181180844"/>
      <w:r w:rsidRPr="009330F7">
        <w:t>4.2</w:t>
      </w:r>
      <w:r w:rsidRPr="009330F7">
        <w:tab/>
        <w:t>Funding conditions</w:t>
      </w:r>
      <w:bookmarkEnd w:id="9"/>
    </w:p>
    <w:p w14:paraId="67438FBC" w14:textId="77777777" w:rsidR="009330F7" w:rsidRPr="009330F7" w:rsidRDefault="009330F7" w:rsidP="009330F7">
      <w:pPr>
        <w:spacing w:line="360" w:lineRule="auto"/>
        <w:rPr>
          <w:lang w:val="en-US"/>
        </w:rPr>
      </w:pPr>
      <w:r w:rsidRPr="009330F7">
        <w:rPr>
          <w:lang w:val="en-US"/>
        </w:rPr>
        <w:t>Applicants should note:</w:t>
      </w:r>
    </w:p>
    <w:p w14:paraId="25EE1383" w14:textId="77777777" w:rsidR="009330F7" w:rsidRPr="009330F7" w:rsidRDefault="009330F7" w:rsidP="00124E1B">
      <w:pPr>
        <w:pStyle w:val="Bullet1last"/>
      </w:pPr>
      <w:r w:rsidRPr="009330F7">
        <w:t>for start-up businesses, some funding will be provided in arrears of evidence of job creation</w:t>
      </w:r>
    </w:p>
    <w:p w14:paraId="396F57DD" w14:textId="77777777" w:rsidR="009330F7" w:rsidRPr="009330F7" w:rsidRDefault="009330F7" w:rsidP="00124E1B">
      <w:pPr>
        <w:pStyle w:val="Bullet1last"/>
      </w:pPr>
      <w:r w:rsidRPr="009330F7">
        <w:t>a lower grant amount than that requested may be offered to a successful applicant</w:t>
      </w:r>
    </w:p>
    <w:p w14:paraId="7F8A99DD" w14:textId="77777777" w:rsidR="009330F7" w:rsidRPr="009330F7" w:rsidRDefault="009330F7" w:rsidP="003F0B1D">
      <w:pPr>
        <w:pStyle w:val="Bullet2"/>
        <w:spacing w:line="276" w:lineRule="auto"/>
      </w:pPr>
      <w:r w:rsidRPr="009330F7">
        <w:t xml:space="preserve">all project costs included in the application must be exclusive of GST </w:t>
      </w:r>
    </w:p>
    <w:p w14:paraId="033DB8A9" w14:textId="77777777" w:rsidR="009330F7" w:rsidRPr="009330F7" w:rsidRDefault="009330F7" w:rsidP="003F0B1D">
      <w:pPr>
        <w:pStyle w:val="Bullet2"/>
        <w:spacing w:line="276" w:lineRule="auto"/>
      </w:pPr>
      <w:r w:rsidRPr="009330F7">
        <w:t>funded equipment must remain in the ownership of the grant recipient, as per terms of the grant agreement</w:t>
      </w:r>
    </w:p>
    <w:p w14:paraId="71E1EB28" w14:textId="77777777" w:rsidR="009330F7" w:rsidRPr="009330F7" w:rsidRDefault="009330F7" w:rsidP="003F0B1D">
      <w:pPr>
        <w:pStyle w:val="Bullet2"/>
        <w:spacing w:line="276" w:lineRule="auto"/>
      </w:pPr>
      <w:r w:rsidRPr="009330F7">
        <w:t>grants for start-up companies or companies that cannot provide three years audited financial statements will be capped at $50,000 (excluding GST)</w:t>
      </w:r>
    </w:p>
    <w:p w14:paraId="03074D7B" w14:textId="77777777" w:rsidR="009330F7" w:rsidRPr="009330F7" w:rsidRDefault="009330F7" w:rsidP="003F0B1D">
      <w:pPr>
        <w:pStyle w:val="Bullet2"/>
        <w:spacing w:line="276" w:lineRule="auto"/>
      </w:pPr>
      <w:r w:rsidRPr="009330F7">
        <w:t>successful applicants will be required to enter into a grant agreement with the Department. The grant agreement is a legally enforceable document that clearly sets out the obligations of both parties. The grant agreement aims to protect the Victorian Government’s interests and to ensure the efficient and effective use of public money</w:t>
      </w:r>
    </w:p>
    <w:p w14:paraId="4A3419F6" w14:textId="77777777" w:rsidR="009330F7" w:rsidRPr="009330F7" w:rsidRDefault="009330F7" w:rsidP="003F0B1D">
      <w:pPr>
        <w:pStyle w:val="Bullet2"/>
        <w:spacing w:line="276" w:lineRule="auto"/>
      </w:pPr>
      <w:r w:rsidRPr="009330F7">
        <w:t>the Department reports publicly on the grants and programs it administers. The reporting includes the identity of successful applicants and projects</w:t>
      </w:r>
    </w:p>
    <w:p w14:paraId="3CFB9DD1" w14:textId="4FBB711D" w:rsidR="009330F7" w:rsidRPr="00C403DA" w:rsidRDefault="009330F7" w:rsidP="003F0B1D">
      <w:pPr>
        <w:pStyle w:val="Bullet2"/>
        <w:spacing w:after="360" w:line="276" w:lineRule="auto"/>
      </w:pPr>
      <w:r w:rsidRPr="009330F7">
        <w:t>the applicant must not disclose publicly any funding outcome until approved by the Department.</w:t>
      </w:r>
    </w:p>
    <w:p w14:paraId="1BE24075" w14:textId="77777777" w:rsidR="009330F7" w:rsidRPr="009330F7" w:rsidRDefault="009330F7" w:rsidP="008D320B">
      <w:pPr>
        <w:pStyle w:val="Heading1"/>
        <w:rPr>
          <w:lang w:val="en-US"/>
        </w:rPr>
      </w:pPr>
      <w:bookmarkStart w:id="10" w:name="_Toc181180845"/>
      <w:r w:rsidRPr="009330F7">
        <w:rPr>
          <w:lang w:val="en-US"/>
        </w:rPr>
        <w:t>5.</w:t>
      </w:r>
      <w:r w:rsidRPr="009330F7">
        <w:rPr>
          <w:lang w:val="en-US"/>
        </w:rPr>
        <w:tab/>
        <w:t>Application process</w:t>
      </w:r>
      <w:bookmarkEnd w:id="10"/>
      <w:r w:rsidRPr="009330F7">
        <w:rPr>
          <w:lang w:val="en-US"/>
        </w:rPr>
        <w:t xml:space="preserve"> </w:t>
      </w:r>
    </w:p>
    <w:p w14:paraId="51CF80B3" w14:textId="77777777" w:rsidR="009330F7" w:rsidRPr="009330F7" w:rsidRDefault="009330F7" w:rsidP="008D320B">
      <w:pPr>
        <w:pStyle w:val="HeadingFOUR"/>
      </w:pPr>
      <w:r w:rsidRPr="009330F7">
        <w:t>Step 1: Prior to Expression of Interest (EoI)</w:t>
      </w:r>
    </w:p>
    <w:p w14:paraId="208935B6" w14:textId="77777777" w:rsidR="009330F7" w:rsidRPr="009330F7" w:rsidRDefault="009330F7" w:rsidP="00124E1B">
      <w:pPr>
        <w:pStyle w:val="Bullet1last"/>
      </w:pPr>
      <w:r w:rsidRPr="009330F7">
        <w:t>All applicants will need to go through the following process:</w:t>
      </w:r>
    </w:p>
    <w:p w14:paraId="4ADE430F" w14:textId="77777777" w:rsidR="009330F7" w:rsidRPr="009330F7" w:rsidRDefault="009330F7" w:rsidP="00124E1B">
      <w:pPr>
        <w:pStyle w:val="Bullet1last"/>
      </w:pPr>
      <w:r w:rsidRPr="009330F7">
        <w:t>read these application guidelines carefully to establish the proposed project’s eligibility</w:t>
      </w:r>
    </w:p>
    <w:p w14:paraId="4BBF7C47" w14:textId="25A757E9" w:rsidR="009330F7" w:rsidRPr="009330F7" w:rsidRDefault="009330F7" w:rsidP="007168D5">
      <w:pPr>
        <w:pStyle w:val="Bullet1last"/>
      </w:pPr>
      <w:r w:rsidRPr="009330F7">
        <w:t>discuss the proposed project and its eligibility with a Forestry Transition Program Business Transition Co-</w:t>
      </w:r>
      <w:proofErr w:type="spellStart"/>
      <w:r w:rsidRPr="009330F7">
        <w:t>ordinator</w:t>
      </w:r>
      <w:proofErr w:type="spellEnd"/>
      <w:r w:rsidRPr="009330F7">
        <w:t xml:space="preserve"> on </w:t>
      </w:r>
      <w:r w:rsidRPr="007168D5">
        <w:rPr>
          <w:b/>
          <w:bCs/>
        </w:rPr>
        <w:t>1800 318 182</w:t>
      </w:r>
      <w:r w:rsidRPr="009330F7">
        <w:t xml:space="preserve"> or email Forestry Transition</w:t>
      </w:r>
      <w:r w:rsidR="007168D5">
        <w:t xml:space="preserve"> </w:t>
      </w:r>
      <w:hyperlink r:id="rId14" w:history="1">
        <w:r w:rsidR="007168D5" w:rsidRPr="007168D5">
          <w:rPr>
            <w:rStyle w:val="Hyperlink"/>
          </w:rPr>
          <w:t>forestry.transition.fund@deeca.vic.gov.au</w:t>
        </w:r>
      </w:hyperlink>
      <w:r w:rsidRPr="009330F7">
        <w:t>.</w:t>
      </w:r>
    </w:p>
    <w:p w14:paraId="0C0F83DE" w14:textId="77777777" w:rsidR="009330F7" w:rsidRPr="009330F7" w:rsidRDefault="009330F7" w:rsidP="008D320B">
      <w:pPr>
        <w:pStyle w:val="HeadingFOUR"/>
      </w:pPr>
      <w:r w:rsidRPr="009330F7">
        <w:lastRenderedPageBreak/>
        <w:t>Step 2: Expression of Interest</w:t>
      </w:r>
    </w:p>
    <w:p w14:paraId="4A42877B" w14:textId="18F0E436" w:rsidR="009330F7" w:rsidRPr="009330F7" w:rsidRDefault="009330F7" w:rsidP="009330F7">
      <w:pPr>
        <w:spacing w:line="360" w:lineRule="auto"/>
        <w:rPr>
          <w:lang w:val="en-US"/>
        </w:rPr>
      </w:pPr>
      <w:r w:rsidRPr="009330F7">
        <w:rPr>
          <w:lang w:val="en-US"/>
        </w:rPr>
        <w:t xml:space="preserve">To participate in this Round, potential applicants must complete an EoI form that is available at </w:t>
      </w:r>
      <w:hyperlink r:id="rId15" w:history="1">
        <w:r w:rsidRPr="007168D5">
          <w:rPr>
            <w:rStyle w:val="Hyperlink"/>
            <w:lang w:val="en-US"/>
          </w:rPr>
          <w:t>DEECA Forestry Grants</w:t>
        </w:r>
      </w:hyperlink>
      <w:r w:rsidR="007168D5">
        <w:rPr>
          <w:lang w:val="en-US"/>
        </w:rPr>
        <w:t xml:space="preserve"> (</w:t>
      </w:r>
      <w:r w:rsidR="007168D5" w:rsidRPr="007168D5">
        <w:rPr>
          <w:lang w:val="en-US"/>
        </w:rPr>
        <w:t>https://www.deeca.vic.gov.au/forestry/grants</w:t>
      </w:r>
      <w:r w:rsidR="007168D5">
        <w:rPr>
          <w:lang w:val="en-US"/>
        </w:rPr>
        <w:t>)</w:t>
      </w:r>
      <w:r w:rsidRPr="009330F7">
        <w:rPr>
          <w:lang w:val="en-US"/>
        </w:rPr>
        <w:t>.</w:t>
      </w:r>
    </w:p>
    <w:p w14:paraId="75545D7C" w14:textId="77777777" w:rsidR="009330F7" w:rsidRPr="009330F7" w:rsidRDefault="009330F7" w:rsidP="009330F7">
      <w:pPr>
        <w:spacing w:line="360" w:lineRule="auto"/>
        <w:rPr>
          <w:lang w:val="en-US"/>
        </w:rPr>
      </w:pPr>
      <w:r w:rsidRPr="009330F7">
        <w:rPr>
          <w:lang w:val="en-US"/>
        </w:rPr>
        <w:t>Refer to 6.1 for the Department’s assessment of the EoI.</w:t>
      </w:r>
    </w:p>
    <w:p w14:paraId="40935C27" w14:textId="77777777" w:rsidR="009330F7" w:rsidRPr="009330F7" w:rsidRDefault="009330F7" w:rsidP="008D320B">
      <w:pPr>
        <w:pStyle w:val="HeadingFOUR"/>
      </w:pPr>
      <w:r w:rsidRPr="009330F7">
        <w:t>Step 3: Prepare an application</w:t>
      </w:r>
    </w:p>
    <w:p w14:paraId="7043129E" w14:textId="77777777" w:rsidR="009330F7" w:rsidRPr="009330F7" w:rsidRDefault="009330F7" w:rsidP="009330F7">
      <w:pPr>
        <w:spacing w:line="360" w:lineRule="auto"/>
        <w:rPr>
          <w:lang w:val="en-US"/>
        </w:rPr>
      </w:pPr>
      <w:r w:rsidRPr="009330F7">
        <w:rPr>
          <w:lang w:val="en-US"/>
        </w:rPr>
        <w:t xml:space="preserve">Invited applicants will prepare and </w:t>
      </w:r>
      <w:proofErr w:type="gramStart"/>
      <w:r w:rsidRPr="009330F7">
        <w:rPr>
          <w:lang w:val="en-US"/>
        </w:rPr>
        <w:t>submit an application</w:t>
      </w:r>
      <w:proofErr w:type="gramEnd"/>
      <w:r w:rsidRPr="009330F7">
        <w:rPr>
          <w:lang w:val="en-US"/>
        </w:rPr>
        <w:t xml:space="preserve"> using the </w:t>
      </w:r>
      <w:proofErr w:type="spellStart"/>
      <w:r w:rsidRPr="009330F7">
        <w:rPr>
          <w:lang w:val="en-US"/>
        </w:rPr>
        <w:t>individualised</w:t>
      </w:r>
      <w:proofErr w:type="spellEnd"/>
      <w:r w:rsidRPr="009330F7">
        <w:rPr>
          <w:lang w:val="en-US"/>
        </w:rPr>
        <w:t xml:space="preserve"> link sent by the Department on confirmation of the EoI’s eligibility. The submission must be submitted by a person with authority to bind the </w:t>
      </w:r>
      <w:proofErr w:type="spellStart"/>
      <w:r w:rsidRPr="009330F7">
        <w:rPr>
          <w:lang w:val="en-US"/>
        </w:rPr>
        <w:t>organisation</w:t>
      </w:r>
      <w:proofErr w:type="spellEnd"/>
      <w:r w:rsidRPr="009330F7">
        <w:rPr>
          <w:lang w:val="en-US"/>
        </w:rPr>
        <w:t>.</w:t>
      </w:r>
    </w:p>
    <w:p w14:paraId="582E180E" w14:textId="77777777" w:rsidR="009330F7" w:rsidRPr="009330F7" w:rsidRDefault="009330F7" w:rsidP="009330F7">
      <w:pPr>
        <w:spacing w:line="360" w:lineRule="auto"/>
        <w:rPr>
          <w:lang w:val="en-US"/>
        </w:rPr>
      </w:pPr>
      <w:r w:rsidRPr="009330F7">
        <w:rPr>
          <w:lang w:val="en-US"/>
        </w:rPr>
        <w:t xml:space="preserve">Applications are to include financial statements (audited profit and loss statements and balance sheets for government agencies and not-for-profit </w:t>
      </w:r>
      <w:proofErr w:type="spellStart"/>
      <w:r w:rsidRPr="009330F7">
        <w:rPr>
          <w:lang w:val="en-US"/>
        </w:rPr>
        <w:t>organisations</w:t>
      </w:r>
      <w:proofErr w:type="spellEnd"/>
      <w:r w:rsidRPr="009330F7">
        <w:rPr>
          <w:lang w:val="en-US"/>
        </w:rPr>
        <w:t>) covering the last three financial years and may include documentation to support the project such as:</w:t>
      </w:r>
    </w:p>
    <w:p w14:paraId="7B5DB70F" w14:textId="77777777" w:rsidR="009330F7" w:rsidRPr="009330F7" w:rsidRDefault="009330F7" w:rsidP="00124E1B">
      <w:pPr>
        <w:pStyle w:val="Bullet1last"/>
      </w:pPr>
      <w:r w:rsidRPr="009330F7">
        <w:t>material demonstrating alignment with the Local Development Strategy (if applicable)</w:t>
      </w:r>
    </w:p>
    <w:p w14:paraId="5544C2D1" w14:textId="77777777" w:rsidR="009330F7" w:rsidRPr="009330F7" w:rsidRDefault="009330F7" w:rsidP="00124E1B">
      <w:pPr>
        <w:pStyle w:val="Bullet1last"/>
      </w:pPr>
      <w:r w:rsidRPr="009330F7">
        <w:t>a feasibility study</w:t>
      </w:r>
    </w:p>
    <w:p w14:paraId="49F2BC3E" w14:textId="77777777" w:rsidR="009330F7" w:rsidRPr="009330F7" w:rsidRDefault="009330F7" w:rsidP="00124E1B">
      <w:pPr>
        <w:pStyle w:val="Bullet1last"/>
      </w:pPr>
      <w:r w:rsidRPr="009330F7">
        <w:t>a business plan, including financial forecasts. For projects with a total project cost of more than $500,000, a business plan must be prepared by an external business advisor</w:t>
      </w:r>
    </w:p>
    <w:p w14:paraId="002C7B15" w14:textId="77777777" w:rsidR="009330F7" w:rsidRPr="009330F7" w:rsidRDefault="009330F7" w:rsidP="00124E1B">
      <w:pPr>
        <w:pStyle w:val="Bullet1last"/>
      </w:pPr>
      <w:r w:rsidRPr="009330F7">
        <w:t>risk analysis</w:t>
      </w:r>
    </w:p>
    <w:p w14:paraId="07659543" w14:textId="5CCC0483" w:rsidR="009330F7" w:rsidRPr="00C403DA" w:rsidRDefault="009330F7" w:rsidP="004C1AF6">
      <w:pPr>
        <w:pStyle w:val="Bullet1last"/>
        <w:spacing w:after="360"/>
      </w:pPr>
      <w:r w:rsidRPr="009330F7">
        <w:t xml:space="preserve">letters of support from local government or community </w:t>
      </w:r>
      <w:proofErr w:type="spellStart"/>
      <w:r w:rsidRPr="009330F7">
        <w:t>organisations</w:t>
      </w:r>
      <w:proofErr w:type="spellEnd"/>
      <w:r w:rsidRPr="009330F7">
        <w:t xml:space="preserve">, including Local Development Strategy host agencies. </w:t>
      </w:r>
    </w:p>
    <w:p w14:paraId="5F1BF0CC" w14:textId="77777777" w:rsidR="009330F7" w:rsidRPr="009330F7" w:rsidRDefault="009330F7" w:rsidP="008D320B">
      <w:pPr>
        <w:pStyle w:val="Heading1"/>
        <w:rPr>
          <w:lang w:val="en-US"/>
        </w:rPr>
      </w:pPr>
      <w:bookmarkStart w:id="11" w:name="_Toc181180846"/>
      <w:r w:rsidRPr="009330F7">
        <w:rPr>
          <w:lang w:val="en-US"/>
        </w:rPr>
        <w:t>6.</w:t>
      </w:r>
      <w:r w:rsidRPr="009330F7">
        <w:rPr>
          <w:lang w:val="en-US"/>
        </w:rPr>
        <w:tab/>
        <w:t>Application assessment and approval</w:t>
      </w:r>
      <w:bookmarkEnd w:id="11"/>
      <w:r w:rsidRPr="009330F7">
        <w:rPr>
          <w:lang w:val="en-US"/>
        </w:rPr>
        <w:t xml:space="preserve"> </w:t>
      </w:r>
    </w:p>
    <w:p w14:paraId="4DF1AA8F" w14:textId="77777777" w:rsidR="009330F7" w:rsidRPr="009330F7" w:rsidRDefault="009330F7" w:rsidP="008D320B">
      <w:pPr>
        <w:pStyle w:val="Heading2"/>
      </w:pPr>
      <w:bookmarkStart w:id="12" w:name="_Toc181180847"/>
      <w:r w:rsidRPr="009330F7">
        <w:t>6.1</w:t>
      </w:r>
      <w:r w:rsidRPr="009330F7">
        <w:tab/>
        <w:t>Expressions of Interest assessment</w:t>
      </w:r>
      <w:bookmarkEnd w:id="12"/>
    </w:p>
    <w:p w14:paraId="4B2911BB" w14:textId="77777777" w:rsidR="009330F7" w:rsidRPr="009330F7" w:rsidRDefault="009330F7" w:rsidP="009330F7">
      <w:pPr>
        <w:spacing w:line="360" w:lineRule="auto"/>
        <w:rPr>
          <w:lang w:val="en-US"/>
        </w:rPr>
      </w:pPr>
      <w:r w:rsidRPr="009330F7">
        <w:rPr>
          <w:lang w:val="en-US"/>
        </w:rPr>
        <w:t>The Department will assess the EoI to determine whether the application is:</w:t>
      </w:r>
    </w:p>
    <w:p w14:paraId="019A0E5A" w14:textId="77777777" w:rsidR="009330F7" w:rsidRPr="009330F7" w:rsidRDefault="009330F7" w:rsidP="00124E1B">
      <w:pPr>
        <w:pStyle w:val="Bullet1last"/>
      </w:pPr>
      <w:r w:rsidRPr="009330F7">
        <w:t>from an eligible entity</w:t>
      </w:r>
    </w:p>
    <w:p w14:paraId="0E2536E4" w14:textId="77777777" w:rsidR="009330F7" w:rsidRPr="009330F7" w:rsidRDefault="009330F7" w:rsidP="00124E1B">
      <w:pPr>
        <w:pStyle w:val="Bullet1last"/>
      </w:pPr>
      <w:r w:rsidRPr="009330F7">
        <w:t>for an eligible location</w:t>
      </w:r>
    </w:p>
    <w:p w14:paraId="44B7720A" w14:textId="77777777" w:rsidR="009330F7" w:rsidRPr="009330F7" w:rsidRDefault="009330F7" w:rsidP="00124E1B">
      <w:pPr>
        <w:pStyle w:val="Bullet1last"/>
      </w:pPr>
      <w:r w:rsidRPr="009330F7">
        <w:t>for an eligible activity</w:t>
      </w:r>
    </w:p>
    <w:p w14:paraId="4C9ECB3A" w14:textId="77777777" w:rsidR="009330F7" w:rsidRPr="009330F7" w:rsidRDefault="009330F7" w:rsidP="00124E1B">
      <w:pPr>
        <w:pStyle w:val="Bullet1last"/>
      </w:pPr>
      <w:r w:rsidRPr="009330F7">
        <w:t>based on the information and evidence that is true and correct; and</w:t>
      </w:r>
    </w:p>
    <w:p w14:paraId="02E74D49" w14:textId="77777777" w:rsidR="009330F7" w:rsidRPr="009330F7" w:rsidRDefault="009330F7" w:rsidP="004C1AF6">
      <w:pPr>
        <w:pStyle w:val="Bullet1last"/>
        <w:spacing w:after="360"/>
      </w:pPr>
      <w:r w:rsidRPr="009330F7">
        <w:t>is submitted by the EoI closing date.</w:t>
      </w:r>
    </w:p>
    <w:p w14:paraId="7E8C9B7E" w14:textId="77777777" w:rsidR="009330F7" w:rsidRPr="009330F7" w:rsidRDefault="009330F7" w:rsidP="009330F7">
      <w:pPr>
        <w:spacing w:line="360" w:lineRule="auto"/>
        <w:rPr>
          <w:lang w:val="en-US"/>
        </w:rPr>
      </w:pPr>
      <w:r w:rsidRPr="009330F7">
        <w:rPr>
          <w:lang w:val="en-US"/>
        </w:rPr>
        <w:lastRenderedPageBreak/>
        <w:t>The Department may request clarification of the information provided, ask for additional information or validate the information provided before assessing the eligibility of the EoI. The EoI cannot be assessed until the information requested is provided within the timeframes specified by the Department.</w:t>
      </w:r>
    </w:p>
    <w:p w14:paraId="733636E5" w14:textId="77777777" w:rsidR="009330F7" w:rsidRPr="009330F7" w:rsidRDefault="009330F7" w:rsidP="009330F7">
      <w:pPr>
        <w:spacing w:line="360" w:lineRule="auto"/>
        <w:rPr>
          <w:lang w:val="en-US"/>
        </w:rPr>
      </w:pPr>
      <w:r w:rsidRPr="009330F7">
        <w:rPr>
          <w:lang w:val="en-US"/>
        </w:rPr>
        <w:t>The Department will assess EoIs in batches upon receipt of more than one EoI, with the timing of the assessments to be at the Department’s sole discretion.</w:t>
      </w:r>
    </w:p>
    <w:p w14:paraId="01E4E535" w14:textId="77777777" w:rsidR="009330F7" w:rsidRPr="009330F7" w:rsidRDefault="009330F7" w:rsidP="008D320B">
      <w:pPr>
        <w:pStyle w:val="Heading2"/>
      </w:pPr>
      <w:bookmarkStart w:id="13" w:name="_Toc181180848"/>
      <w:r w:rsidRPr="009330F7">
        <w:t>6.2</w:t>
      </w:r>
      <w:r w:rsidRPr="009330F7">
        <w:tab/>
        <w:t>Application assessment</w:t>
      </w:r>
      <w:bookmarkEnd w:id="13"/>
    </w:p>
    <w:p w14:paraId="26E39891" w14:textId="3B8CF3AF" w:rsidR="0092583D" w:rsidRPr="0092583D" w:rsidRDefault="009330F7" w:rsidP="0092583D">
      <w:pPr>
        <w:spacing w:line="360" w:lineRule="auto"/>
        <w:rPr>
          <w:lang w:val="en-US"/>
        </w:rPr>
      </w:pPr>
      <w:r w:rsidRPr="009330F7">
        <w:rPr>
          <w:lang w:val="en-US"/>
        </w:rPr>
        <w:t>The application will be assessed by a departmental assessment panel against the following criteria. Applicants must demonstrate how the proposed project meets the assessment criteria.</w:t>
      </w:r>
    </w:p>
    <w:tbl>
      <w:tblPr>
        <w:tblStyle w:val="TableGrid"/>
        <w:tblW w:w="9634" w:type="dxa"/>
        <w:tblLayout w:type="fixed"/>
        <w:tblCellMar>
          <w:top w:w="108" w:type="dxa"/>
          <w:bottom w:w="108" w:type="dxa"/>
        </w:tblCellMar>
        <w:tblLook w:val="0020" w:firstRow="1" w:lastRow="0" w:firstColumn="0" w:lastColumn="0" w:noHBand="0" w:noVBand="0"/>
        <w:tblCaption w:val="Application assessment criteria"/>
      </w:tblPr>
      <w:tblGrid>
        <w:gridCol w:w="2689"/>
        <w:gridCol w:w="5528"/>
        <w:gridCol w:w="1417"/>
      </w:tblGrid>
      <w:tr w:rsidR="0030512A" w:rsidRPr="00285B57" w14:paraId="200817B4" w14:textId="77777777" w:rsidTr="0001637C">
        <w:trPr>
          <w:trHeight w:val="981"/>
          <w:tblHeader/>
        </w:trPr>
        <w:tc>
          <w:tcPr>
            <w:tcW w:w="2689" w:type="dxa"/>
          </w:tcPr>
          <w:p w14:paraId="0460AD80" w14:textId="2F30F0A0" w:rsidR="0030512A" w:rsidRPr="00285B57" w:rsidRDefault="0030512A" w:rsidP="007168D5">
            <w:pPr>
              <w:pStyle w:val="Tabletext"/>
              <w:spacing w:line="360" w:lineRule="auto"/>
            </w:pPr>
            <w:r w:rsidRPr="0030512A">
              <w:rPr>
                <w:b/>
                <w:bCs/>
              </w:rPr>
              <w:t>Assessment criteria</w:t>
            </w:r>
          </w:p>
        </w:tc>
        <w:tc>
          <w:tcPr>
            <w:tcW w:w="5528" w:type="dxa"/>
          </w:tcPr>
          <w:p w14:paraId="0BECAB2B" w14:textId="6EBB0506" w:rsidR="0030512A" w:rsidRPr="00285B57" w:rsidRDefault="0030512A" w:rsidP="00C403DA">
            <w:pPr>
              <w:pStyle w:val="Tabletext"/>
              <w:spacing w:before="80" w:line="276" w:lineRule="auto"/>
              <w:rPr>
                <w:b/>
                <w:bCs/>
              </w:rPr>
            </w:pPr>
            <w:r w:rsidRPr="0030512A">
              <w:rPr>
                <w:b/>
                <w:bCs/>
              </w:rPr>
              <w:t>Assessment considerations</w:t>
            </w:r>
          </w:p>
        </w:tc>
        <w:tc>
          <w:tcPr>
            <w:tcW w:w="1417" w:type="dxa"/>
          </w:tcPr>
          <w:p w14:paraId="116F55C8" w14:textId="34652424" w:rsidR="0030512A" w:rsidRPr="00285B57" w:rsidRDefault="0030512A" w:rsidP="007168D5">
            <w:pPr>
              <w:pStyle w:val="Tabletext"/>
              <w:spacing w:before="80" w:line="276" w:lineRule="auto"/>
              <w:jc w:val="center"/>
              <w:rPr>
                <w:b/>
                <w:bCs/>
              </w:rPr>
            </w:pPr>
            <w:r w:rsidRPr="0030512A">
              <w:rPr>
                <w:b/>
                <w:bCs/>
              </w:rPr>
              <w:t>Weighting</w:t>
            </w:r>
          </w:p>
        </w:tc>
      </w:tr>
      <w:tr w:rsidR="0030512A" w:rsidRPr="00285B57" w14:paraId="64A8BBAD" w14:textId="77777777" w:rsidTr="0001637C">
        <w:trPr>
          <w:trHeight w:val="510"/>
        </w:trPr>
        <w:tc>
          <w:tcPr>
            <w:tcW w:w="2689" w:type="dxa"/>
          </w:tcPr>
          <w:p w14:paraId="71820803" w14:textId="05D7E5D7" w:rsidR="0030512A" w:rsidRPr="004554EA" w:rsidRDefault="0030512A" w:rsidP="007168D5">
            <w:pPr>
              <w:pStyle w:val="Tabletext"/>
              <w:spacing w:line="360" w:lineRule="auto"/>
              <w:rPr>
                <w:b/>
                <w:bCs/>
              </w:rPr>
            </w:pPr>
            <w:r w:rsidRPr="008D320B">
              <w:t>The ability of the project to meet the objectives of the Transition Fund – Round Two</w:t>
            </w:r>
          </w:p>
        </w:tc>
        <w:tc>
          <w:tcPr>
            <w:tcW w:w="5528" w:type="dxa"/>
          </w:tcPr>
          <w:p w14:paraId="594E4FFB" w14:textId="77777777" w:rsidR="0030512A" w:rsidRPr="0030512A" w:rsidRDefault="0030512A" w:rsidP="00124E1B">
            <w:pPr>
              <w:pStyle w:val="Bullet1last"/>
              <w:rPr>
                <w:b/>
                <w:bCs/>
              </w:rPr>
            </w:pPr>
            <w:r w:rsidRPr="008D320B">
              <w:t xml:space="preserve">The number of permanent jobs that will be created through the project in a town or community affected by the forestry transition </w:t>
            </w:r>
          </w:p>
          <w:p w14:paraId="2C5F2F58" w14:textId="77777777" w:rsidR="0030512A" w:rsidRPr="008D320B" w:rsidRDefault="0030512A" w:rsidP="00124E1B">
            <w:pPr>
              <w:pStyle w:val="Bullet1last"/>
            </w:pPr>
            <w:r w:rsidRPr="008D320B">
              <w:t>The relevance of those jobs for affected native timber workers or their families</w:t>
            </w:r>
          </w:p>
          <w:p w14:paraId="5AA810AB" w14:textId="77777777" w:rsidR="0030512A" w:rsidRPr="008D320B" w:rsidRDefault="0030512A" w:rsidP="00124E1B">
            <w:pPr>
              <w:pStyle w:val="Bullet1last"/>
            </w:pPr>
            <w:r w:rsidRPr="008D320B">
              <w:t>The amount of economic activity the project will generate in an affected town or community</w:t>
            </w:r>
          </w:p>
          <w:p w14:paraId="7C9457D2" w14:textId="77777777" w:rsidR="0030512A" w:rsidRPr="008D320B" w:rsidRDefault="0030512A" w:rsidP="00124E1B">
            <w:pPr>
              <w:pStyle w:val="Bullet1last"/>
            </w:pPr>
            <w:r w:rsidRPr="008D320B">
              <w:t>The alignment of the project with the town or community’s Local Development Strategy, where that strategy exists, or other Government priority initiatives.</w:t>
            </w:r>
          </w:p>
          <w:p w14:paraId="61F9FC1D" w14:textId="77777777" w:rsidR="0030512A" w:rsidRPr="008D320B" w:rsidRDefault="0030512A" w:rsidP="00124E1B">
            <w:pPr>
              <w:pStyle w:val="Bullet1last"/>
            </w:pPr>
            <w:r w:rsidRPr="008D320B">
              <w:t>Whether or not the project is ready for an imminent start</w:t>
            </w:r>
          </w:p>
          <w:p w14:paraId="247A6110" w14:textId="4E49C2DF" w:rsidR="0030512A" w:rsidRPr="00285B57" w:rsidRDefault="0030512A" w:rsidP="00124E1B">
            <w:pPr>
              <w:pStyle w:val="Bullet1last"/>
            </w:pPr>
            <w:r w:rsidRPr="008D320B">
              <w:t>Whether or not a local procurement approach will be adopted including the ongoing use of local suppliers</w:t>
            </w:r>
          </w:p>
        </w:tc>
        <w:tc>
          <w:tcPr>
            <w:tcW w:w="1417" w:type="dxa"/>
          </w:tcPr>
          <w:p w14:paraId="05EA73F7" w14:textId="2AEDD7A9" w:rsidR="0030512A" w:rsidRPr="00285B57" w:rsidRDefault="0030512A" w:rsidP="007168D5">
            <w:pPr>
              <w:pStyle w:val="Tabletext"/>
              <w:spacing w:line="276" w:lineRule="auto"/>
              <w:jc w:val="center"/>
            </w:pPr>
            <w:r w:rsidRPr="008D320B">
              <w:t>50%</w:t>
            </w:r>
          </w:p>
        </w:tc>
      </w:tr>
      <w:tr w:rsidR="0030512A" w:rsidRPr="00285B57" w14:paraId="42099506" w14:textId="77777777" w:rsidTr="0001637C">
        <w:trPr>
          <w:trHeight w:val="510"/>
        </w:trPr>
        <w:tc>
          <w:tcPr>
            <w:tcW w:w="2689" w:type="dxa"/>
          </w:tcPr>
          <w:p w14:paraId="3834CB57" w14:textId="0B095F8B" w:rsidR="0030512A" w:rsidRPr="004554EA" w:rsidRDefault="0030512A" w:rsidP="007168D5">
            <w:pPr>
              <w:pStyle w:val="Tabletext"/>
              <w:spacing w:line="360" w:lineRule="auto"/>
              <w:rPr>
                <w:b/>
                <w:bCs/>
              </w:rPr>
            </w:pPr>
            <w:r w:rsidRPr="008D320B">
              <w:lastRenderedPageBreak/>
              <w:t>Organisational capability and capacity</w:t>
            </w:r>
          </w:p>
        </w:tc>
        <w:tc>
          <w:tcPr>
            <w:tcW w:w="5528" w:type="dxa"/>
          </w:tcPr>
          <w:p w14:paraId="4F239095" w14:textId="77777777" w:rsidR="0030512A" w:rsidRPr="008D320B" w:rsidRDefault="0030512A" w:rsidP="00124E1B">
            <w:pPr>
              <w:pStyle w:val="Bullet1last"/>
            </w:pPr>
            <w:r w:rsidRPr="008D320B">
              <w:t>How well the project has been planned (including relevant business planning, forecasting and market analysis activities completed)</w:t>
            </w:r>
          </w:p>
          <w:p w14:paraId="5C69AD3C" w14:textId="226E80E5" w:rsidR="0030512A" w:rsidRPr="00285B57" w:rsidRDefault="0030512A" w:rsidP="00124E1B">
            <w:pPr>
              <w:pStyle w:val="Bullet1last"/>
            </w:pPr>
            <w:r w:rsidRPr="008D320B">
              <w:t>The extent to which the business or organisation has or will have the required resources, budget and skills to deliver the project</w:t>
            </w:r>
          </w:p>
        </w:tc>
        <w:tc>
          <w:tcPr>
            <w:tcW w:w="1417" w:type="dxa"/>
          </w:tcPr>
          <w:p w14:paraId="5D27AE76" w14:textId="766D9C67" w:rsidR="0030512A" w:rsidRPr="00285B57" w:rsidRDefault="0030512A" w:rsidP="007168D5">
            <w:pPr>
              <w:pStyle w:val="Tabletext"/>
              <w:spacing w:line="276" w:lineRule="auto"/>
              <w:jc w:val="center"/>
            </w:pPr>
            <w:r w:rsidRPr="008D320B">
              <w:t>20%</w:t>
            </w:r>
          </w:p>
        </w:tc>
      </w:tr>
      <w:tr w:rsidR="0030512A" w:rsidRPr="00285B57" w14:paraId="2CC1AA98" w14:textId="77777777" w:rsidTr="0001637C">
        <w:trPr>
          <w:trHeight w:val="510"/>
        </w:trPr>
        <w:tc>
          <w:tcPr>
            <w:tcW w:w="2689" w:type="dxa"/>
          </w:tcPr>
          <w:p w14:paraId="4901CA33" w14:textId="28CCFE45" w:rsidR="0030512A" w:rsidRPr="008D320B" w:rsidRDefault="0030512A" w:rsidP="007168D5">
            <w:pPr>
              <w:pStyle w:val="Tabletext"/>
              <w:spacing w:line="360" w:lineRule="auto"/>
            </w:pPr>
            <w:r w:rsidRPr="008D320B">
              <w:t>Risk</w:t>
            </w:r>
          </w:p>
        </w:tc>
        <w:tc>
          <w:tcPr>
            <w:tcW w:w="5528" w:type="dxa"/>
          </w:tcPr>
          <w:p w14:paraId="1D6A5C48" w14:textId="77777777" w:rsidR="0030512A" w:rsidRPr="008D320B" w:rsidRDefault="0030512A" w:rsidP="00124E1B">
            <w:pPr>
              <w:pStyle w:val="Bullet1last"/>
            </w:pPr>
            <w:r w:rsidRPr="008D320B">
              <w:t xml:space="preserve">The risks of the project and the effectiveness of the strategies that are in place to mitigate them </w:t>
            </w:r>
          </w:p>
          <w:p w14:paraId="14630728" w14:textId="77777777" w:rsidR="0030512A" w:rsidRPr="008D320B" w:rsidRDefault="0030512A" w:rsidP="00124E1B">
            <w:pPr>
              <w:pStyle w:val="Bullet1last"/>
            </w:pPr>
            <w:r w:rsidRPr="008D320B">
              <w:t>The outcomes of the Financial Risk Assessment, if required</w:t>
            </w:r>
          </w:p>
          <w:p w14:paraId="36164A92" w14:textId="77777777" w:rsidR="0030512A" w:rsidRPr="008D320B" w:rsidRDefault="0030512A" w:rsidP="00124E1B">
            <w:pPr>
              <w:pStyle w:val="Bullet1last"/>
            </w:pPr>
            <w:r w:rsidRPr="008D320B">
              <w:t>The likely success of the project</w:t>
            </w:r>
          </w:p>
          <w:p w14:paraId="10378FFE" w14:textId="77777777" w:rsidR="0030512A" w:rsidRPr="008D320B" w:rsidRDefault="0030512A" w:rsidP="00124E1B">
            <w:pPr>
              <w:pStyle w:val="Bullet1last"/>
            </w:pPr>
            <w:r w:rsidRPr="008D320B">
              <w:t>The amount of co-contribution</w:t>
            </w:r>
          </w:p>
          <w:p w14:paraId="64B6EF80" w14:textId="0B05BCE1" w:rsidR="0030512A" w:rsidRPr="008D320B" w:rsidRDefault="0030512A" w:rsidP="00124E1B">
            <w:pPr>
              <w:pStyle w:val="Bullet1last"/>
            </w:pPr>
            <w:r w:rsidRPr="008D320B">
              <w:t>The applicant’s previous conduct with the Victorian Government</w:t>
            </w:r>
            <w:r w:rsidR="007168D5">
              <w:rPr>
                <w:rStyle w:val="FootnoteReference"/>
              </w:rPr>
              <w:footnoteReference w:id="4"/>
            </w:r>
            <w:r w:rsidRPr="008D320B">
              <w:t xml:space="preserve"> and previous record of meeting workplace safety or workplace industrial law.</w:t>
            </w:r>
          </w:p>
        </w:tc>
        <w:tc>
          <w:tcPr>
            <w:tcW w:w="1417" w:type="dxa"/>
          </w:tcPr>
          <w:p w14:paraId="590EEDB2" w14:textId="55467966" w:rsidR="0030512A" w:rsidRPr="008D320B" w:rsidRDefault="0030512A" w:rsidP="007168D5">
            <w:pPr>
              <w:pStyle w:val="Tabletext"/>
              <w:spacing w:line="276" w:lineRule="auto"/>
              <w:jc w:val="center"/>
            </w:pPr>
            <w:r w:rsidRPr="008D320B">
              <w:t>30%</w:t>
            </w:r>
          </w:p>
        </w:tc>
      </w:tr>
    </w:tbl>
    <w:p w14:paraId="1374B313" w14:textId="77777777" w:rsidR="0092583D" w:rsidRDefault="0092583D" w:rsidP="009330F7">
      <w:pPr>
        <w:spacing w:line="360" w:lineRule="auto"/>
        <w:rPr>
          <w:color w:val="FF0000"/>
          <w:lang w:val="en-US"/>
        </w:rPr>
      </w:pPr>
    </w:p>
    <w:p w14:paraId="1D094F52" w14:textId="77777777" w:rsidR="009330F7" w:rsidRPr="009330F7" w:rsidRDefault="009330F7" w:rsidP="009330F7">
      <w:pPr>
        <w:spacing w:line="360" w:lineRule="auto"/>
        <w:rPr>
          <w:lang w:val="en-US"/>
        </w:rPr>
      </w:pPr>
      <w:r w:rsidRPr="009330F7">
        <w:rPr>
          <w:lang w:val="en-US"/>
        </w:rPr>
        <w:t>The Department may request the applicant provide further information should it be deemed necessary.</w:t>
      </w:r>
    </w:p>
    <w:p w14:paraId="0934BAE9" w14:textId="77777777" w:rsidR="009330F7" w:rsidRPr="009330F7" w:rsidRDefault="009330F7" w:rsidP="008D320B">
      <w:pPr>
        <w:pStyle w:val="HeadingFOUR"/>
      </w:pPr>
      <w:r w:rsidRPr="009330F7">
        <w:t>Due diligence assessment</w:t>
      </w:r>
    </w:p>
    <w:p w14:paraId="46F32003" w14:textId="77777777" w:rsidR="009330F7" w:rsidRPr="009330F7" w:rsidRDefault="009330F7" w:rsidP="009330F7">
      <w:pPr>
        <w:spacing w:line="360" w:lineRule="auto"/>
        <w:rPr>
          <w:lang w:val="en-US"/>
        </w:rPr>
      </w:pPr>
      <w:r w:rsidRPr="009330F7">
        <w:rPr>
          <w:lang w:val="en-US"/>
        </w:rPr>
        <w:t>The Department may undertake due diligence checks on the EoI, the application or the applicants.</w:t>
      </w:r>
    </w:p>
    <w:p w14:paraId="781FE2BC" w14:textId="77777777" w:rsidR="009330F7" w:rsidRPr="009330F7" w:rsidRDefault="009330F7" w:rsidP="009330F7">
      <w:pPr>
        <w:spacing w:line="360" w:lineRule="auto"/>
        <w:rPr>
          <w:lang w:val="en-US"/>
        </w:rPr>
      </w:pPr>
      <w:r w:rsidRPr="009330F7">
        <w:rPr>
          <w:lang w:val="en-US"/>
        </w:rPr>
        <w:lastRenderedPageBreak/>
        <w:t>Such checks may include:</w:t>
      </w:r>
    </w:p>
    <w:p w14:paraId="7A4A49B8" w14:textId="77777777" w:rsidR="009330F7" w:rsidRPr="009330F7" w:rsidRDefault="009330F7" w:rsidP="00124E1B">
      <w:pPr>
        <w:pStyle w:val="Bullet1last"/>
      </w:pPr>
      <w:r w:rsidRPr="009330F7">
        <w:t>financial risk assessment – for a grant request of more than $50,000 (GST exclusive) where applicants are not exempt (e.g. Local Government Authorities)</w:t>
      </w:r>
    </w:p>
    <w:p w14:paraId="0EFB089D" w14:textId="77777777" w:rsidR="009330F7" w:rsidRPr="009330F7" w:rsidRDefault="009330F7" w:rsidP="00124E1B">
      <w:pPr>
        <w:pStyle w:val="Bullet1last"/>
      </w:pPr>
      <w:r w:rsidRPr="009330F7">
        <w:t>the Australian Business Number (ABN) registration and status including GST</w:t>
      </w:r>
    </w:p>
    <w:p w14:paraId="4F8630BF" w14:textId="77777777" w:rsidR="009330F7" w:rsidRPr="009330F7" w:rsidRDefault="009330F7" w:rsidP="004C1AF6">
      <w:pPr>
        <w:pStyle w:val="Bullet1last"/>
        <w:spacing w:after="360"/>
      </w:pPr>
      <w:r w:rsidRPr="009330F7">
        <w:t>business regulator check – this may be undertaken to verify business details provided with the Australian Business Register, Australian Securities and Investment Commission, Australian Charities and Not-for-profits Commissioner, Consumer Affairs Victoria and/or other applicable regulators.</w:t>
      </w:r>
    </w:p>
    <w:p w14:paraId="6A08F4B0" w14:textId="77777777" w:rsidR="009330F7" w:rsidRPr="009330F7" w:rsidRDefault="009330F7" w:rsidP="008D320B">
      <w:pPr>
        <w:pStyle w:val="HeadingFOUR"/>
      </w:pPr>
      <w:r w:rsidRPr="009330F7">
        <w:t>Application recommendation and approval</w:t>
      </w:r>
    </w:p>
    <w:p w14:paraId="749FF3F4" w14:textId="77777777" w:rsidR="009330F7" w:rsidRPr="009330F7" w:rsidRDefault="009330F7" w:rsidP="009330F7">
      <w:pPr>
        <w:spacing w:line="360" w:lineRule="auto"/>
        <w:rPr>
          <w:lang w:val="en-US"/>
        </w:rPr>
      </w:pPr>
      <w:r w:rsidRPr="009330F7">
        <w:rPr>
          <w:lang w:val="en-US"/>
        </w:rPr>
        <w:t>The departmental assessment panel will make recommendations to the Minister for Agriculture for funding.</w:t>
      </w:r>
    </w:p>
    <w:p w14:paraId="375EC6AF" w14:textId="77777777" w:rsidR="009330F7" w:rsidRPr="009330F7" w:rsidRDefault="009330F7" w:rsidP="009330F7">
      <w:pPr>
        <w:spacing w:line="360" w:lineRule="auto"/>
        <w:rPr>
          <w:lang w:val="en-US"/>
        </w:rPr>
      </w:pPr>
      <w:r w:rsidRPr="009330F7">
        <w:rPr>
          <w:lang w:val="en-US"/>
        </w:rPr>
        <w:t>All decisions on all matters in recommending and awarding grant funding under this Program is at the absolute discretion of the Department and the Minister for Agriculture. This includes recommending or awarding a lesser amount than sought, or not awarding any amount.</w:t>
      </w:r>
    </w:p>
    <w:p w14:paraId="49F908C2" w14:textId="77777777" w:rsidR="009330F7" w:rsidRPr="009330F7" w:rsidRDefault="009330F7" w:rsidP="008D320B">
      <w:pPr>
        <w:pStyle w:val="Heading1"/>
        <w:rPr>
          <w:lang w:val="en-US"/>
        </w:rPr>
      </w:pPr>
      <w:bookmarkStart w:id="14" w:name="_Toc181180849"/>
      <w:r w:rsidRPr="009330F7">
        <w:rPr>
          <w:lang w:val="en-US"/>
        </w:rPr>
        <w:t>7.</w:t>
      </w:r>
      <w:r w:rsidRPr="009330F7">
        <w:rPr>
          <w:lang w:val="en-US"/>
        </w:rPr>
        <w:tab/>
        <w:t>Offer and grant agreement</w:t>
      </w:r>
      <w:bookmarkEnd w:id="14"/>
      <w:r w:rsidRPr="009330F7">
        <w:rPr>
          <w:lang w:val="en-US"/>
        </w:rPr>
        <w:t xml:space="preserve"> </w:t>
      </w:r>
    </w:p>
    <w:p w14:paraId="71D1C481" w14:textId="77777777" w:rsidR="009330F7" w:rsidRPr="009330F7" w:rsidRDefault="009330F7" w:rsidP="009330F7">
      <w:pPr>
        <w:spacing w:line="360" w:lineRule="auto"/>
        <w:rPr>
          <w:lang w:val="en-US"/>
        </w:rPr>
      </w:pPr>
      <w:r w:rsidRPr="009330F7">
        <w:rPr>
          <w:lang w:val="en-US"/>
        </w:rPr>
        <w:t>Successful applicants will receive a letter of offer to enter into a grant agreement with the Department. Applicants have 15 business days to accept the letter of offer. Upon accepting, a grant agreement will be issued.</w:t>
      </w:r>
    </w:p>
    <w:p w14:paraId="176C7463" w14:textId="77777777" w:rsidR="009330F7" w:rsidRPr="009330F7" w:rsidRDefault="009330F7" w:rsidP="009330F7">
      <w:pPr>
        <w:spacing w:line="360" w:lineRule="auto"/>
        <w:rPr>
          <w:lang w:val="en-US"/>
        </w:rPr>
      </w:pPr>
      <w:r w:rsidRPr="009330F7">
        <w:rPr>
          <w:lang w:val="en-US"/>
        </w:rPr>
        <w:t>Applicants have 20 business days to sign the grant agreement which will then be countersigned by the Department.</w:t>
      </w:r>
    </w:p>
    <w:p w14:paraId="36B9C69E" w14:textId="77777777" w:rsidR="009330F7" w:rsidRPr="009330F7" w:rsidRDefault="009330F7" w:rsidP="008D320B">
      <w:pPr>
        <w:pStyle w:val="Heading1"/>
        <w:rPr>
          <w:lang w:val="en-US"/>
        </w:rPr>
      </w:pPr>
      <w:bookmarkStart w:id="15" w:name="_Toc181180850"/>
      <w:r w:rsidRPr="009330F7">
        <w:rPr>
          <w:lang w:val="en-US"/>
        </w:rPr>
        <w:t>8.</w:t>
      </w:r>
      <w:r w:rsidRPr="009330F7">
        <w:rPr>
          <w:lang w:val="en-US"/>
        </w:rPr>
        <w:tab/>
        <w:t>Payments, monitoring, evaluation and reporting</w:t>
      </w:r>
      <w:bookmarkEnd w:id="15"/>
      <w:r w:rsidRPr="009330F7">
        <w:rPr>
          <w:lang w:val="en-US"/>
        </w:rPr>
        <w:t xml:space="preserve"> </w:t>
      </w:r>
    </w:p>
    <w:p w14:paraId="10056E46" w14:textId="77777777" w:rsidR="009330F7" w:rsidRPr="009330F7" w:rsidRDefault="009330F7" w:rsidP="009330F7">
      <w:pPr>
        <w:spacing w:line="360" w:lineRule="auto"/>
        <w:rPr>
          <w:lang w:val="en-US"/>
        </w:rPr>
      </w:pPr>
      <w:r w:rsidRPr="009330F7">
        <w:rPr>
          <w:lang w:val="en-US"/>
        </w:rPr>
        <w:t>The grant agreement may contain one or more milestones that will need to be met before payments are made.</w:t>
      </w:r>
    </w:p>
    <w:p w14:paraId="3B6422DC" w14:textId="77777777" w:rsidR="009330F7" w:rsidRPr="009330F7" w:rsidRDefault="009330F7" w:rsidP="009330F7">
      <w:pPr>
        <w:spacing w:line="360" w:lineRule="auto"/>
        <w:rPr>
          <w:lang w:val="en-US"/>
        </w:rPr>
      </w:pPr>
      <w:r w:rsidRPr="009330F7">
        <w:rPr>
          <w:lang w:val="en-US"/>
        </w:rPr>
        <w:t>The Department will determine the timing and amount of milestone payments in its sole discretion.</w:t>
      </w:r>
    </w:p>
    <w:p w14:paraId="0B9A2AF1" w14:textId="77777777" w:rsidR="009330F7" w:rsidRPr="009330F7" w:rsidRDefault="009330F7" w:rsidP="009330F7">
      <w:pPr>
        <w:spacing w:line="360" w:lineRule="auto"/>
        <w:rPr>
          <w:lang w:val="en-US"/>
        </w:rPr>
      </w:pPr>
      <w:r w:rsidRPr="009330F7">
        <w:rPr>
          <w:lang w:val="en-US"/>
        </w:rPr>
        <w:lastRenderedPageBreak/>
        <w:t>Successful applicants will be required to cooperate with an evaluation which is undertaken during and/or after completion of the project for use in program evaluation reviews and Department marketing materials.</w:t>
      </w:r>
    </w:p>
    <w:p w14:paraId="346E0AEF" w14:textId="77777777" w:rsidR="009330F7" w:rsidRPr="009330F7" w:rsidRDefault="009330F7" w:rsidP="009330F7">
      <w:pPr>
        <w:spacing w:line="360" w:lineRule="auto"/>
        <w:rPr>
          <w:lang w:val="en-US"/>
        </w:rPr>
      </w:pPr>
      <w:r w:rsidRPr="009330F7">
        <w:rPr>
          <w:lang w:val="en-US"/>
        </w:rPr>
        <w:t>After completion of the project, applicants must submit annual evaluation reports assessing the project’s success in meeting its stated objectives, outputs and outcomes. Depending on the significance of the project, these evaluation reports may be required for up to three years following completion of the funded project.</w:t>
      </w:r>
    </w:p>
    <w:p w14:paraId="7CA6532E" w14:textId="77777777" w:rsidR="009330F7" w:rsidRPr="009330F7" w:rsidRDefault="009330F7" w:rsidP="009330F7">
      <w:pPr>
        <w:spacing w:line="360" w:lineRule="auto"/>
        <w:rPr>
          <w:lang w:val="en-US"/>
        </w:rPr>
      </w:pPr>
      <w:r w:rsidRPr="009330F7">
        <w:rPr>
          <w:lang w:val="en-US"/>
        </w:rPr>
        <w:t>Successful applicants may be required to contribute information on project outcomes, including longer-term impacts beyond project completion, for use in program evaluation reviews and departmental marketing materials. It is the responsibility of successful applicants to put in place adequate collection arrangements to capture the appropriate data in relation to outputs and outcomes.</w:t>
      </w:r>
    </w:p>
    <w:p w14:paraId="13D1FC2E" w14:textId="77777777" w:rsidR="009330F7" w:rsidRPr="009330F7" w:rsidRDefault="009330F7" w:rsidP="009330F7">
      <w:pPr>
        <w:spacing w:line="360" w:lineRule="auto"/>
        <w:rPr>
          <w:lang w:val="en-US"/>
        </w:rPr>
      </w:pPr>
      <w:r w:rsidRPr="009330F7">
        <w:rPr>
          <w:lang w:val="en-US"/>
        </w:rPr>
        <w:t>These arrangements will assist the Department to undertake a robust evaluation of the Forestry Transition Program’s Transition Fund.</w:t>
      </w:r>
    </w:p>
    <w:p w14:paraId="79C43CE9" w14:textId="77777777" w:rsidR="009330F7" w:rsidRPr="009330F7" w:rsidRDefault="009330F7" w:rsidP="009330F7">
      <w:pPr>
        <w:spacing w:line="360" w:lineRule="auto"/>
        <w:rPr>
          <w:lang w:val="en-US"/>
        </w:rPr>
      </w:pPr>
      <w:r w:rsidRPr="009330F7">
        <w:rPr>
          <w:lang w:val="en-US"/>
        </w:rPr>
        <w:t>The Department reports on grants and programs it administers. The reporting includes the identify of successful applicants and projects and, where applicable, deviations from or exceptions to the assessment and approvals processes set out in these guidelines.</w:t>
      </w:r>
    </w:p>
    <w:p w14:paraId="7861AC6E" w14:textId="77777777" w:rsidR="009330F7" w:rsidRPr="009330F7" w:rsidRDefault="009330F7" w:rsidP="009330F7">
      <w:pPr>
        <w:spacing w:line="360" w:lineRule="auto"/>
        <w:rPr>
          <w:lang w:val="en-US"/>
        </w:rPr>
      </w:pPr>
      <w:r w:rsidRPr="009330F7">
        <w:rPr>
          <w:lang w:val="en-US"/>
        </w:rPr>
        <w:t>Monitoring, evaluation and reporting requirements will be specified in the grant agreement.</w:t>
      </w:r>
    </w:p>
    <w:p w14:paraId="5620E67B" w14:textId="77777777" w:rsidR="009330F7" w:rsidRPr="009330F7" w:rsidRDefault="009330F7" w:rsidP="008D320B">
      <w:pPr>
        <w:pStyle w:val="Heading1"/>
        <w:rPr>
          <w:lang w:val="en-US"/>
        </w:rPr>
      </w:pPr>
      <w:bookmarkStart w:id="16" w:name="_Toc181180851"/>
      <w:r w:rsidRPr="009330F7">
        <w:rPr>
          <w:lang w:val="en-US"/>
        </w:rPr>
        <w:t>9.</w:t>
      </w:r>
      <w:r w:rsidRPr="009330F7">
        <w:rPr>
          <w:lang w:val="en-US"/>
        </w:rPr>
        <w:tab/>
        <w:t>Terms of applying</w:t>
      </w:r>
      <w:bookmarkEnd w:id="16"/>
      <w:r w:rsidRPr="009330F7">
        <w:rPr>
          <w:lang w:val="en-US"/>
        </w:rPr>
        <w:t xml:space="preserve"> </w:t>
      </w:r>
    </w:p>
    <w:p w14:paraId="4736D386" w14:textId="77777777" w:rsidR="009330F7" w:rsidRPr="009330F7" w:rsidRDefault="009330F7" w:rsidP="008D320B">
      <w:pPr>
        <w:pStyle w:val="HeadingFOUR"/>
      </w:pPr>
      <w:r w:rsidRPr="009330F7">
        <w:t>Absolute Discretion</w:t>
      </w:r>
    </w:p>
    <w:p w14:paraId="1D5DA987" w14:textId="77777777" w:rsidR="009330F7" w:rsidRPr="009330F7" w:rsidRDefault="009330F7" w:rsidP="009330F7">
      <w:pPr>
        <w:spacing w:line="360" w:lineRule="auto"/>
        <w:rPr>
          <w:lang w:val="en-US"/>
        </w:rPr>
      </w:pPr>
      <w:r w:rsidRPr="009330F7">
        <w:rPr>
          <w:lang w:val="en-US"/>
        </w:rPr>
        <w:t>The Department reserves the right to amend these guidelines and the application terms at any time as it deems appropriate.</w:t>
      </w:r>
    </w:p>
    <w:p w14:paraId="2D3D5E76" w14:textId="77777777" w:rsidR="009330F7" w:rsidRPr="009330F7" w:rsidRDefault="009330F7" w:rsidP="008D320B">
      <w:pPr>
        <w:pStyle w:val="HeadingFOUR"/>
      </w:pPr>
      <w:r w:rsidRPr="009330F7">
        <w:t>Disrepute</w:t>
      </w:r>
    </w:p>
    <w:p w14:paraId="265D941C" w14:textId="77777777" w:rsidR="009330F7" w:rsidRPr="009330F7" w:rsidRDefault="009330F7" w:rsidP="009330F7">
      <w:pPr>
        <w:spacing w:line="360" w:lineRule="auto"/>
        <w:rPr>
          <w:lang w:val="en-US"/>
        </w:rPr>
      </w:pPr>
      <w:r w:rsidRPr="009330F7">
        <w:rPr>
          <w:lang w:val="en-US"/>
        </w:rPr>
        <w:t xml:space="preserve">The Department may at any time, remove an applicant from the application and assessment process, if in the Department’s opinion association with the applicant may bring the Department, a Minister or the State of Victoria into disrepute. </w:t>
      </w:r>
    </w:p>
    <w:p w14:paraId="6F07B555" w14:textId="77777777" w:rsidR="009330F7" w:rsidRPr="009330F7" w:rsidRDefault="009330F7" w:rsidP="008D320B">
      <w:pPr>
        <w:pStyle w:val="HeadingFOUR"/>
      </w:pPr>
      <w:r w:rsidRPr="009330F7">
        <w:t>Conflict of Interest</w:t>
      </w:r>
    </w:p>
    <w:p w14:paraId="15C482CE" w14:textId="77777777" w:rsidR="009330F7" w:rsidRPr="009330F7" w:rsidRDefault="009330F7" w:rsidP="009330F7">
      <w:pPr>
        <w:spacing w:line="360" w:lineRule="auto"/>
        <w:rPr>
          <w:lang w:val="en-US"/>
        </w:rPr>
      </w:pPr>
      <w:r w:rsidRPr="009330F7">
        <w:rPr>
          <w:lang w:val="en-US"/>
        </w:rPr>
        <w:t xml:space="preserve">Applicants must advise the Department of any real or perceived conflict of interest relating to a project for which it has applied for funding. </w:t>
      </w:r>
    </w:p>
    <w:p w14:paraId="2EDAD528" w14:textId="77777777" w:rsidR="009330F7" w:rsidRPr="009330F7" w:rsidRDefault="009330F7" w:rsidP="009330F7">
      <w:pPr>
        <w:spacing w:line="360" w:lineRule="auto"/>
        <w:rPr>
          <w:lang w:val="en-US"/>
        </w:rPr>
      </w:pPr>
      <w:r w:rsidRPr="009330F7">
        <w:rPr>
          <w:lang w:val="en-US"/>
        </w:rPr>
        <w:lastRenderedPageBreak/>
        <w:t>Conflicts of interest for Victorian Government staff will be handled as set out in the Code of Conduct for Victorian Public Service Employees (Section 61) of the Public Administration Act 2004 (Vic).</w:t>
      </w:r>
    </w:p>
    <w:p w14:paraId="1C301B7A" w14:textId="77777777" w:rsidR="009330F7" w:rsidRPr="009330F7" w:rsidRDefault="009330F7" w:rsidP="008D320B">
      <w:pPr>
        <w:pStyle w:val="HeadingFOUR"/>
      </w:pPr>
      <w:r w:rsidRPr="009330F7">
        <w:t>Information only</w:t>
      </w:r>
    </w:p>
    <w:p w14:paraId="7C9AD6C8" w14:textId="77777777" w:rsidR="009330F7" w:rsidRPr="009330F7" w:rsidRDefault="009330F7" w:rsidP="009330F7">
      <w:pPr>
        <w:spacing w:line="360" w:lineRule="auto"/>
        <w:rPr>
          <w:lang w:val="en-US"/>
        </w:rPr>
      </w:pPr>
      <w:r w:rsidRPr="009330F7">
        <w:rPr>
          <w:lang w:val="en-US"/>
        </w:rPr>
        <w:t>These Guidelines and any discussions you may have with a departmental representative are for information only, and do not constitute advice.</w:t>
      </w:r>
    </w:p>
    <w:p w14:paraId="5B2EB116" w14:textId="77777777" w:rsidR="009330F7" w:rsidRPr="009330F7" w:rsidRDefault="009330F7" w:rsidP="009330F7">
      <w:pPr>
        <w:spacing w:line="360" w:lineRule="auto"/>
        <w:rPr>
          <w:lang w:val="en-US"/>
        </w:rPr>
      </w:pPr>
      <w:r w:rsidRPr="009330F7">
        <w:rPr>
          <w:lang w:val="en-US"/>
        </w:rPr>
        <w:t>Applicants should seek independent advice before making an application or entering into a Grant Agreement.</w:t>
      </w:r>
    </w:p>
    <w:p w14:paraId="294C918E" w14:textId="77777777" w:rsidR="009330F7" w:rsidRPr="009330F7" w:rsidRDefault="009330F7" w:rsidP="009330F7">
      <w:pPr>
        <w:spacing w:line="360" w:lineRule="auto"/>
        <w:rPr>
          <w:lang w:val="en-US"/>
        </w:rPr>
      </w:pPr>
      <w:r w:rsidRPr="009330F7">
        <w:rPr>
          <w:lang w:val="en-US"/>
        </w:rPr>
        <w:t>Applications are at the cost of the applicant.</w:t>
      </w:r>
    </w:p>
    <w:p w14:paraId="26528E49" w14:textId="396C61B6" w:rsidR="009330F7" w:rsidRPr="009330F7" w:rsidRDefault="009330F7" w:rsidP="009330F7">
      <w:pPr>
        <w:spacing w:line="360" w:lineRule="auto"/>
        <w:rPr>
          <w:lang w:val="en-US"/>
        </w:rPr>
      </w:pPr>
      <w:r w:rsidRPr="009330F7">
        <w:rPr>
          <w:lang w:val="en-US"/>
        </w:rPr>
        <w:t>Any changes to the Guidelines will not affect the eligibility of the applicants and applications made prior to the date of publication of any update.</w:t>
      </w:r>
    </w:p>
    <w:p w14:paraId="482954F8" w14:textId="77777777" w:rsidR="009330F7" w:rsidRPr="009330F7" w:rsidRDefault="009330F7" w:rsidP="00746A37">
      <w:pPr>
        <w:pStyle w:val="Heading1"/>
        <w:rPr>
          <w:lang w:val="en-US"/>
        </w:rPr>
      </w:pPr>
      <w:bookmarkStart w:id="17" w:name="_Toc181180852"/>
      <w:r w:rsidRPr="009330F7">
        <w:rPr>
          <w:lang w:val="en-US"/>
        </w:rPr>
        <w:t>10.</w:t>
      </w:r>
      <w:r w:rsidRPr="009330F7">
        <w:rPr>
          <w:lang w:val="en-US"/>
        </w:rPr>
        <w:tab/>
        <w:t>Privacy</w:t>
      </w:r>
      <w:bookmarkEnd w:id="17"/>
      <w:r w:rsidRPr="009330F7">
        <w:rPr>
          <w:lang w:val="en-US"/>
        </w:rPr>
        <w:t xml:space="preserve"> </w:t>
      </w:r>
    </w:p>
    <w:p w14:paraId="74AD8EC0" w14:textId="77777777" w:rsidR="009330F7" w:rsidRPr="009330F7" w:rsidRDefault="009330F7" w:rsidP="009330F7">
      <w:pPr>
        <w:spacing w:line="360" w:lineRule="auto"/>
        <w:rPr>
          <w:lang w:val="en-US"/>
        </w:rPr>
      </w:pPr>
      <w:r w:rsidRPr="009330F7">
        <w:rPr>
          <w:lang w:val="en-US"/>
        </w:rPr>
        <w:t xml:space="preserve">Any personal information about you or a third party in your application will be collected by the department for the purposes of administering your grant application and informing Members of Parliament of successful applications. Personal information may also be disclosed to external experts, such as members of assessment panels, or other Government Departments for assessment, reporting, advice, comment or for discussions regarding alternative or collaborative grant funding opportunities. If you intend to include personal information about third parties in your application, please ensure that they are aware of the contents of this privacy statement. </w:t>
      </w:r>
    </w:p>
    <w:p w14:paraId="414A41BA" w14:textId="77777777" w:rsidR="009330F7" w:rsidRPr="009330F7" w:rsidRDefault="009330F7" w:rsidP="009330F7">
      <w:pPr>
        <w:spacing w:line="360" w:lineRule="auto"/>
        <w:rPr>
          <w:lang w:val="en-US"/>
        </w:rPr>
      </w:pPr>
      <w:r w:rsidRPr="009330F7">
        <w:rPr>
          <w:lang w:val="en-US"/>
        </w:rPr>
        <w:t>Any personal information about you or a third party in your correspondence will be collected, held, managed, used, disclosed or transferred in accordance with the provisions of the Privacy and Data Protection Act 2014 and other applicable laws.</w:t>
      </w:r>
    </w:p>
    <w:p w14:paraId="58C85EA6" w14:textId="77777777" w:rsidR="009330F7" w:rsidRPr="009330F7" w:rsidRDefault="009330F7" w:rsidP="00746A37">
      <w:pPr>
        <w:pStyle w:val="Heading1"/>
        <w:rPr>
          <w:lang w:val="en-US"/>
        </w:rPr>
      </w:pPr>
      <w:bookmarkStart w:id="18" w:name="_Toc181180853"/>
      <w:r w:rsidRPr="009330F7">
        <w:rPr>
          <w:lang w:val="en-US"/>
        </w:rPr>
        <w:lastRenderedPageBreak/>
        <w:t>11.</w:t>
      </w:r>
      <w:r w:rsidRPr="009330F7">
        <w:rPr>
          <w:lang w:val="en-US"/>
        </w:rPr>
        <w:tab/>
        <w:t>Key dates</w:t>
      </w:r>
      <w:bookmarkEnd w:id="18"/>
    </w:p>
    <w:tbl>
      <w:tblPr>
        <w:tblStyle w:val="TableGrid"/>
        <w:tblW w:w="9918" w:type="dxa"/>
        <w:tblLayout w:type="fixed"/>
        <w:tblCellMar>
          <w:top w:w="108" w:type="dxa"/>
          <w:bottom w:w="108" w:type="dxa"/>
        </w:tblCellMar>
        <w:tblLook w:val="0020" w:firstRow="1" w:lastRow="0" w:firstColumn="0" w:lastColumn="0" w:noHBand="0" w:noVBand="0"/>
        <w:tblCaption w:val="Key dates for Transition Fund - Round 2"/>
      </w:tblPr>
      <w:tblGrid>
        <w:gridCol w:w="3397"/>
        <w:gridCol w:w="6521"/>
      </w:tblGrid>
      <w:tr w:rsidR="00647C94" w:rsidRPr="00285B57" w14:paraId="64606BD2" w14:textId="77777777" w:rsidTr="0001637C">
        <w:trPr>
          <w:trHeight w:val="981"/>
          <w:tblHeader/>
        </w:trPr>
        <w:tc>
          <w:tcPr>
            <w:tcW w:w="3397" w:type="dxa"/>
          </w:tcPr>
          <w:p w14:paraId="059FE7EA" w14:textId="599CED53" w:rsidR="00647C94" w:rsidRPr="00647C94" w:rsidRDefault="00647C94" w:rsidP="0001637C">
            <w:pPr>
              <w:pStyle w:val="Tabletext"/>
              <w:spacing w:line="276" w:lineRule="auto"/>
              <w:rPr>
                <w:b/>
                <w:bCs/>
              </w:rPr>
            </w:pPr>
            <w:r w:rsidRPr="00647C94">
              <w:rPr>
                <w:b/>
                <w:bCs/>
                <w:lang w:val="en-US"/>
              </w:rPr>
              <w:t>Round Two Expressions of Interest open</w:t>
            </w:r>
          </w:p>
        </w:tc>
        <w:tc>
          <w:tcPr>
            <w:tcW w:w="6521" w:type="dxa"/>
          </w:tcPr>
          <w:p w14:paraId="6290A4B1" w14:textId="71469ADA" w:rsidR="00647C94" w:rsidRPr="00647C94" w:rsidRDefault="00647C94" w:rsidP="0001637C">
            <w:pPr>
              <w:pStyle w:val="Tabletext"/>
              <w:spacing w:before="80" w:line="276" w:lineRule="auto"/>
              <w:rPr>
                <w:b/>
                <w:bCs/>
              </w:rPr>
            </w:pPr>
            <w:r w:rsidRPr="00647C94">
              <w:rPr>
                <w:b/>
                <w:bCs/>
                <w:lang w:val="en-US"/>
              </w:rPr>
              <w:t>Thursday 7 November 2024</w:t>
            </w:r>
          </w:p>
        </w:tc>
      </w:tr>
      <w:tr w:rsidR="00647C94" w:rsidRPr="00285B57" w14:paraId="50F47E85" w14:textId="77777777" w:rsidTr="0001637C">
        <w:trPr>
          <w:trHeight w:val="510"/>
        </w:trPr>
        <w:tc>
          <w:tcPr>
            <w:tcW w:w="3397" w:type="dxa"/>
          </w:tcPr>
          <w:p w14:paraId="621551CC" w14:textId="7ADE97E9" w:rsidR="00647C94" w:rsidRPr="00647C94" w:rsidRDefault="00647C94" w:rsidP="0001637C">
            <w:pPr>
              <w:pStyle w:val="Tabletext"/>
              <w:spacing w:line="276" w:lineRule="auto"/>
              <w:rPr>
                <w:b/>
                <w:bCs/>
              </w:rPr>
            </w:pPr>
            <w:r w:rsidRPr="00647C94">
              <w:rPr>
                <w:b/>
                <w:bCs/>
                <w:lang w:val="en-US"/>
              </w:rPr>
              <w:t>Round Two Expressions of Interest close</w:t>
            </w:r>
          </w:p>
        </w:tc>
        <w:tc>
          <w:tcPr>
            <w:tcW w:w="6521" w:type="dxa"/>
          </w:tcPr>
          <w:p w14:paraId="3381C983" w14:textId="26FE6F92" w:rsidR="00647C94" w:rsidRPr="00647C94" w:rsidRDefault="00647C94" w:rsidP="0001637C">
            <w:pPr>
              <w:spacing w:line="360" w:lineRule="auto"/>
              <w:rPr>
                <w:b/>
                <w:bCs/>
                <w:lang w:val="en-US"/>
              </w:rPr>
            </w:pPr>
            <w:r w:rsidRPr="00647C94">
              <w:rPr>
                <w:b/>
                <w:bCs/>
                <w:lang w:val="en-US"/>
              </w:rPr>
              <w:t>5:00 pm</w:t>
            </w:r>
          </w:p>
          <w:p w14:paraId="151C6934" w14:textId="77777777" w:rsidR="00647C94" w:rsidRPr="00647C94" w:rsidRDefault="00647C94" w:rsidP="0001637C">
            <w:pPr>
              <w:spacing w:line="360" w:lineRule="auto"/>
              <w:rPr>
                <w:b/>
                <w:bCs/>
                <w:lang w:val="en-US"/>
              </w:rPr>
            </w:pPr>
            <w:r w:rsidRPr="00647C94">
              <w:rPr>
                <w:b/>
                <w:bCs/>
                <w:lang w:val="en-US"/>
              </w:rPr>
              <w:t>Friday 29 August 2025</w:t>
            </w:r>
          </w:p>
          <w:p w14:paraId="66EFD846" w14:textId="62D45F22" w:rsidR="00647C94" w:rsidRPr="00647C94" w:rsidRDefault="00647C94" w:rsidP="0001637C">
            <w:pPr>
              <w:spacing w:line="360" w:lineRule="auto"/>
              <w:rPr>
                <w:lang w:val="en-US"/>
              </w:rPr>
            </w:pPr>
            <w:r w:rsidRPr="009330F7">
              <w:rPr>
                <w:lang w:val="en-US"/>
              </w:rPr>
              <w:t>Unless the program is fully subscribed by that date, in which case the Department will advertise that Round Two is closed</w:t>
            </w:r>
          </w:p>
        </w:tc>
      </w:tr>
      <w:tr w:rsidR="00647C94" w:rsidRPr="00285B57" w14:paraId="0EC70071" w14:textId="77777777" w:rsidTr="0001637C">
        <w:trPr>
          <w:trHeight w:val="510"/>
        </w:trPr>
        <w:tc>
          <w:tcPr>
            <w:tcW w:w="3397" w:type="dxa"/>
          </w:tcPr>
          <w:p w14:paraId="4EA69FD7" w14:textId="3D46934F" w:rsidR="00647C94" w:rsidRPr="00647C94" w:rsidRDefault="00647C94" w:rsidP="0001637C">
            <w:pPr>
              <w:pStyle w:val="Tabletext"/>
              <w:spacing w:line="276" w:lineRule="auto"/>
              <w:rPr>
                <w:b/>
                <w:bCs/>
              </w:rPr>
            </w:pPr>
            <w:r w:rsidRPr="00647C94">
              <w:rPr>
                <w:b/>
                <w:bCs/>
                <w:lang w:val="en-US"/>
              </w:rPr>
              <w:t>Round Two closes</w:t>
            </w:r>
          </w:p>
        </w:tc>
        <w:tc>
          <w:tcPr>
            <w:tcW w:w="6521" w:type="dxa"/>
          </w:tcPr>
          <w:p w14:paraId="694EC7AE" w14:textId="237C1F5E" w:rsidR="00647C94" w:rsidRPr="00647C94" w:rsidRDefault="00647C94" w:rsidP="0001637C">
            <w:pPr>
              <w:spacing w:line="360" w:lineRule="auto"/>
              <w:rPr>
                <w:b/>
                <w:bCs/>
                <w:lang w:val="en-US"/>
              </w:rPr>
            </w:pPr>
            <w:r w:rsidRPr="009330F7">
              <w:rPr>
                <w:lang w:val="en-US"/>
              </w:rPr>
              <w:t xml:space="preserve">Applications must be received by </w:t>
            </w:r>
            <w:r w:rsidRPr="00647C94">
              <w:rPr>
                <w:b/>
                <w:bCs/>
                <w:lang w:val="en-US"/>
              </w:rPr>
              <w:t>5:00 pm Friday 31 October 2025</w:t>
            </w:r>
          </w:p>
        </w:tc>
      </w:tr>
      <w:tr w:rsidR="00647C94" w:rsidRPr="00285B57" w14:paraId="587101B9" w14:textId="77777777" w:rsidTr="0001637C">
        <w:trPr>
          <w:trHeight w:val="510"/>
        </w:trPr>
        <w:tc>
          <w:tcPr>
            <w:tcW w:w="3397" w:type="dxa"/>
          </w:tcPr>
          <w:p w14:paraId="14D040BA" w14:textId="6C6F1B3B" w:rsidR="00647C94" w:rsidRPr="00647C94" w:rsidRDefault="00647C94" w:rsidP="0001637C">
            <w:pPr>
              <w:pStyle w:val="Tabletext"/>
              <w:spacing w:line="276" w:lineRule="auto"/>
              <w:rPr>
                <w:b/>
                <w:bCs/>
                <w:lang w:val="en-US"/>
              </w:rPr>
            </w:pPr>
            <w:r w:rsidRPr="00647C94">
              <w:rPr>
                <w:b/>
                <w:bCs/>
                <w:lang w:val="en-US"/>
              </w:rPr>
              <w:t>Successful applicants agree and sign the grant agreement</w:t>
            </w:r>
          </w:p>
        </w:tc>
        <w:tc>
          <w:tcPr>
            <w:tcW w:w="6521" w:type="dxa"/>
          </w:tcPr>
          <w:p w14:paraId="10ED06B1" w14:textId="0A0AF35B" w:rsidR="00647C94" w:rsidRPr="00647C94" w:rsidRDefault="00647C94" w:rsidP="0001637C">
            <w:pPr>
              <w:spacing w:line="360" w:lineRule="auto"/>
              <w:rPr>
                <w:b/>
                <w:bCs/>
                <w:lang w:val="en-US"/>
              </w:rPr>
            </w:pPr>
            <w:r w:rsidRPr="00647C94">
              <w:rPr>
                <w:b/>
                <w:bCs/>
                <w:lang w:val="en-US"/>
              </w:rPr>
              <w:t>Within 15 business days</w:t>
            </w:r>
          </w:p>
          <w:p w14:paraId="144FE781" w14:textId="6BCC1FCE" w:rsidR="00647C94" w:rsidRPr="009330F7" w:rsidRDefault="00647C94" w:rsidP="0001637C">
            <w:pPr>
              <w:spacing w:line="360" w:lineRule="auto"/>
              <w:rPr>
                <w:lang w:val="en-US"/>
              </w:rPr>
            </w:pPr>
            <w:r w:rsidRPr="009330F7">
              <w:rPr>
                <w:lang w:val="en-US"/>
              </w:rPr>
              <w:t>from the date the Department provides them with the grant agreement, otherwise the offer will lapse</w:t>
            </w:r>
          </w:p>
        </w:tc>
      </w:tr>
    </w:tbl>
    <w:p w14:paraId="19E3FD98" w14:textId="5E499224" w:rsidR="009330F7" w:rsidRPr="009330F7" w:rsidRDefault="009330F7" w:rsidP="009330F7">
      <w:pPr>
        <w:spacing w:line="360" w:lineRule="auto"/>
        <w:rPr>
          <w:lang w:val="en-US"/>
        </w:rPr>
      </w:pPr>
      <w:r w:rsidRPr="009330F7">
        <w:rPr>
          <w:lang w:val="en-US"/>
        </w:rPr>
        <w:tab/>
      </w:r>
    </w:p>
    <w:p w14:paraId="49F3BA3D" w14:textId="77777777" w:rsidR="009330F7" w:rsidRPr="009330F7" w:rsidRDefault="009330F7" w:rsidP="0092583D">
      <w:pPr>
        <w:pStyle w:val="Heading1"/>
        <w:rPr>
          <w:lang w:val="en-US"/>
        </w:rPr>
      </w:pPr>
      <w:bookmarkStart w:id="19" w:name="_Toc181180854"/>
      <w:r w:rsidRPr="009330F7">
        <w:rPr>
          <w:lang w:val="en-US"/>
        </w:rPr>
        <w:t>12.</w:t>
      </w:r>
      <w:r w:rsidRPr="009330F7">
        <w:rPr>
          <w:lang w:val="en-US"/>
        </w:rPr>
        <w:tab/>
        <w:t>Further support</w:t>
      </w:r>
      <w:bookmarkEnd w:id="19"/>
      <w:r w:rsidRPr="009330F7">
        <w:rPr>
          <w:lang w:val="en-US"/>
        </w:rPr>
        <w:t xml:space="preserve"> </w:t>
      </w:r>
    </w:p>
    <w:p w14:paraId="263CA595" w14:textId="77777777" w:rsidR="009330F7" w:rsidRPr="009330F7" w:rsidRDefault="009330F7" w:rsidP="0092583D">
      <w:pPr>
        <w:pStyle w:val="HeadingFOUR"/>
      </w:pPr>
      <w:r w:rsidRPr="009330F7">
        <w:t>Further information</w:t>
      </w:r>
    </w:p>
    <w:p w14:paraId="7FA8FC6C" w14:textId="77777777" w:rsidR="009330F7" w:rsidRPr="009330F7" w:rsidRDefault="009330F7" w:rsidP="009330F7">
      <w:pPr>
        <w:spacing w:line="360" w:lineRule="auto"/>
        <w:rPr>
          <w:lang w:val="en-US"/>
        </w:rPr>
      </w:pPr>
      <w:r w:rsidRPr="009330F7">
        <w:rPr>
          <w:lang w:val="en-US"/>
        </w:rPr>
        <w:t>Applicants requiring further information about the Transition Fund or other Forestry Transition programs should contact their Forestry Transition Program Business Co-</w:t>
      </w:r>
      <w:proofErr w:type="spellStart"/>
      <w:r w:rsidRPr="009330F7">
        <w:rPr>
          <w:lang w:val="en-US"/>
        </w:rPr>
        <w:t>ordinator</w:t>
      </w:r>
      <w:proofErr w:type="spellEnd"/>
      <w:r w:rsidRPr="009330F7">
        <w:rPr>
          <w:lang w:val="en-US"/>
        </w:rPr>
        <w:t xml:space="preserve"> for further details.</w:t>
      </w:r>
    </w:p>
    <w:p w14:paraId="10E8BD63" w14:textId="77777777" w:rsidR="009330F7" w:rsidRPr="009330F7" w:rsidRDefault="009330F7" w:rsidP="009330F7">
      <w:pPr>
        <w:spacing w:line="360" w:lineRule="auto"/>
        <w:rPr>
          <w:lang w:val="en-US"/>
        </w:rPr>
      </w:pPr>
      <w:r w:rsidRPr="009330F7">
        <w:rPr>
          <w:lang w:val="en-US"/>
        </w:rPr>
        <w:t xml:space="preserve">P: </w:t>
      </w:r>
      <w:r w:rsidRPr="00647C94">
        <w:rPr>
          <w:b/>
          <w:bCs/>
          <w:lang w:val="en-US"/>
        </w:rPr>
        <w:t>1800 318 182</w:t>
      </w:r>
    </w:p>
    <w:p w14:paraId="4BB64612" w14:textId="78358BDC" w:rsidR="009330F7" w:rsidRPr="009330F7" w:rsidRDefault="009330F7" w:rsidP="009330F7">
      <w:pPr>
        <w:spacing w:line="360" w:lineRule="auto"/>
        <w:rPr>
          <w:lang w:val="en-US"/>
        </w:rPr>
      </w:pPr>
      <w:r w:rsidRPr="009330F7">
        <w:rPr>
          <w:lang w:val="en-US"/>
        </w:rPr>
        <w:t xml:space="preserve">E: </w:t>
      </w:r>
      <w:hyperlink r:id="rId16" w:history="1">
        <w:r w:rsidR="00647C94" w:rsidRPr="00647C94">
          <w:rPr>
            <w:rStyle w:val="Hyperlink"/>
            <w:lang w:val="en-US"/>
          </w:rPr>
          <w:t>forestry.transition.fund@deeca.vic.gov.au</w:t>
        </w:r>
      </w:hyperlink>
    </w:p>
    <w:p w14:paraId="2AAB08D7" w14:textId="53383A8C" w:rsidR="009330F7" w:rsidRPr="009330F7" w:rsidRDefault="009330F7" w:rsidP="009330F7">
      <w:pPr>
        <w:spacing w:line="360" w:lineRule="auto"/>
        <w:rPr>
          <w:lang w:val="en-US"/>
        </w:rPr>
      </w:pPr>
      <w:r w:rsidRPr="009330F7">
        <w:rPr>
          <w:lang w:val="en-US"/>
        </w:rPr>
        <w:t xml:space="preserve">W: </w:t>
      </w:r>
      <w:hyperlink r:id="rId17" w:history="1">
        <w:r w:rsidRPr="00647C94">
          <w:rPr>
            <w:rStyle w:val="Hyperlink"/>
            <w:lang w:val="en-US"/>
          </w:rPr>
          <w:t>DEECA Forestry Grants</w:t>
        </w:r>
      </w:hyperlink>
      <w:r w:rsidR="00647C94">
        <w:rPr>
          <w:lang w:val="en-US"/>
        </w:rPr>
        <w:t xml:space="preserve"> (</w:t>
      </w:r>
      <w:r w:rsidR="00647C94" w:rsidRPr="00647C94">
        <w:rPr>
          <w:lang w:val="en-US"/>
        </w:rPr>
        <w:t>https://www.deeca.vic.gov.au/forestry/grants</w:t>
      </w:r>
      <w:r w:rsidR="00647C94">
        <w:rPr>
          <w:lang w:val="en-US"/>
        </w:rPr>
        <w:t>)</w:t>
      </w:r>
      <w:r w:rsidRPr="009330F7">
        <w:rPr>
          <w:lang w:val="en-US"/>
        </w:rPr>
        <w:t xml:space="preserve"> </w:t>
      </w:r>
    </w:p>
    <w:p w14:paraId="676194EE" w14:textId="18B14EEE" w:rsidR="009330F7" w:rsidRPr="009330F7" w:rsidRDefault="009330F7" w:rsidP="009330F7">
      <w:pPr>
        <w:spacing w:line="360" w:lineRule="auto"/>
        <w:rPr>
          <w:lang w:val="en-US"/>
        </w:rPr>
      </w:pPr>
      <w:r w:rsidRPr="009330F7">
        <w:rPr>
          <w:lang w:val="en-US"/>
        </w:rPr>
        <w:t xml:space="preserve">The Guidelines will also be made available at the following website: </w:t>
      </w:r>
      <w:hyperlink r:id="rId18" w:history="1">
        <w:r w:rsidRPr="00647C94">
          <w:rPr>
            <w:rStyle w:val="Hyperlink"/>
            <w:lang w:val="en-US"/>
          </w:rPr>
          <w:t>DEECA Forestry</w:t>
        </w:r>
      </w:hyperlink>
      <w:r w:rsidR="00647C94">
        <w:rPr>
          <w:lang w:val="en-US"/>
        </w:rPr>
        <w:t xml:space="preserve"> (</w:t>
      </w:r>
      <w:r w:rsidR="00647C94" w:rsidRPr="00647C94">
        <w:rPr>
          <w:lang w:val="en-US"/>
        </w:rPr>
        <w:t>https://www.deeca.vic.gov.au/forestry</w:t>
      </w:r>
      <w:r w:rsidR="00647C94">
        <w:rPr>
          <w:lang w:val="en-US"/>
        </w:rPr>
        <w:t>)</w:t>
      </w:r>
      <w:r w:rsidRPr="009330F7">
        <w:rPr>
          <w:lang w:val="en-US"/>
        </w:rPr>
        <w:t>.</w:t>
      </w:r>
    </w:p>
    <w:p w14:paraId="259B5EA1" w14:textId="77777777" w:rsidR="009330F7" w:rsidRPr="009330F7" w:rsidRDefault="009330F7" w:rsidP="0092583D">
      <w:pPr>
        <w:pStyle w:val="Heading1"/>
        <w:rPr>
          <w:lang w:val="en-US"/>
        </w:rPr>
      </w:pPr>
      <w:bookmarkStart w:id="20" w:name="_Toc181180855"/>
      <w:r w:rsidRPr="009330F7">
        <w:rPr>
          <w:lang w:val="en-US"/>
        </w:rPr>
        <w:lastRenderedPageBreak/>
        <w:t>Appendix 1 – Employment Incentive</w:t>
      </w:r>
      <w:bookmarkEnd w:id="20"/>
    </w:p>
    <w:p w14:paraId="548A1D1B" w14:textId="77777777" w:rsidR="009330F7" w:rsidRPr="009330F7" w:rsidRDefault="009330F7" w:rsidP="0092583D">
      <w:pPr>
        <w:pStyle w:val="HeadingFOUR"/>
      </w:pPr>
      <w:r w:rsidRPr="009330F7">
        <w:t xml:space="preserve">Overview </w:t>
      </w:r>
    </w:p>
    <w:p w14:paraId="518B6DBF" w14:textId="77777777" w:rsidR="009330F7" w:rsidRPr="009330F7" w:rsidRDefault="009330F7" w:rsidP="009330F7">
      <w:pPr>
        <w:spacing w:line="360" w:lineRule="auto"/>
        <w:rPr>
          <w:lang w:val="en-US"/>
        </w:rPr>
      </w:pPr>
      <w:r w:rsidRPr="009330F7">
        <w:rPr>
          <w:lang w:val="en-US"/>
        </w:rPr>
        <w:t>The Employment Incentive provides businesses with additional funding to hire displaced native timber workers.</w:t>
      </w:r>
    </w:p>
    <w:p w14:paraId="6CFE2987" w14:textId="77777777" w:rsidR="009330F7" w:rsidRPr="009330F7" w:rsidRDefault="009330F7" w:rsidP="009330F7">
      <w:pPr>
        <w:spacing w:line="360" w:lineRule="auto"/>
        <w:rPr>
          <w:lang w:val="en-US"/>
        </w:rPr>
      </w:pPr>
      <w:r w:rsidRPr="009330F7">
        <w:rPr>
          <w:lang w:val="en-US"/>
        </w:rPr>
        <w:t>Projects supported by the Transition Fund which employ former native timber workers may apply for a $20,000 employment incentive for each worker, in addition to any project funding requested.</w:t>
      </w:r>
    </w:p>
    <w:p w14:paraId="6D8C0485" w14:textId="77777777" w:rsidR="009330F7" w:rsidRPr="009330F7" w:rsidRDefault="009330F7" w:rsidP="0092583D">
      <w:pPr>
        <w:pStyle w:val="HeadingFOUR"/>
      </w:pPr>
      <w:r w:rsidRPr="009330F7">
        <w:t xml:space="preserve">Eligibility </w:t>
      </w:r>
    </w:p>
    <w:p w14:paraId="2F96527C" w14:textId="77777777" w:rsidR="009330F7" w:rsidRPr="009330F7" w:rsidRDefault="009330F7" w:rsidP="009330F7">
      <w:pPr>
        <w:spacing w:line="360" w:lineRule="auto"/>
        <w:rPr>
          <w:lang w:val="en-US"/>
        </w:rPr>
      </w:pPr>
      <w:r w:rsidRPr="009330F7">
        <w:rPr>
          <w:lang w:val="en-US"/>
        </w:rPr>
        <w:t xml:space="preserve">To be eligible, applicants must: </w:t>
      </w:r>
    </w:p>
    <w:p w14:paraId="34E735BD" w14:textId="77777777" w:rsidR="009330F7" w:rsidRPr="009330F7" w:rsidRDefault="009330F7" w:rsidP="00124E1B">
      <w:pPr>
        <w:pStyle w:val="Bullet1last"/>
      </w:pPr>
      <w:r w:rsidRPr="009330F7">
        <w:t xml:space="preserve">have a good workplace safety record </w:t>
      </w:r>
    </w:p>
    <w:p w14:paraId="25057392" w14:textId="77777777" w:rsidR="009330F7" w:rsidRPr="009330F7" w:rsidRDefault="009330F7" w:rsidP="00124E1B">
      <w:pPr>
        <w:pStyle w:val="Bullet1last"/>
      </w:pPr>
      <w:r w:rsidRPr="009330F7">
        <w:t xml:space="preserve">have a history of meeting all industrial relations responsibilities </w:t>
      </w:r>
    </w:p>
    <w:p w14:paraId="5D2F6EB2" w14:textId="77777777" w:rsidR="009330F7" w:rsidRPr="009330F7" w:rsidRDefault="009330F7" w:rsidP="00124E1B">
      <w:pPr>
        <w:pStyle w:val="Bullet1last"/>
      </w:pPr>
      <w:r w:rsidRPr="009330F7">
        <w:t xml:space="preserve">employ a worker on an ongoing basis who: </w:t>
      </w:r>
    </w:p>
    <w:p w14:paraId="7FB68784" w14:textId="77777777" w:rsidR="009330F7" w:rsidRPr="009330F7" w:rsidRDefault="009330F7" w:rsidP="003F0B1D">
      <w:pPr>
        <w:pStyle w:val="Bullet2"/>
        <w:spacing w:line="276" w:lineRule="auto"/>
      </w:pPr>
      <w:r w:rsidRPr="009330F7">
        <w:t xml:space="preserve">is unemployed or employed on a casual basis when they are recruited, and </w:t>
      </w:r>
    </w:p>
    <w:p w14:paraId="1879BF87" w14:textId="77777777" w:rsidR="009330F7" w:rsidRPr="009330F7" w:rsidRDefault="009330F7" w:rsidP="003F0B1D">
      <w:pPr>
        <w:pStyle w:val="Bullet2"/>
        <w:spacing w:line="276" w:lineRule="auto"/>
      </w:pPr>
      <w:r w:rsidRPr="009330F7">
        <w:t xml:space="preserve">was made redundant, or their casual employment was terminated by their employer as a direct result of the forestry transition, and </w:t>
      </w:r>
    </w:p>
    <w:p w14:paraId="11B5592A" w14:textId="77777777" w:rsidR="009330F7" w:rsidRPr="009330F7" w:rsidRDefault="009330F7" w:rsidP="003F0B1D">
      <w:pPr>
        <w:pStyle w:val="Bullet2"/>
        <w:spacing w:line="276" w:lineRule="auto"/>
      </w:pPr>
      <w:r w:rsidRPr="009330F7">
        <w:t xml:space="preserve">received a Government Top-Up Payment through the Worker Support Program </w:t>
      </w:r>
    </w:p>
    <w:p w14:paraId="752A5FCB" w14:textId="77777777" w:rsidR="009330F7" w:rsidRPr="009330F7" w:rsidRDefault="009330F7" w:rsidP="004C1AF6">
      <w:pPr>
        <w:pStyle w:val="Bullet1last"/>
        <w:spacing w:after="360"/>
      </w:pPr>
      <w:r w:rsidRPr="009330F7">
        <w:t xml:space="preserve">provide evidence of a written ongoing employment contract with the employee within 30 days of commencing employment. </w:t>
      </w:r>
    </w:p>
    <w:p w14:paraId="75A9F025" w14:textId="77777777" w:rsidR="009330F7" w:rsidRPr="009330F7" w:rsidRDefault="009330F7" w:rsidP="0092583D">
      <w:pPr>
        <w:pStyle w:val="HeadingFOUR"/>
      </w:pPr>
      <w:r w:rsidRPr="009330F7">
        <w:t xml:space="preserve">Exclusions </w:t>
      </w:r>
    </w:p>
    <w:p w14:paraId="136EAFF5" w14:textId="77777777" w:rsidR="009330F7" w:rsidRPr="009330F7" w:rsidRDefault="009330F7" w:rsidP="009330F7">
      <w:pPr>
        <w:spacing w:line="360" w:lineRule="auto"/>
        <w:rPr>
          <w:lang w:val="en-US"/>
        </w:rPr>
      </w:pPr>
      <w:r w:rsidRPr="009330F7">
        <w:rPr>
          <w:lang w:val="en-US"/>
        </w:rPr>
        <w:t>The incentive is not available:</w:t>
      </w:r>
    </w:p>
    <w:p w14:paraId="18610EDE" w14:textId="77777777" w:rsidR="009330F7" w:rsidRPr="009330F7" w:rsidRDefault="009330F7" w:rsidP="00124E1B">
      <w:pPr>
        <w:pStyle w:val="Bullet1last"/>
      </w:pPr>
      <w:r w:rsidRPr="009330F7">
        <w:t>to former native timber workers who employ themselves within their own business</w:t>
      </w:r>
    </w:p>
    <w:p w14:paraId="0AB45816" w14:textId="0389AEE4" w:rsidR="009330F7" w:rsidRPr="0092583D" w:rsidRDefault="009330F7" w:rsidP="004C1AF6">
      <w:pPr>
        <w:pStyle w:val="Bullet1last"/>
        <w:spacing w:after="360"/>
      </w:pPr>
      <w:r w:rsidRPr="009330F7">
        <w:t>for the employment of a previous employee of a business that the applicant was or is a director.</w:t>
      </w:r>
    </w:p>
    <w:p w14:paraId="43A3F60B" w14:textId="77777777" w:rsidR="009330F7" w:rsidRPr="009330F7" w:rsidRDefault="009330F7" w:rsidP="0092583D">
      <w:pPr>
        <w:pStyle w:val="HeadingFOUR"/>
      </w:pPr>
      <w:r w:rsidRPr="009330F7">
        <w:t xml:space="preserve">How does the $20,000 payment work? </w:t>
      </w:r>
    </w:p>
    <w:p w14:paraId="0422EABA" w14:textId="77777777" w:rsidR="009330F7" w:rsidRPr="009330F7" w:rsidRDefault="009330F7" w:rsidP="00124E1B">
      <w:pPr>
        <w:pStyle w:val="Bullet1last"/>
      </w:pPr>
      <w:r w:rsidRPr="009330F7">
        <w:t>For successful applications, $10,000 (per full time equivalent role) will be paid upon the provision of evidence of the employee’s engagement by the business.</w:t>
      </w:r>
    </w:p>
    <w:p w14:paraId="4A93962B" w14:textId="77777777" w:rsidR="009330F7" w:rsidRPr="009330F7" w:rsidRDefault="009330F7" w:rsidP="004C1AF6">
      <w:pPr>
        <w:pStyle w:val="Bullet1last"/>
        <w:spacing w:after="360"/>
      </w:pPr>
      <w:r w:rsidRPr="009330F7">
        <w:lastRenderedPageBreak/>
        <w:t>The remaining $10,000 (per full time equivalent role) will be paid after 12 months of continuous (per full time equivalent role) employment. The remaining $10,000 will not be paid if the employee leaves before 12 months.</w:t>
      </w:r>
    </w:p>
    <w:p w14:paraId="1AF4DD18" w14:textId="77777777" w:rsidR="009330F7" w:rsidRPr="009330F7" w:rsidRDefault="009330F7" w:rsidP="0092583D">
      <w:pPr>
        <w:pStyle w:val="HeadingFOUR"/>
      </w:pPr>
      <w:r w:rsidRPr="009330F7">
        <w:t xml:space="preserve">How do employers recruit workers? </w:t>
      </w:r>
    </w:p>
    <w:p w14:paraId="3ED2A3A8" w14:textId="77777777" w:rsidR="009330F7" w:rsidRPr="009330F7" w:rsidRDefault="009330F7" w:rsidP="00124E1B">
      <w:pPr>
        <w:pStyle w:val="Bullet1last"/>
      </w:pPr>
      <w:r w:rsidRPr="009330F7">
        <w:t xml:space="preserve">The business must contact </w:t>
      </w:r>
      <w:proofErr w:type="spellStart"/>
      <w:r w:rsidRPr="009330F7">
        <w:t>ForestWorks</w:t>
      </w:r>
      <w:proofErr w:type="spellEnd"/>
      <w:r w:rsidRPr="009330F7">
        <w:t xml:space="preserve"> to identify potential employees.</w:t>
      </w:r>
    </w:p>
    <w:p w14:paraId="31DD37E1" w14:textId="77777777" w:rsidR="009330F7" w:rsidRPr="009330F7" w:rsidRDefault="009330F7" w:rsidP="00124E1B">
      <w:pPr>
        <w:pStyle w:val="Bullet1last"/>
      </w:pPr>
      <w:proofErr w:type="spellStart"/>
      <w:r w:rsidRPr="009330F7">
        <w:t>ForestWorks</w:t>
      </w:r>
      <w:proofErr w:type="spellEnd"/>
      <w:r w:rsidRPr="009330F7">
        <w:t xml:space="preserve"> will undertake a pre-screening process to ensure that the employer is appropriate and is willing to provide ongoing employment for the prospective new employee.</w:t>
      </w:r>
    </w:p>
    <w:p w14:paraId="0EB57008" w14:textId="77777777" w:rsidR="009330F7" w:rsidRPr="009330F7" w:rsidRDefault="009330F7" w:rsidP="00124E1B">
      <w:pPr>
        <w:pStyle w:val="Bullet1last"/>
      </w:pPr>
      <w:r w:rsidRPr="009330F7">
        <w:t>The business engages the employee.</w:t>
      </w:r>
    </w:p>
    <w:p w14:paraId="6197ACB5" w14:textId="77777777" w:rsidR="009330F7" w:rsidRPr="009330F7" w:rsidRDefault="009330F7" w:rsidP="004C1AF6">
      <w:pPr>
        <w:pStyle w:val="Bullet1last"/>
        <w:spacing w:after="360"/>
      </w:pPr>
      <w:r w:rsidRPr="009330F7">
        <w:t xml:space="preserve">If required, </w:t>
      </w:r>
      <w:proofErr w:type="spellStart"/>
      <w:r w:rsidRPr="009330F7">
        <w:t>ForestWorks</w:t>
      </w:r>
      <w:proofErr w:type="spellEnd"/>
      <w:r w:rsidRPr="009330F7">
        <w:t xml:space="preserve"> can create a training plan and use training funds to provide the new employee with relevant and required training.</w:t>
      </w:r>
    </w:p>
    <w:p w14:paraId="12C998BD" w14:textId="77777777" w:rsidR="009330F7" w:rsidRPr="009330F7" w:rsidRDefault="009330F7" w:rsidP="0092583D">
      <w:pPr>
        <w:pStyle w:val="HeadingFOUR"/>
      </w:pPr>
      <w:r w:rsidRPr="009330F7">
        <w:t xml:space="preserve">What if the employment ends? </w:t>
      </w:r>
    </w:p>
    <w:p w14:paraId="5AF53D3C" w14:textId="77777777" w:rsidR="009330F7" w:rsidRPr="009330F7" w:rsidRDefault="009330F7" w:rsidP="00124E1B">
      <w:pPr>
        <w:pStyle w:val="Bullet1last"/>
      </w:pPr>
      <w:r w:rsidRPr="009330F7">
        <w:t xml:space="preserve">If the employment is ended by the employer for a reason other than misconduct or poor performance, DEECA may seek a refund of any incentive payments paid to date </w:t>
      </w:r>
    </w:p>
    <w:p w14:paraId="6684CDE6" w14:textId="6D0DD10B" w:rsidR="004C1AF6" w:rsidRPr="003F0B1D" w:rsidRDefault="009330F7" w:rsidP="003A6086">
      <w:pPr>
        <w:pStyle w:val="Bullet1last"/>
      </w:pPr>
      <w:r w:rsidRPr="009330F7">
        <w:t>If the employment is ended by the action of the employee (e.g. voluntary separation), the employer may keep any incentive payments that they have already received but will not receive the final payment.</w:t>
      </w:r>
    </w:p>
    <w:p w14:paraId="7E57D1B4" w14:textId="77777777" w:rsidR="004C1AF6" w:rsidRDefault="004C1AF6" w:rsidP="003A6086">
      <w:pPr>
        <w:pStyle w:val="BodyText"/>
        <w:rPr>
          <w:lang w:val="en-GB"/>
        </w:rPr>
      </w:pPr>
    </w:p>
    <w:p w14:paraId="6B5799CE" w14:textId="77777777" w:rsidR="003F0B1D" w:rsidRPr="003F0B1D" w:rsidRDefault="003F0B1D" w:rsidP="003F0B1D">
      <w:pPr>
        <w:pStyle w:val="HeadingFOUR"/>
      </w:pPr>
      <w:r w:rsidRPr="003F0B1D">
        <w:t>Acknowledgment</w:t>
      </w:r>
    </w:p>
    <w:p w14:paraId="691BDDD5" w14:textId="3C87DE57" w:rsidR="003F0B1D" w:rsidRDefault="003F0B1D" w:rsidP="003F0B1D">
      <w:pPr>
        <w:pStyle w:val="BodyText"/>
        <w:rPr>
          <w:lang w:val="en-GB"/>
        </w:rPr>
      </w:pPr>
      <w:r w:rsidRPr="003F0B1D">
        <w:rPr>
          <w:lang w:val="en-GB"/>
        </w:rPr>
        <w:t>We acknowledge and respect Victorian Traditional Owners as the original custodians of Victoria’s land and waters, their unique ability to care for Country and deep spiritual connection to it. We honour Elders past and present whose knowledge and wisdom has ensured the continuation of culture and traditional practices. We are committed to genuinely partner, and meaningfully engage, with Victoria’s Traditional Owners and Aboriginal communities to support the protection of Country, the maintenance of spiritual and cultural practices and their broader aspirations in the 21st century and beyond.</w:t>
      </w:r>
    </w:p>
    <w:p w14:paraId="402A0A59" w14:textId="77777777" w:rsidR="0001637C" w:rsidRDefault="0001637C" w:rsidP="003F0B1D">
      <w:pPr>
        <w:pStyle w:val="BodyText"/>
        <w:rPr>
          <w:lang w:val="en-GB"/>
        </w:rPr>
      </w:pPr>
    </w:p>
    <w:p w14:paraId="69B926F4" w14:textId="2C62E5EF" w:rsidR="003F0B1D" w:rsidRPr="003F0B1D" w:rsidRDefault="003F0B1D" w:rsidP="003F0B1D">
      <w:pPr>
        <w:pStyle w:val="BodyText"/>
        <w:rPr>
          <w:lang w:val="en-GB"/>
        </w:rPr>
      </w:pPr>
      <w:r w:rsidRPr="003F0B1D">
        <w:rPr>
          <w:lang w:val="en-GB"/>
        </w:rPr>
        <w:t>© The State of Victoria Department of Energy, Environment and Climate Action November 2024</w:t>
      </w:r>
    </w:p>
    <w:p w14:paraId="7F185001" w14:textId="77777777" w:rsidR="003F0B1D" w:rsidRPr="003F0B1D" w:rsidRDefault="003F0B1D" w:rsidP="003F0B1D">
      <w:pPr>
        <w:pStyle w:val="HeadingFOUR"/>
      </w:pPr>
      <w:r w:rsidRPr="003F0B1D">
        <w:lastRenderedPageBreak/>
        <w:t>Creative Commons</w:t>
      </w:r>
    </w:p>
    <w:p w14:paraId="62C22FBF" w14:textId="3D7E2BCB" w:rsidR="003F0B1D" w:rsidRPr="003F0B1D" w:rsidRDefault="003F0B1D" w:rsidP="003F0B1D">
      <w:pPr>
        <w:pStyle w:val="BodyText"/>
        <w:rPr>
          <w:lang w:val="en-GB"/>
        </w:rPr>
      </w:pPr>
      <w:r w:rsidRPr="003F0B1D">
        <w:rPr>
          <w:lang w:val="en-GB"/>
        </w:rPr>
        <w:t xml:space="preserve">This work is licensed under a Creative Commons Attribution 4.0 International licence, visit the </w:t>
      </w:r>
      <w:hyperlink r:id="rId19" w:history="1">
        <w:r w:rsidRPr="003F0B1D">
          <w:rPr>
            <w:rStyle w:val="Hyperlink"/>
            <w:lang w:val="en-GB"/>
          </w:rPr>
          <w:t>Creative Commons website</w:t>
        </w:r>
      </w:hyperlink>
      <w:r w:rsidRPr="003F0B1D">
        <w:rPr>
          <w:lang w:val="en-GB"/>
        </w:rPr>
        <w:t xml:space="preserve"> (http://creativecommons.org/licenses/by/4.0/).</w:t>
      </w:r>
    </w:p>
    <w:p w14:paraId="4EAE961E" w14:textId="77777777" w:rsidR="003F0B1D" w:rsidRPr="003F0B1D" w:rsidRDefault="003F0B1D" w:rsidP="003F0B1D">
      <w:pPr>
        <w:pStyle w:val="BodyText"/>
        <w:rPr>
          <w:lang w:val="en-GB"/>
        </w:rPr>
      </w:pPr>
      <w:r w:rsidRPr="003F0B1D">
        <w:rPr>
          <w:lang w:val="en-GB"/>
        </w:rPr>
        <w:t>You are free to re-use the work under that licence, on the condition that you credit the State of Victoria as author. The licence does not apply to any images, photographs or branding, including the Victorian Coat of Arms, and the Victorian Government and Department logos.</w:t>
      </w:r>
    </w:p>
    <w:p w14:paraId="17FC11FC" w14:textId="620A00EE" w:rsidR="003F0B1D" w:rsidRPr="003F0B1D" w:rsidRDefault="003F0B1D" w:rsidP="003F0B1D">
      <w:pPr>
        <w:pStyle w:val="BodyText"/>
        <w:rPr>
          <w:lang w:val="en-GB"/>
        </w:rPr>
      </w:pPr>
      <w:r w:rsidRPr="003F0B1D">
        <w:rPr>
          <w:lang w:val="en-GB"/>
        </w:rPr>
        <w:t>ISBN 978-1-76136-949-0 (pdf/online/MS word)</w:t>
      </w:r>
    </w:p>
    <w:p w14:paraId="3C4AA380" w14:textId="77777777" w:rsidR="003F0B1D" w:rsidRPr="003F0B1D" w:rsidRDefault="003F0B1D" w:rsidP="003F0B1D">
      <w:pPr>
        <w:pStyle w:val="HeadingFOUR"/>
      </w:pPr>
      <w:r w:rsidRPr="003F0B1D">
        <w:t>Disclaimer</w:t>
      </w:r>
    </w:p>
    <w:p w14:paraId="4214DE5A" w14:textId="34D2A3EC" w:rsidR="003F0B1D" w:rsidRPr="003F0B1D" w:rsidRDefault="003F0B1D" w:rsidP="003F0B1D">
      <w:pPr>
        <w:pStyle w:val="BodyText"/>
        <w:rPr>
          <w:lang w:val="en-GB"/>
        </w:rPr>
      </w:pPr>
      <w:r w:rsidRPr="003F0B1D">
        <w:rPr>
          <w:lang w:val="en-GB"/>
        </w:rPr>
        <w:t xml:space="preserve">This publication may be of assistance to </w:t>
      </w:r>
      <w:proofErr w:type="gramStart"/>
      <w:r w:rsidRPr="003F0B1D">
        <w:rPr>
          <w:lang w:val="en-GB"/>
        </w:rPr>
        <w:t>you</w:t>
      </w:r>
      <w:proofErr w:type="gramEnd"/>
      <w:r w:rsidRPr="003F0B1D">
        <w:rPr>
          <w:lang w:val="en-GB"/>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35A2EE4D" w14:textId="77777777" w:rsidR="003F0B1D" w:rsidRPr="003F0B1D" w:rsidRDefault="003F0B1D" w:rsidP="003F0B1D">
      <w:pPr>
        <w:pStyle w:val="HeadingFOUR"/>
      </w:pPr>
      <w:r w:rsidRPr="003F0B1D">
        <w:t>Accessibility</w:t>
      </w:r>
    </w:p>
    <w:p w14:paraId="54F4D41F" w14:textId="38C8FB3D" w:rsidR="00F138D1" w:rsidRPr="003F0B1D" w:rsidRDefault="003F0B1D" w:rsidP="00F138D1">
      <w:pPr>
        <w:pStyle w:val="BodyText"/>
        <w:rPr>
          <w:lang w:val="en-GB"/>
        </w:rPr>
      </w:pPr>
      <w:r w:rsidRPr="003F0B1D">
        <w:rPr>
          <w:lang w:val="en-GB"/>
        </w:rPr>
        <w:t xml:space="preserve">If you would like to receive this publication in an alternative format, please telephone the Forestry Transition Program representative on 1800 318 182, email </w:t>
      </w:r>
      <w:hyperlink r:id="rId20" w:history="1">
        <w:r w:rsidRPr="003F0B1D">
          <w:rPr>
            <w:rStyle w:val="Hyperlink"/>
            <w:lang w:val="en-GB"/>
          </w:rPr>
          <w:t>forestrytransition@deeca.vic.gov.au</w:t>
        </w:r>
      </w:hyperlink>
      <w:r w:rsidRPr="003F0B1D">
        <w:rPr>
          <w:lang w:val="en-GB"/>
        </w:rPr>
        <w:t xml:space="preserve">. This document is also available on the internet at </w:t>
      </w:r>
      <w:hyperlink r:id="rId21" w:history="1">
        <w:r w:rsidRPr="003F0B1D">
          <w:rPr>
            <w:rStyle w:val="Hyperlink"/>
            <w:lang w:val="en-GB"/>
          </w:rPr>
          <w:t>vic.gov.au/forestry</w:t>
        </w:r>
      </w:hyperlink>
      <w:r w:rsidRPr="003F0B1D">
        <w:rPr>
          <w:lang w:val="en-GB"/>
        </w:rPr>
        <w:t>.</w:t>
      </w:r>
    </w:p>
    <w:sectPr w:rsidR="00F138D1" w:rsidRPr="003F0B1D" w:rsidSect="00AE4CCC">
      <w:footerReference w:type="default" r:id="rId22"/>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2231D" w14:textId="77777777" w:rsidR="00F303C8" w:rsidRDefault="00F303C8" w:rsidP="00F2730B">
      <w:pPr>
        <w:spacing w:after="0" w:line="240" w:lineRule="auto"/>
      </w:pPr>
      <w:r>
        <w:separator/>
      </w:r>
    </w:p>
  </w:endnote>
  <w:endnote w:type="continuationSeparator" w:id="0">
    <w:p w14:paraId="1636C09B" w14:textId="77777777" w:rsidR="00F303C8" w:rsidRDefault="00F303C8" w:rsidP="00F2730B">
      <w:pPr>
        <w:spacing w:after="0" w:line="240" w:lineRule="auto"/>
      </w:pPr>
      <w:r>
        <w:continuationSeparator/>
      </w:r>
    </w:p>
  </w:endnote>
  <w:endnote w:type="continuationNotice" w:id="1">
    <w:p w14:paraId="6B9B2D3D" w14:textId="77777777" w:rsidR="00F303C8" w:rsidRDefault="00F303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pitch w:val="default"/>
  </w:font>
  <w:font w:name="MinionPro-Regular">
    <w:altName w:val="Calibri"/>
    <w:panose1 w:val="020B0604020202020204"/>
    <w:charset w:val="00"/>
    <w:family w:val="auto"/>
    <w:pitch w:val="default"/>
    <w:sig w:usb0="00000003" w:usb1="00000000" w:usb2="00000000" w:usb3="00000000" w:csb0="00000001" w:csb1="00000000"/>
  </w:font>
  <w:font w:name="VIC SemiBold">
    <w:panose1 w:val="00000700000000000000"/>
    <w:charset w:val="4D"/>
    <w:family w:val="auto"/>
    <w:notTrueType/>
    <w:pitch w:val="variable"/>
    <w:sig w:usb0="00000007" w:usb1="00000000" w:usb2="00000000" w:usb3="00000000" w:csb0="00000093" w:csb1="00000000"/>
  </w:font>
  <w:font w:name="VIC Light">
    <w:panose1 w:val="00000400000000000000"/>
    <w:charset w:val="4D"/>
    <w:family w:val="auto"/>
    <w:notTrueType/>
    <w:pitch w:val="variable"/>
    <w:sig w:usb0="00000007" w:usb1="00000000" w:usb2="00000000" w:usb3="00000000" w:csb0="00000093" w:csb1="00000000"/>
  </w:font>
  <w:font w:name="VIC (OTF) Light Italic">
    <w:altName w:val="VIC"/>
    <w:panose1 w:val="00000400000000000000"/>
    <w:charset w:val="4D"/>
    <w:family w:val="auto"/>
    <w:pitch w:val="variable"/>
    <w:sig w:usb0="00000007" w:usb1="00000000" w:usb2="00000000" w:usb3="00000000" w:csb0="00000093" w:csb1="00000000"/>
  </w:font>
  <w:font w:name="VIC">
    <w:panose1 w:val="00000500000000000000"/>
    <w:charset w:val="4D"/>
    <w:family w:val="auto"/>
    <w:notTrueType/>
    <w:pitch w:val="variable"/>
    <w:sig w:usb0="00000007" w:usb1="00000000" w:usb2="00000000" w:usb3="00000000" w:csb0="00000093" w:csb1="00000000"/>
  </w:font>
  <w:font w:name="VIC (OTF) Light">
    <w:altName w:val="VIC"/>
    <w:panose1 w:val="00000400000000000000"/>
    <w:charset w:val="4D"/>
    <w:family w:val="auto"/>
    <w:pitch w:val="variable"/>
    <w:sig w:usb0="00000007" w:usb1="00000000" w:usb2="00000000" w:usb3="00000000" w:csb0="00000093" w:csb1="00000000"/>
  </w:font>
  <w:font w:name="VIC (OTF) SemiBold">
    <w:altName w:val="VIC"/>
    <w:panose1 w:val="00000700000000000000"/>
    <w:charset w:val="4D"/>
    <w:family w:val="auto"/>
    <w:pitch w:val="variable"/>
    <w:sig w:usb0="00000007" w:usb1="00000000" w:usb2="00000000" w:usb3="00000000" w:csb0="00000093" w:csb1="00000000"/>
  </w:font>
  <w:font w:name="Times New Roman (Body CS)">
    <w:altName w:val="Times New Roman"/>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ACDE2" w14:textId="5A20C4A2" w:rsidR="00515813" w:rsidRDefault="00515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AD851" w14:textId="77777777" w:rsidR="00F303C8" w:rsidRDefault="00F303C8" w:rsidP="00F2730B">
      <w:pPr>
        <w:spacing w:after="0" w:line="240" w:lineRule="auto"/>
      </w:pPr>
      <w:r>
        <w:separator/>
      </w:r>
    </w:p>
  </w:footnote>
  <w:footnote w:type="continuationSeparator" w:id="0">
    <w:p w14:paraId="3ECDF03C" w14:textId="77777777" w:rsidR="00F303C8" w:rsidRDefault="00F303C8" w:rsidP="00F2730B">
      <w:pPr>
        <w:spacing w:after="0" w:line="240" w:lineRule="auto"/>
      </w:pPr>
      <w:r>
        <w:continuationSeparator/>
      </w:r>
    </w:p>
  </w:footnote>
  <w:footnote w:type="continuationNotice" w:id="1">
    <w:p w14:paraId="1A6403F1" w14:textId="77777777" w:rsidR="00F303C8" w:rsidRDefault="00F303C8">
      <w:pPr>
        <w:spacing w:after="0" w:line="240" w:lineRule="auto"/>
      </w:pPr>
    </w:p>
  </w:footnote>
  <w:footnote w:id="2">
    <w:p w14:paraId="7F5FECB1" w14:textId="29921D10" w:rsidR="007168D5" w:rsidRDefault="007168D5">
      <w:pPr>
        <w:pStyle w:val="FootnoteText"/>
      </w:pPr>
      <w:r>
        <w:rPr>
          <w:rStyle w:val="FootnoteReference"/>
        </w:rPr>
        <w:footnoteRef/>
      </w:r>
      <w:r>
        <w:t xml:space="preserve"> </w:t>
      </w:r>
      <w:r w:rsidRPr="007168D5">
        <w:rPr>
          <w:i/>
          <w:iCs/>
          <w:lang w:val="en-GB"/>
        </w:rPr>
        <w:t>https://www.buyingfor.vic.gov.au/fair-jobs-code</w:t>
      </w:r>
    </w:p>
  </w:footnote>
  <w:footnote w:id="3">
    <w:p w14:paraId="4737AA5A" w14:textId="79714D81" w:rsidR="007168D5" w:rsidRDefault="007168D5">
      <w:pPr>
        <w:pStyle w:val="FootnoteText"/>
      </w:pPr>
      <w:r>
        <w:rPr>
          <w:rStyle w:val="FootnoteReference"/>
        </w:rPr>
        <w:footnoteRef/>
      </w:r>
      <w:r>
        <w:t xml:space="preserve"> </w:t>
      </w:r>
      <w:r w:rsidRPr="007168D5">
        <w:rPr>
          <w:i/>
          <w:iCs/>
          <w:lang w:val="en-GB"/>
        </w:rPr>
        <w:t>https://localjobsfirst.vic.gov.au/key-documents</w:t>
      </w:r>
    </w:p>
  </w:footnote>
  <w:footnote w:id="4">
    <w:p w14:paraId="762BB0FE" w14:textId="175C1043" w:rsidR="007168D5" w:rsidRDefault="007168D5">
      <w:pPr>
        <w:pStyle w:val="FootnoteText"/>
      </w:pPr>
      <w:r>
        <w:rPr>
          <w:rStyle w:val="FootnoteReference"/>
        </w:rPr>
        <w:footnoteRef/>
      </w:r>
      <w:r>
        <w:t xml:space="preserve"> </w:t>
      </w:r>
      <w:r w:rsidRPr="007168D5">
        <w:rPr>
          <w:i/>
          <w:iCs/>
          <w:lang w:val="en-GB"/>
        </w:rPr>
        <w:t xml:space="preserve">Refer to </w:t>
      </w:r>
      <w:hyperlink r:id="rId1" w:history="1">
        <w:r w:rsidRPr="007168D5">
          <w:rPr>
            <w:rStyle w:val="Hyperlink"/>
            <w:i/>
            <w:iCs/>
            <w:lang w:val="en-GB"/>
          </w:rPr>
          <w:t>buyingfor.vic.gov.au/supplier-code-conduct</w:t>
        </w:r>
      </w:hyperlink>
      <w:r w:rsidRPr="007168D5">
        <w:rPr>
          <w:i/>
          <w:iCs/>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B518F53A"/>
    <w:lvl w:ilvl="0">
      <w:start w:val="1"/>
      <w:numFmt w:val="decimal"/>
      <w:pStyle w:val="ListNumber"/>
      <w:lvlText w:val="%1."/>
      <w:lvlJc w:val="left"/>
      <w:pPr>
        <w:tabs>
          <w:tab w:val="num" w:pos="2345"/>
        </w:tabs>
        <w:ind w:left="2345" w:hanging="360"/>
      </w:pPr>
      <w:rPr>
        <w:rFonts w:hint="default"/>
      </w:rPr>
    </w:lvl>
  </w:abstractNum>
  <w:abstractNum w:abstractNumId="2" w15:restartNumberingAfterBreak="0">
    <w:nsid w:val="FFFFFF89"/>
    <w:multiLevelType w:val="singleLevel"/>
    <w:tmpl w:val="9A6477D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4"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BF6893"/>
    <w:multiLevelType w:val="hybridMultilevel"/>
    <w:tmpl w:val="31921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610AB6"/>
    <w:multiLevelType w:val="hybridMultilevel"/>
    <w:tmpl w:val="917CCB34"/>
    <w:lvl w:ilvl="0" w:tplc="1BCA9CBA">
      <w:start w:val="1"/>
      <w:numFmt w:val="decimal"/>
      <w:lvlText w:val="%1."/>
      <w:lvlJc w:val="left"/>
      <w:pPr>
        <w:ind w:left="1174" w:hanging="72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7"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554710"/>
    <w:multiLevelType w:val="hybridMultilevel"/>
    <w:tmpl w:val="A8600DDA"/>
    <w:lvl w:ilvl="0" w:tplc="23A03E62">
      <w:start w:val="1"/>
      <w:numFmt w:val="decimal"/>
      <w:lvlText w:val="%1."/>
      <w:lvlJc w:val="left"/>
      <w:pPr>
        <w:ind w:left="1127" w:hanging="39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9" w15:restartNumberingAfterBreak="0">
    <w:nsid w:val="150225D1"/>
    <w:multiLevelType w:val="hybridMultilevel"/>
    <w:tmpl w:val="E5E06506"/>
    <w:lvl w:ilvl="0" w:tplc="0C090013">
      <w:start w:val="1"/>
      <w:numFmt w:val="upperRoman"/>
      <w:lvlText w:val="%1."/>
      <w:lvlJc w:val="right"/>
      <w:pPr>
        <w:ind w:left="1517" w:hanging="390"/>
      </w:pPr>
      <w:rPr>
        <w:rFonts w:hint="default"/>
      </w:rPr>
    </w:lvl>
    <w:lvl w:ilvl="1" w:tplc="0C090019" w:tentative="1">
      <w:start w:val="1"/>
      <w:numFmt w:val="lowerLetter"/>
      <w:lvlText w:val="%2."/>
      <w:lvlJc w:val="left"/>
      <w:pPr>
        <w:ind w:left="2207" w:hanging="360"/>
      </w:pPr>
    </w:lvl>
    <w:lvl w:ilvl="2" w:tplc="0C09001B" w:tentative="1">
      <w:start w:val="1"/>
      <w:numFmt w:val="lowerRoman"/>
      <w:lvlText w:val="%3."/>
      <w:lvlJc w:val="right"/>
      <w:pPr>
        <w:ind w:left="2927" w:hanging="180"/>
      </w:pPr>
    </w:lvl>
    <w:lvl w:ilvl="3" w:tplc="0C09000F" w:tentative="1">
      <w:start w:val="1"/>
      <w:numFmt w:val="decimal"/>
      <w:lvlText w:val="%4."/>
      <w:lvlJc w:val="left"/>
      <w:pPr>
        <w:ind w:left="3647" w:hanging="360"/>
      </w:pPr>
    </w:lvl>
    <w:lvl w:ilvl="4" w:tplc="0C090019" w:tentative="1">
      <w:start w:val="1"/>
      <w:numFmt w:val="lowerLetter"/>
      <w:lvlText w:val="%5."/>
      <w:lvlJc w:val="left"/>
      <w:pPr>
        <w:ind w:left="4367" w:hanging="360"/>
      </w:pPr>
    </w:lvl>
    <w:lvl w:ilvl="5" w:tplc="0C09001B" w:tentative="1">
      <w:start w:val="1"/>
      <w:numFmt w:val="lowerRoman"/>
      <w:lvlText w:val="%6."/>
      <w:lvlJc w:val="right"/>
      <w:pPr>
        <w:ind w:left="5087" w:hanging="180"/>
      </w:pPr>
    </w:lvl>
    <w:lvl w:ilvl="6" w:tplc="0C09000F" w:tentative="1">
      <w:start w:val="1"/>
      <w:numFmt w:val="decimal"/>
      <w:lvlText w:val="%7."/>
      <w:lvlJc w:val="left"/>
      <w:pPr>
        <w:ind w:left="5807" w:hanging="360"/>
      </w:pPr>
    </w:lvl>
    <w:lvl w:ilvl="7" w:tplc="0C090019" w:tentative="1">
      <w:start w:val="1"/>
      <w:numFmt w:val="lowerLetter"/>
      <w:lvlText w:val="%8."/>
      <w:lvlJc w:val="left"/>
      <w:pPr>
        <w:ind w:left="6527" w:hanging="360"/>
      </w:pPr>
    </w:lvl>
    <w:lvl w:ilvl="8" w:tplc="0C09001B" w:tentative="1">
      <w:start w:val="1"/>
      <w:numFmt w:val="lowerRoman"/>
      <w:lvlText w:val="%9."/>
      <w:lvlJc w:val="right"/>
      <w:pPr>
        <w:ind w:left="7247" w:hanging="180"/>
      </w:pPr>
    </w:lvl>
  </w:abstractNum>
  <w:abstractNum w:abstractNumId="10" w15:restartNumberingAfterBreak="0">
    <w:nsid w:val="165C08BB"/>
    <w:multiLevelType w:val="hybridMultilevel"/>
    <w:tmpl w:val="BA2CBFE2"/>
    <w:lvl w:ilvl="0" w:tplc="FFFFFFFF">
      <w:start w:val="1"/>
      <w:numFmt w:val="upperRoman"/>
      <w:lvlText w:val="%1."/>
      <w:lvlJc w:val="right"/>
      <w:pPr>
        <w:ind w:left="1457" w:hanging="360"/>
      </w:pPr>
    </w:lvl>
    <w:lvl w:ilvl="1" w:tplc="FFFFFFFF" w:tentative="1">
      <w:start w:val="1"/>
      <w:numFmt w:val="lowerLetter"/>
      <w:lvlText w:val="%2."/>
      <w:lvlJc w:val="left"/>
      <w:pPr>
        <w:ind w:left="2177" w:hanging="360"/>
      </w:pPr>
    </w:lvl>
    <w:lvl w:ilvl="2" w:tplc="FFFFFFFF" w:tentative="1">
      <w:start w:val="1"/>
      <w:numFmt w:val="lowerRoman"/>
      <w:lvlText w:val="%3."/>
      <w:lvlJc w:val="right"/>
      <w:pPr>
        <w:ind w:left="2897" w:hanging="180"/>
      </w:pPr>
    </w:lvl>
    <w:lvl w:ilvl="3" w:tplc="FFFFFFFF" w:tentative="1">
      <w:start w:val="1"/>
      <w:numFmt w:val="decimal"/>
      <w:lvlText w:val="%4."/>
      <w:lvlJc w:val="left"/>
      <w:pPr>
        <w:ind w:left="3617" w:hanging="360"/>
      </w:pPr>
    </w:lvl>
    <w:lvl w:ilvl="4" w:tplc="FFFFFFFF" w:tentative="1">
      <w:start w:val="1"/>
      <w:numFmt w:val="lowerLetter"/>
      <w:lvlText w:val="%5."/>
      <w:lvlJc w:val="left"/>
      <w:pPr>
        <w:ind w:left="4337" w:hanging="360"/>
      </w:pPr>
    </w:lvl>
    <w:lvl w:ilvl="5" w:tplc="FFFFFFFF" w:tentative="1">
      <w:start w:val="1"/>
      <w:numFmt w:val="lowerRoman"/>
      <w:lvlText w:val="%6."/>
      <w:lvlJc w:val="right"/>
      <w:pPr>
        <w:ind w:left="5057" w:hanging="180"/>
      </w:pPr>
    </w:lvl>
    <w:lvl w:ilvl="6" w:tplc="FFFFFFFF" w:tentative="1">
      <w:start w:val="1"/>
      <w:numFmt w:val="decimal"/>
      <w:lvlText w:val="%7."/>
      <w:lvlJc w:val="left"/>
      <w:pPr>
        <w:ind w:left="5777" w:hanging="360"/>
      </w:pPr>
    </w:lvl>
    <w:lvl w:ilvl="7" w:tplc="FFFFFFFF" w:tentative="1">
      <w:start w:val="1"/>
      <w:numFmt w:val="lowerLetter"/>
      <w:lvlText w:val="%8."/>
      <w:lvlJc w:val="left"/>
      <w:pPr>
        <w:ind w:left="6497" w:hanging="360"/>
      </w:pPr>
    </w:lvl>
    <w:lvl w:ilvl="8" w:tplc="FFFFFFFF" w:tentative="1">
      <w:start w:val="1"/>
      <w:numFmt w:val="lowerRoman"/>
      <w:lvlText w:val="%9."/>
      <w:lvlJc w:val="right"/>
      <w:pPr>
        <w:ind w:left="7217" w:hanging="180"/>
      </w:pPr>
    </w:lvl>
  </w:abstractNum>
  <w:abstractNum w:abstractNumId="11"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7D624ED"/>
    <w:multiLevelType w:val="hybridMultilevel"/>
    <w:tmpl w:val="85DE2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AD2397"/>
    <w:multiLevelType w:val="hybridMultilevel"/>
    <w:tmpl w:val="E5E06506"/>
    <w:lvl w:ilvl="0" w:tplc="FFFFFFFF">
      <w:start w:val="1"/>
      <w:numFmt w:val="upperRoman"/>
      <w:lvlText w:val="%1."/>
      <w:lvlJc w:val="right"/>
      <w:pPr>
        <w:ind w:left="1110" w:hanging="39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5F6EF8"/>
    <w:multiLevelType w:val="hybridMultilevel"/>
    <w:tmpl w:val="BA2CBFE2"/>
    <w:lvl w:ilvl="0" w:tplc="0C090013">
      <w:start w:val="1"/>
      <w:numFmt w:val="upperRoman"/>
      <w:lvlText w:val="%1."/>
      <w:lvlJc w:val="righ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6" w15:restartNumberingAfterBreak="0">
    <w:nsid w:val="20EE0F58"/>
    <w:multiLevelType w:val="hybridMultilevel"/>
    <w:tmpl w:val="31F01B80"/>
    <w:lvl w:ilvl="0" w:tplc="7746159C">
      <w:start w:val="1"/>
      <w:numFmt w:val="bullet"/>
      <w:pStyle w:val="Bullet1"/>
      <w:lvlText w:val=""/>
      <w:lvlJc w:val="left"/>
      <w:pPr>
        <w:tabs>
          <w:tab w:val="num" w:pos="340"/>
        </w:tabs>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147AC1"/>
    <w:multiLevelType w:val="hybridMultilevel"/>
    <w:tmpl w:val="B13847F4"/>
    <w:lvl w:ilvl="0" w:tplc="0C09000F">
      <w:start w:val="1"/>
      <w:numFmt w:val="decimal"/>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8" w15:restartNumberingAfterBreak="0">
    <w:nsid w:val="287963EF"/>
    <w:multiLevelType w:val="hybridMultilevel"/>
    <w:tmpl w:val="08809BB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0"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305E37BC"/>
    <w:multiLevelType w:val="multilevel"/>
    <w:tmpl w:val="4AB455C8"/>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tabs>
          <w:tab w:val="num" w:pos="567"/>
        </w:tabs>
        <w:ind w:left="567" w:hanging="567"/>
      </w:pPr>
      <w:rPr>
        <w:rFonts w:hint="default"/>
      </w:rPr>
    </w:lvl>
    <w:lvl w:ilvl="2">
      <w:start w:val="1"/>
      <w:numFmt w:val="decimal"/>
      <w:pStyle w:val="Heading3numbered"/>
      <w:lvlText w:val="%1.%2.%3"/>
      <w:lvlJc w:val="left"/>
      <w:pPr>
        <w:tabs>
          <w:tab w:val="num" w:pos="567"/>
        </w:tabs>
        <w:ind w:left="567" w:hanging="567"/>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35ED058F"/>
    <w:multiLevelType w:val="hybridMultilevel"/>
    <w:tmpl w:val="7040B10A"/>
    <w:lvl w:ilvl="0" w:tplc="0C090019">
      <w:start w:val="1"/>
      <w:numFmt w:val="lowerLetter"/>
      <w:lvlText w:val="%1."/>
      <w:lvlJc w:val="left"/>
      <w:pPr>
        <w:tabs>
          <w:tab w:val="num" w:pos="340"/>
        </w:tabs>
        <w:ind w:left="340" w:hanging="34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82D5AF0"/>
    <w:multiLevelType w:val="hybridMultilevel"/>
    <w:tmpl w:val="C31ED3AE"/>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3B9A489D"/>
    <w:multiLevelType w:val="multilevel"/>
    <w:tmpl w:val="18E09786"/>
    <w:styleLink w:val="CurrentList9"/>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5F5D9F"/>
    <w:multiLevelType w:val="hybridMultilevel"/>
    <w:tmpl w:val="AF943B74"/>
    <w:lvl w:ilvl="0" w:tplc="0C09000F">
      <w:start w:val="1"/>
      <w:numFmt w:val="decimal"/>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27"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233235"/>
    <w:multiLevelType w:val="hybridMultilevel"/>
    <w:tmpl w:val="C0A64BBC"/>
    <w:lvl w:ilvl="0" w:tplc="0C09000F">
      <w:start w:val="1"/>
      <w:numFmt w:val="decimal"/>
      <w:lvlText w:val="%1."/>
      <w:lvlJc w:val="left"/>
      <w:pPr>
        <w:ind w:left="820" w:hanging="360"/>
      </w:pPr>
    </w:lvl>
    <w:lvl w:ilvl="1" w:tplc="0C090019" w:tentative="1">
      <w:start w:val="1"/>
      <w:numFmt w:val="lowerLetter"/>
      <w:lvlText w:val="%2."/>
      <w:lvlJc w:val="left"/>
      <w:pPr>
        <w:ind w:left="1540" w:hanging="360"/>
      </w:pPr>
    </w:lvl>
    <w:lvl w:ilvl="2" w:tplc="0C09001B" w:tentative="1">
      <w:start w:val="1"/>
      <w:numFmt w:val="lowerRoman"/>
      <w:lvlText w:val="%3."/>
      <w:lvlJc w:val="right"/>
      <w:pPr>
        <w:ind w:left="2260" w:hanging="180"/>
      </w:pPr>
    </w:lvl>
    <w:lvl w:ilvl="3" w:tplc="0C09000F" w:tentative="1">
      <w:start w:val="1"/>
      <w:numFmt w:val="decimal"/>
      <w:lvlText w:val="%4."/>
      <w:lvlJc w:val="left"/>
      <w:pPr>
        <w:ind w:left="2980" w:hanging="360"/>
      </w:pPr>
    </w:lvl>
    <w:lvl w:ilvl="4" w:tplc="0C090019" w:tentative="1">
      <w:start w:val="1"/>
      <w:numFmt w:val="lowerLetter"/>
      <w:lvlText w:val="%5."/>
      <w:lvlJc w:val="left"/>
      <w:pPr>
        <w:ind w:left="3700" w:hanging="360"/>
      </w:pPr>
    </w:lvl>
    <w:lvl w:ilvl="5" w:tplc="0C09001B" w:tentative="1">
      <w:start w:val="1"/>
      <w:numFmt w:val="lowerRoman"/>
      <w:lvlText w:val="%6."/>
      <w:lvlJc w:val="right"/>
      <w:pPr>
        <w:ind w:left="4420" w:hanging="180"/>
      </w:pPr>
    </w:lvl>
    <w:lvl w:ilvl="6" w:tplc="0C09000F" w:tentative="1">
      <w:start w:val="1"/>
      <w:numFmt w:val="decimal"/>
      <w:lvlText w:val="%7."/>
      <w:lvlJc w:val="left"/>
      <w:pPr>
        <w:ind w:left="5140" w:hanging="360"/>
      </w:pPr>
    </w:lvl>
    <w:lvl w:ilvl="7" w:tplc="0C090019" w:tentative="1">
      <w:start w:val="1"/>
      <w:numFmt w:val="lowerLetter"/>
      <w:lvlText w:val="%8."/>
      <w:lvlJc w:val="left"/>
      <w:pPr>
        <w:ind w:left="5860" w:hanging="360"/>
      </w:pPr>
    </w:lvl>
    <w:lvl w:ilvl="8" w:tplc="0C09001B" w:tentative="1">
      <w:start w:val="1"/>
      <w:numFmt w:val="lowerRoman"/>
      <w:lvlText w:val="%9."/>
      <w:lvlJc w:val="right"/>
      <w:pPr>
        <w:ind w:left="6580" w:hanging="180"/>
      </w:pPr>
    </w:lvl>
  </w:abstractNum>
  <w:abstractNum w:abstractNumId="29" w15:restartNumberingAfterBreak="0">
    <w:nsid w:val="48D97703"/>
    <w:multiLevelType w:val="hybridMultilevel"/>
    <w:tmpl w:val="1116B952"/>
    <w:lvl w:ilvl="0" w:tplc="B5DA161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4BB06A9C"/>
    <w:multiLevelType w:val="hybridMultilevel"/>
    <w:tmpl w:val="4240FB9E"/>
    <w:lvl w:ilvl="0" w:tplc="B5DA1612">
      <w:start w:val="1"/>
      <w:numFmt w:val="lowerRoman"/>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D685D1D"/>
    <w:multiLevelType w:val="hybridMultilevel"/>
    <w:tmpl w:val="E5E06506"/>
    <w:lvl w:ilvl="0" w:tplc="FFFFFFFF">
      <w:start w:val="1"/>
      <w:numFmt w:val="upperRoman"/>
      <w:lvlText w:val="%1."/>
      <w:lvlJc w:val="right"/>
      <w:pPr>
        <w:ind w:left="1517" w:hanging="390"/>
      </w:pPr>
      <w:rPr>
        <w:rFonts w:hint="default"/>
      </w:rPr>
    </w:lvl>
    <w:lvl w:ilvl="1" w:tplc="FFFFFFFF" w:tentative="1">
      <w:start w:val="1"/>
      <w:numFmt w:val="lowerLetter"/>
      <w:lvlText w:val="%2."/>
      <w:lvlJc w:val="left"/>
      <w:pPr>
        <w:ind w:left="2207" w:hanging="360"/>
      </w:pPr>
    </w:lvl>
    <w:lvl w:ilvl="2" w:tplc="FFFFFFFF" w:tentative="1">
      <w:start w:val="1"/>
      <w:numFmt w:val="lowerRoman"/>
      <w:lvlText w:val="%3."/>
      <w:lvlJc w:val="right"/>
      <w:pPr>
        <w:ind w:left="2927" w:hanging="180"/>
      </w:pPr>
    </w:lvl>
    <w:lvl w:ilvl="3" w:tplc="FFFFFFFF" w:tentative="1">
      <w:start w:val="1"/>
      <w:numFmt w:val="decimal"/>
      <w:lvlText w:val="%4."/>
      <w:lvlJc w:val="left"/>
      <w:pPr>
        <w:ind w:left="3647" w:hanging="360"/>
      </w:pPr>
    </w:lvl>
    <w:lvl w:ilvl="4" w:tplc="FFFFFFFF" w:tentative="1">
      <w:start w:val="1"/>
      <w:numFmt w:val="lowerLetter"/>
      <w:lvlText w:val="%5."/>
      <w:lvlJc w:val="left"/>
      <w:pPr>
        <w:ind w:left="4367" w:hanging="360"/>
      </w:pPr>
    </w:lvl>
    <w:lvl w:ilvl="5" w:tplc="FFFFFFFF" w:tentative="1">
      <w:start w:val="1"/>
      <w:numFmt w:val="lowerRoman"/>
      <w:lvlText w:val="%6."/>
      <w:lvlJc w:val="right"/>
      <w:pPr>
        <w:ind w:left="5087" w:hanging="180"/>
      </w:pPr>
    </w:lvl>
    <w:lvl w:ilvl="6" w:tplc="FFFFFFFF" w:tentative="1">
      <w:start w:val="1"/>
      <w:numFmt w:val="decimal"/>
      <w:lvlText w:val="%7."/>
      <w:lvlJc w:val="left"/>
      <w:pPr>
        <w:ind w:left="5807" w:hanging="360"/>
      </w:pPr>
    </w:lvl>
    <w:lvl w:ilvl="7" w:tplc="FFFFFFFF" w:tentative="1">
      <w:start w:val="1"/>
      <w:numFmt w:val="lowerLetter"/>
      <w:lvlText w:val="%8."/>
      <w:lvlJc w:val="left"/>
      <w:pPr>
        <w:ind w:left="6527" w:hanging="360"/>
      </w:pPr>
    </w:lvl>
    <w:lvl w:ilvl="8" w:tplc="FFFFFFFF" w:tentative="1">
      <w:start w:val="1"/>
      <w:numFmt w:val="lowerRoman"/>
      <w:lvlText w:val="%9."/>
      <w:lvlJc w:val="right"/>
      <w:pPr>
        <w:ind w:left="7247" w:hanging="180"/>
      </w:pPr>
    </w:lvl>
  </w:abstractNum>
  <w:abstractNum w:abstractNumId="32" w15:restartNumberingAfterBreak="0">
    <w:nsid w:val="4D6E3EDD"/>
    <w:multiLevelType w:val="hybridMultilevel"/>
    <w:tmpl w:val="75CEE8D4"/>
    <w:lvl w:ilvl="0" w:tplc="FFFFFFFF">
      <w:start w:val="1"/>
      <w:numFmt w:val="decimal"/>
      <w:lvlText w:val="%1."/>
      <w:lvlJc w:val="left"/>
      <w:pPr>
        <w:ind w:left="1174" w:hanging="720"/>
      </w:pPr>
      <w:rPr>
        <w:rFonts w:hint="default"/>
      </w:rPr>
    </w:lvl>
    <w:lvl w:ilvl="1" w:tplc="0C090013">
      <w:start w:val="1"/>
      <w:numFmt w:val="upperRoman"/>
      <w:lvlText w:val="%2."/>
      <w:lvlJc w:val="right"/>
      <w:pPr>
        <w:ind w:left="1457"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33"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E1337F"/>
    <w:multiLevelType w:val="hybridMultilevel"/>
    <w:tmpl w:val="8D6E282E"/>
    <w:lvl w:ilvl="0" w:tplc="0C09000F">
      <w:start w:val="1"/>
      <w:numFmt w:val="decimal"/>
      <w:lvlText w:val="%1."/>
      <w:lvlJc w:val="lef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35" w15:restartNumberingAfterBreak="0">
    <w:nsid w:val="5B26040B"/>
    <w:multiLevelType w:val="multilevel"/>
    <w:tmpl w:val="7318FD3A"/>
    <w:name w:val="Lst_Notes"/>
    <w:lvl w:ilvl="0">
      <w:start w:val="1"/>
      <w:numFmt w:val="lowerLetter"/>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6"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2CA3B4C"/>
    <w:multiLevelType w:val="hybridMultilevel"/>
    <w:tmpl w:val="08F4DDAE"/>
    <w:lvl w:ilvl="0" w:tplc="436274D6">
      <w:start w:val="2"/>
      <w:numFmt w:val="lowerLetter"/>
      <w:pStyle w:val="Listparagrapha"/>
      <w:lvlText w:val="%1."/>
      <w:lvlJc w:val="left"/>
      <w:pPr>
        <w:tabs>
          <w:tab w:val="num" w:pos="340"/>
        </w:tabs>
        <w:ind w:left="340" w:hanging="34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7EB66F7"/>
    <w:multiLevelType w:val="hybridMultilevel"/>
    <w:tmpl w:val="B802A9B0"/>
    <w:lvl w:ilvl="0" w:tplc="0C09000F">
      <w:start w:val="1"/>
      <w:numFmt w:val="decimal"/>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39" w15:restartNumberingAfterBreak="0">
    <w:nsid w:val="698B4613"/>
    <w:multiLevelType w:val="hybridMultilevel"/>
    <w:tmpl w:val="1EA046D4"/>
    <w:lvl w:ilvl="0" w:tplc="489E63D4">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2155C52"/>
    <w:multiLevelType w:val="hybridMultilevel"/>
    <w:tmpl w:val="D9C262D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31D65E9"/>
    <w:multiLevelType w:val="hybridMultilevel"/>
    <w:tmpl w:val="8F425C38"/>
    <w:lvl w:ilvl="0" w:tplc="54303112">
      <w:start w:val="1"/>
      <w:numFmt w:val="bullet"/>
      <w:pStyle w:val="ListBullet2"/>
      <w:lvlText w:val=""/>
      <w:lvlJc w:val="left"/>
      <w:pPr>
        <w:ind w:left="717" w:hanging="360"/>
      </w:pPr>
      <w:rPr>
        <w:rFonts w:ascii="Wingdings" w:hAnsi="Wingdings"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2" w15:restartNumberingAfterBreak="0">
    <w:nsid w:val="74B5123D"/>
    <w:multiLevelType w:val="hybridMultilevel"/>
    <w:tmpl w:val="C4DE2F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7DA36A8"/>
    <w:multiLevelType w:val="hybridMultilevel"/>
    <w:tmpl w:val="13ECA414"/>
    <w:lvl w:ilvl="0" w:tplc="0C090017">
      <w:start w:val="1"/>
      <w:numFmt w:val="lowerLetter"/>
      <w:lvlText w:val="%1)"/>
      <w:lvlJc w:val="left"/>
      <w:pPr>
        <w:tabs>
          <w:tab w:val="num" w:pos="340"/>
        </w:tabs>
        <w:ind w:left="340" w:hanging="3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7E15032"/>
    <w:multiLevelType w:val="multilevel"/>
    <w:tmpl w:val="4F0A98C6"/>
    <w:lvl w:ilvl="0">
      <w:start w:val="1"/>
      <w:numFmt w:val="lowerLetter"/>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bullet"/>
      <w:lvlText w:val=""/>
      <w:lvlJc w:val="left"/>
      <w:pPr>
        <w:ind w:left="928" w:hanging="360"/>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5" w15:restartNumberingAfterBreak="0">
    <w:nsid w:val="788E2C6B"/>
    <w:multiLevelType w:val="hybridMultilevel"/>
    <w:tmpl w:val="A4B64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CA92CF3"/>
    <w:multiLevelType w:val="hybridMultilevel"/>
    <w:tmpl w:val="BC20AFD0"/>
    <w:lvl w:ilvl="0" w:tplc="38CC735C">
      <w:start w:val="1"/>
      <w:numFmt w:val="bullet"/>
      <w:pStyle w:val="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9077567">
    <w:abstractNumId w:val="16"/>
  </w:num>
  <w:num w:numId="2" w16cid:durableId="2084981408">
    <w:abstractNumId w:val="21"/>
  </w:num>
  <w:num w:numId="3" w16cid:durableId="601570190">
    <w:abstractNumId w:val="46"/>
  </w:num>
  <w:num w:numId="4" w16cid:durableId="1813522522">
    <w:abstractNumId w:val="2"/>
  </w:num>
  <w:num w:numId="5" w16cid:durableId="533276510">
    <w:abstractNumId w:val="41"/>
  </w:num>
  <w:num w:numId="6" w16cid:durableId="771362055">
    <w:abstractNumId w:val="1"/>
  </w:num>
  <w:num w:numId="7" w16cid:durableId="3823149">
    <w:abstractNumId w:val="33"/>
  </w:num>
  <w:num w:numId="8" w16cid:durableId="338390637">
    <w:abstractNumId w:val="4"/>
  </w:num>
  <w:num w:numId="9" w16cid:durableId="182984412">
    <w:abstractNumId w:val="37"/>
  </w:num>
  <w:num w:numId="10" w16cid:durableId="853954488">
    <w:abstractNumId w:val="27"/>
  </w:num>
  <w:num w:numId="11" w16cid:durableId="307325374">
    <w:abstractNumId w:val="14"/>
  </w:num>
  <w:num w:numId="12" w16cid:durableId="1207567416">
    <w:abstractNumId w:val="20"/>
  </w:num>
  <w:num w:numId="13" w16cid:durableId="1714499310">
    <w:abstractNumId w:val="19"/>
  </w:num>
  <w:num w:numId="14" w16cid:durableId="1557817223">
    <w:abstractNumId w:val="36"/>
  </w:num>
  <w:num w:numId="15" w16cid:durableId="766468131">
    <w:abstractNumId w:val="7"/>
  </w:num>
  <w:num w:numId="16" w16cid:durableId="401634644">
    <w:abstractNumId w:val="3"/>
  </w:num>
  <w:num w:numId="17" w16cid:durableId="2004504209">
    <w:abstractNumId w:val="24"/>
  </w:num>
  <w:num w:numId="18" w16cid:durableId="1333338980">
    <w:abstractNumId w:val="11"/>
  </w:num>
  <w:num w:numId="19" w16cid:durableId="2077896738">
    <w:abstractNumId w:val="25"/>
  </w:num>
  <w:num w:numId="20" w16cid:durableId="318195612">
    <w:abstractNumId w:val="0"/>
  </w:num>
  <w:num w:numId="21" w16cid:durableId="1838032338">
    <w:abstractNumId w:val="39"/>
  </w:num>
  <w:num w:numId="22" w16cid:durableId="2079814576">
    <w:abstractNumId w:val="5"/>
  </w:num>
  <w:num w:numId="23" w16cid:durableId="197548056">
    <w:abstractNumId w:val="35"/>
  </w:num>
  <w:num w:numId="24" w16cid:durableId="525486676">
    <w:abstractNumId w:val="6"/>
  </w:num>
  <w:num w:numId="25" w16cid:durableId="332414914">
    <w:abstractNumId w:val="9"/>
  </w:num>
  <w:num w:numId="26" w16cid:durableId="1672558666">
    <w:abstractNumId w:val="15"/>
  </w:num>
  <w:num w:numId="27" w16cid:durableId="1625769679">
    <w:abstractNumId w:val="22"/>
  </w:num>
  <w:num w:numId="28" w16cid:durableId="221332506">
    <w:abstractNumId w:val="13"/>
  </w:num>
  <w:num w:numId="29" w16cid:durableId="1051541442">
    <w:abstractNumId w:val="18"/>
  </w:num>
  <w:num w:numId="30" w16cid:durableId="1731028029">
    <w:abstractNumId w:val="31"/>
  </w:num>
  <w:num w:numId="31" w16cid:durableId="1904440215">
    <w:abstractNumId w:val="37"/>
    <w:lvlOverride w:ilvl="0">
      <w:startOverride w:val="2"/>
    </w:lvlOverride>
  </w:num>
  <w:num w:numId="32" w16cid:durableId="1883513085">
    <w:abstractNumId w:val="28"/>
  </w:num>
  <w:num w:numId="33" w16cid:durableId="803082386">
    <w:abstractNumId w:val="29"/>
  </w:num>
  <w:num w:numId="34" w16cid:durableId="1765150171">
    <w:abstractNumId w:val="30"/>
  </w:num>
  <w:num w:numId="35" w16cid:durableId="1901478924">
    <w:abstractNumId w:val="23"/>
  </w:num>
  <w:num w:numId="36" w16cid:durableId="1190795015">
    <w:abstractNumId w:val="44"/>
  </w:num>
  <w:num w:numId="37" w16cid:durableId="2802642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77401228">
    <w:abstractNumId w:val="45"/>
  </w:num>
  <w:num w:numId="39" w16cid:durableId="1952010402">
    <w:abstractNumId w:val="12"/>
  </w:num>
  <w:num w:numId="40" w16cid:durableId="1787701512">
    <w:abstractNumId w:val="26"/>
  </w:num>
  <w:num w:numId="41" w16cid:durableId="838420697">
    <w:abstractNumId w:val="38"/>
  </w:num>
  <w:num w:numId="42" w16cid:durableId="1727413418">
    <w:abstractNumId w:val="8"/>
  </w:num>
  <w:num w:numId="43" w16cid:durableId="197282598">
    <w:abstractNumId w:val="17"/>
  </w:num>
  <w:num w:numId="44" w16cid:durableId="1467968871">
    <w:abstractNumId w:val="34"/>
  </w:num>
  <w:num w:numId="45" w16cid:durableId="1441026668">
    <w:abstractNumId w:val="32"/>
  </w:num>
  <w:num w:numId="46" w16cid:durableId="196502450">
    <w:abstractNumId w:val="10"/>
  </w:num>
  <w:num w:numId="47" w16cid:durableId="1672874637">
    <w:abstractNumId w:val="42"/>
  </w:num>
  <w:num w:numId="48" w16cid:durableId="982462459">
    <w:abstractNumId w:val="40"/>
  </w:num>
  <w:num w:numId="49" w16cid:durableId="150996665">
    <w:abstractNumId w:val="4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embedSystemFonts/>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CB"/>
    <w:rsid w:val="000107B8"/>
    <w:rsid w:val="00010851"/>
    <w:rsid w:val="00010D69"/>
    <w:rsid w:val="00010DC5"/>
    <w:rsid w:val="0001112D"/>
    <w:rsid w:val="00012E47"/>
    <w:rsid w:val="0001637C"/>
    <w:rsid w:val="00022699"/>
    <w:rsid w:val="000233A5"/>
    <w:rsid w:val="00024EED"/>
    <w:rsid w:val="00031981"/>
    <w:rsid w:val="00031E2F"/>
    <w:rsid w:val="00032E97"/>
    <w:rsid w:val="00033D9B"/>
    <w:rsid w:val="0003412F"/>
    <w:rsid w:val="000359EA"/>
    <w:rsid w:val="00040921"/>
    <w:rsid w:val="000428A1"/>
    <w:rsid w:val="00050478"/>
    <w:rsid w:val="00050C98"/>
    <w:rsid w:val="00057438"/>
    <w:rsid w:val="00061582"/>
    <w:rsid w:val="00062E2A"/>
    <w:rsid w:val="000679F3"/>
    <w:rsid w:val="00072E7A"/>
    <w:rsid w:val="00076389"/>
    <w:rsid w:val="00080EBD"/>
    <w:rsid w:val="00083280"/>
    <w:rsid w:val="0008620F"/>
    <w:rsid w:val="000948D5"/>
    <w:rsid w:val="000955EF"/>
    <w:rsid w:val="000A6951"/>
    <w:rsid w:val="000A6B1E"/>
    <w:rsid w:val="000B0305"/>
    <w:rsid w:val="000B04DF"/>
    <w:rsid w:val="000B3DB8"/>
    <w:rsid w:val="000B4798"/>
    <w:rsid w:val="000B4D10"/>
    <w:rsid w:val="000B54EB"/>
    <w:rsid w:val="000B62B5"/>
    <w:rsid w:val="000C2EF6"/>
    <w:rsid w:val="000C3B86"/>
    <w:rsid w:val="000C4A37"/>
    <w:rsid w:val="000C4B11"/>
    <w:rsid w:val="000D50CC"/>
    <w:rsid w:val="000D5CF4"/>
    <w:rsid w:val="000D6B8D"/>
    <w:rsid w:val="000D6D46"/>
    <w:rsid w:val="000D7D56"/>
    <w:rsid w:val="000E24A9"/>
    <w:rsid w:val="000E63F6"/>
    <w:rsid w:val="000F3FFF"/>
    <w:rsid w:val="000F638A"/>
    <w:rsid w:val="00101019"/>
    <w:rsid w:val="001073C1"/>
    <w:rsid w:val="00107EFB"/>
    <w:rsid w:val="0011141A"/>
    <w:rsid w:val="001161D8"/>
    <w:rsid w:val="0011626A"/>
    <w:rsid w:val="00117475"/>
    <w:rsid w:val="00117664"/>
    <w:rsid w:val="00117865"/>
    <w:rsid w:val="00120114"/>
    <w:rsid w:val="001208B1"/>
    <w:rsid w:val="00124CDD"/>
    <w:rsid w:val="00124E1B"/>
    <w:rsid w:val="00125150"/>
    <w:rsid w:val="001273C5"/>
    <w:rsid w:val="00133812"/>
    <w:rsid w:val="00135B36"/>
    <w:rsid w:val="00137141"/>
    <w:rsid w:val="0014246B"/>
    <w:rsid w:val="001447B0"/>
    <w:rsid w:val="001500AB"/>
    <w:rsid w:val="00151489"/>
    <w:rsid w:val="00155071"/>
    <w:rsid w:val="001576E5"/>
    <w:rsid w:val="00157746"/>
    <w:rsid w:val="0016227F"/>
    <w:rsid w:val="001627D6"/>
    <w:rsid w:val="00164312"/>
    <w:rsid w:val="0016655B"/>
    <w:rsid w:val="00167401"/>
    <w:rsid w:val="00173D51"/>
    <w:rsid w:val="00175022"/>
    <w:rsid w:val="0017719C"/>
    <w:rsid w:val="00192E95"/>
    <w:rsid w:val="00197C73"/>
    <w:rsid w:val="001A2CAB"/>
    <w:rsid w:val="001A358E"/>
    <w:rsid w:val="001A5E24"/>
    <w:rsid w:val="001A76AC"/>
    <w:rsid w:val="001B01EA"/>
    <w:rsid w:val="001B02D0"/>
    <w:rsid w:val="001B29FB"/>
    <w:rsid w:val="001B2A51"/>
    <w:rsid w:val="001C10D8"/>
    <w:rsid w:val="001C1B8D"/>
    <w:rsid w:val="001C203D"/>
    <w:rsid w:val="001D3828"/>
    <w:rsid w:val="001D559A"/>
    <w:rsid w:val="001D63EE"/>
    <w:rsid w:val="001E3D82"/>
    <w:rsid w:val="001E3FB4"/>
    <w:rsid w:val="001E4846"/>
    <w:rsid w:val="001E5B8F"/>
    <w:rsid w:val="001E6288"/>
    <w:rsid w:val="001F2925"/>
    <w:rsid w:val="001F3AA8"/>
    <w:rsid w:val="001F560C"/>
    <w:rsid w:val="001F5B23"/>
    <w:rsid w:val="001F5DE0"/>
    <w:rsid w:val="002006E2"/>
    <w:rsid w:val="00200EF8"/>
    <w:rsid w:val="00202852"/>
    <w:rsid w:val="00202A5B"/>
    <w:rsid w:val="00203EC3"/>
    <w:rsid w:val="00203F83"/>
    <w:rsid w:val="002045FA"/>
    <w:rsid w:val="00204AA7"/>
    <w:rsid w:val="00204C76"/>
    <w:rsid w:val="00205752"/>
    <w:rsid w:val="00211D78"/>
    <w:rsid w:val="00212461"/>
    <w:rsid w:val="002133D3"/>
    <w:rsid w:val="002143C5"/>
    <w:rsid w:val="00215E01"/>
    <w:rsid w:val="00215F58"/>
    <w:rsid w:val="00217786"/>
    <w:rsid w:val="00220F1A"/>
    <w:rsid w:val="00221C30"/>
    <w:rsid w:val="00224810"/>
    <w:rsid w:val="00226AE5"/>
    <w:rsid w:val="00235460"/>
    <w:rsid w:val="00236EB6"/>
    <w:rsid w:val="0023791E"/>
    <w:rsid w:val="00241796"/>
    <w:rsid w:val="00241E12"/>
    <w:rsid w:val="00243E1A"/>
    <w:rsid w:val="00244E10"/>
    <w:rsid w:val="0024556C"/>
    <w:rsid w:val="002460FA"/>
    <w:rsid w:val="00246FC7"/>
    <w:rsid w:val="00252B69"/>
    <w:rsid w:val="00255D4E"/>
    <w:rsid w:val="002612BF"/>
    <w:rsid w:val="0026182E"/>
    <w:rsid w:val="002651C2"/>
    <w:rsid w:val="00266DF9"/>
    <w:rsid w:val="00267599"/>
    <w:rsid w:val="00270F19"/>
    <w:rsid w:val="00275455"/>
    <w:rsid w:val="00275F35"/>
    <w:rsid w:val="00276F9F"/>
    <w:rsid w:val="00277282"/>
    <w:rsid w:val="00281919"/>
    <w:rsid w:val="00281939"/>
    <w:rsid w:val="00281B78"/>
    <w:rsid w:val="00281D41"/>
    <w:rsid w:val="00283316"/>
    <w:rsid w:val="002834BF"/>
    <w:rsid w:val="002848F0"/>
    <w:rsid w:val="002859C9"/>
    <w:rsid w:val="00285B57"/>
    <w:rsid w:val="00287102"/>
    <w:rsid w:val="00294F62"/>
    <w:rsid w:val="00295CE3"/>
    <w:rsid w:val="0029675A"/>
    <w:rsid w:val="002A5245"/>
    <w:rsid w:val="002B2AAB"/>
    <w:rsid w:val="002B3AFC"/>
    <w:rsid w:val="002C1C2B"/>
    <w:rsid w:val="002C28EE"/>
    <w:rsid w:val="002C3499"/>
    <w:rsid w:val="002C476C"/>
    <w:rsid w:val="002C75FC"/>
    <w:rsid w:val="002D0028"/>
    <w:rsid w:val="002D10AD"/>
    <w:rsid w:val="002D2205"/>
    <w:rsid w:val="002D70AB"/>
    <w:rsid w:val="002D7423"/>
    <w:rsid w:val="002E4FE6"/>
    <w:rsid w:val="002E5B24"/>
    <w:rsid w:val="002F0246"/>
    <w:rsid w:val="002F14D3"/>
    <w:rsid w:val="002F2CD2"/>
    <w:rsid w:val="002F37E8"/>
    <w:rsid w:val="00302EE5"/>
    <w:rsid w:val="0030512A"/>
    <w:rsid w:val="0030625E"/>
    <w:rsid w:val="00307275"/>
    <w:rsid w:val="0031002A"/>
    <w:rsid w:val="00310A9D"/>
    <w:rsid w:val="003116DC"/>
    <w:rsid w:val="0032080C"/>
    <w:rsid w:val="00320E94"/>
    <w:rsid w:val="003226E3"/>
    <w:rsid w:val="00323ACA"/>
    <w:rsid w:val="003273DC"/>
    <w:rsid w:val="00333B9F"/>
    <w:rsid w:val="003366DE"/>
    <w:rsid w:val="003367D8"/>
    <w:rsid w:val="00337320"/>
    <w:rsid w:val="00344E27"/>
    <w:rsid w:val="00354C90"/>
    <w:rsid w:val="00356ED0"/>
    <w:rsid w:val="0035765B"/>
    <w:rsid w:val="003616B0"/>
    <w:rsid w:val="00361F30"/>
    <w:rsid w:val="0036411F"/>
    <w:rsid w:val="00364BF1"/>
    <w:rsid w:val="003652A6"/>
    <w:rsid w:val="0036568D"/>
    <w:rsid w:val="00365844"/>
    <w:rsid w:val="00373CBE"/>
    <w:rsid w:val="00375BB3"/>
    <w:rsid w:val="003805A1"/>
    <w:rsid w:val="003815C1"/>
    <w:rsid w:val="00387064"/>
    <w:rsid w:val="0038776E"/>
    <w:rsid w:val="00395B17"/>
    <w:rsid w:val="00395E51"/>
    <w:rsid w:val="0039730A"/>
    <w:rsid w:val="00397BEF"/>
    <w:rsid w:val="003A0ADE"/>
    <w:rsid w:val="003A3671"/>
    <w:rsid w:val="003A37C0"/>
    <w:rsid w:val="003A6086"/>
    <w:rsid w:val="003A72BB"/>
    <w:rsid w:val="003B0637"/>
    <w:rsid w:val="003B19F1"/>
    <w:rsid w:val="003B25BA"/>
    <w:rsid w:val="003B406F"/>
    <w:rsid w:val="003B59DE"/>
    <w:rsid w:val="003B5EE4"/>
    <w:rsid w:val="003B75EE"/>
    <w:rsid w:val="003C103D"/>
    <w:rsid w:val="003C2291"/>
    <w:rsid w:val="003C2FC4"/>
    <w:rsid w:val="003C52FA"/>
    <w:rsid w:val="003C7DED"/>
    <w:rsid w:val="003D20C5"/>
    <w:rsid w:val="003D662B"/>
    <w:rsid w:val="003D7F11"/>
    <w:rsid w:val="003E25EB"/>
    <w:rsid w:val="003E2840"/>
    <w:rsid w:val="003E3C61"/>
    <w:rsid w:val="003F0020"/>
    <w:rsid w:val="003F0B1D"/>
    <w:rsid w:val="003F3D0A"/>
    <w:rsid w:val="003F789B"/>
    <w:rsid w:val="0040225E"/>
    <w:rsid w:val="00403F69"/>
    <w:rsid w:val="004042FD"/>
    <w:rsid w:val="00404B9B"/>
    <w:rsid w:val="00404F0E"/>
    <w:rsid w:val="004125B1"/>
    <w:rsid w:val="004159A8"/>
    <w:rsid w:val="00415AE2"/>
    <w:rsid w:val="004163B5"/>
    <w:rsid w:val="00422600"/>
    <w:rsid w:val="00426399"/>
    <w:rsid w:val="00432373"/>
    <w:rsid w:val="00443F23"/>
    <w:rsid w:val="00451ABC"/>
    <w:rsid w:val="0045371F"/>
    <w:rsid w:val="004554EA"/>
    <w:rsid w:val="00460D9F"/>
    <w:rsid w:val="004613E6"/>
    <w:rsid w:val="00463C15"/>
    <w:rsid w:val="00465046"/>
    <w:rsid w:val="00465147"/>
    <w:rsid w:val="0046520A"/>
    <w:rsid w:val="00467B58"/>
    <w:rsid w:val="00470799"/>
    <w:rsid w:val="0047515D"/>
    <w:rsid w:val="00477B94"/>
    <w:rsid w:val="004800AF"/>
    <w:rsid w:val="00482333"/>
    <w:rsid w:val="004848D5"/>
    <w:rsid w:val="0049516A"/>
    <w:rsid w:val="00496C7B"/>
    <w:rsid w:val="00496CA8"/>
    <w:rsid w:val="004A0E5A"/>
    <w:rsid w:val="004A12D7"/>
    <w:rsid w:val="004A4AFD"/>
    <w:rsid w:val="004A68CA"/>
    <w:rsid w:val="004B0853"/>
    <w:rsid w:val="004B20C4"/>
    <w:rsid w:val="004B2747"/>
    <w:rsid w:val="004B30FB"/>
    <w:rsid w:val="004B3D1F"/>
    <w:rsid w:val="004B6761"/>
    <w:rsid w:val="004C1AF6"/>
    <w:rsid w:val="004C5429"/>
    <w:rsid w:val="004C57B3"/>
    <w:rsid w:val="004D2222"/>
    <w:rsid w:val="004D249E"/>
    <w:rsid w:val="004D4C41"/>
    <w:rsid w:val="004E2129"/>
    <w:rsid w:val="004E27D7"/>
    <w:rsid w:val="004E2D9F"/>
    <w:rsid w:val="004E3871"/>
    <w:rsid w:val="004E4CDE"/>
    <w:rsid w:val="004E69D9"/>
    <w:rsid w:val="004E6FB6"/>
    <w:rsid w:val="004E794F"/>
    <w:rsid w:val="004F5F68"/>
    <w:rsid w:val="004F6362"/>
    <w:rsid w:val="00503151"/>
    <w:rsid w:val="00506B0D"/>
    <w:rsid w:val="00515813"/>
    <w:rsid w:val="005163BE"/>
    <w:rsid w:val="0052413F"/>
    <w:rsid w:val="0052641D"/>
    <w:rsid w:val="00526FFF"/>
    <w:rsid w:val="00533019"/>
    <w:rsid w:val="0053353B"/>
    <w:rsid w:val="00533D9D"/>
    <w:rsid w:val="00536DD7"/>
    <w:rsid w:val="005477F2"/>
    <w:rsid w:val="00551C42"/>
    <w:rsid w:val="005554F3"/>
    <w:rsid w:val="00555CD9"/>
    <w:rsid w:val="00556105"/>
    <w:rsid w:val="005576D8"/>
    <w:rsid w:val="00560A3A"/>
    <w:rsid w:val="00561F0D"/>
    <w:rsid w:val="00561FF9"/>
    <w:rsid w:val="005631CB"/>
    <w:rsid w:val="00564079"/>
    <w:rsid w:val="00567419"/>
    <w:rsid w:val="0057371C"/>
    <w:rsid w:val="0057561A"/>
    <w:rsid w:val="00576223"/>
    <w:rsid w:val="005773C6"/>
    <w:rsid w:val="00577564"/>
    <w:rsid w:val="00577C9B"/>
    <w:rsid w:val="005832F7"/>
    <w:rsid w:val="0058333B"/>
    <w:rsid w:val="00586167"/>
    <w:rsid w:val="005916AD"/>
    <w:rsid w:val="00591ADD"/>
    <w:rsid w:val="00591F88"/>
    <w:rsid w:val="00597962"/>
    <w:rsid w:val="005A6B8F"/>
    <w:rsid w:val="005A6C19"/>
    <w:rsid w:val="005B08F4"/>
    <w:rsid w:val="005B0BB4"/>
    <w:rsid w:val="005B32C4"/>
    <w:rsid w:val="005B3FC1"/>
    <w:rsid w:val="005B593D"/>
    <w:rsid w:val="005C0B03"/>
    <w:rsid w:val="005C1D42"/>
    <w:rsid w:val="005C1E18"/>
    <w:rsid w:val="005C3DA0"/>
    <w:rsid w:val="005C4602"/>
    <w:rsid w:val="005C79C1"/>
    <w:rsid w:val="005D01C1"/>
    <w:rsid w:val="005D1F35"/>
    <w:rsid w:val="005D212E"/>
    <w:rsid w:val="005D4668"/>
    <w:rsid w:val="005D632D"/>
    <w:rsid w:val="005D72B8"/>
    <w:rsid w:val="005E156F"/>
    <w:rsid w:val="005E17E3"/>
    <w:rsid w:val="005E2862"/>
    <w:rsid w:val="005E28CD"/>
    <w:rsid w:val="005E35F2"/>
    <w:rsid w:val="005E393E"/>
    <w:rsid w:val="005E3F95"/>
    <w:rsid w:val="005E78E7"/>
    <w:rsid w:val="005F1A1C"/>
    <w:rsid w:val="005F6AB9"/>
    <w:rsid w:val="005F6D39"/>
    <w:rsid w:val="00600DD3"/>
    <w:rsid w:val="00605A83"/>
    <w:rsid w:val="006065CE"/>
    <w:rsid w:val="00606B80"/>
    <w:rsid w:val="006074D6"/>
    <w:rsid w:val="00612140"/>
    <w:rsid w:val="00612275"/>
    <w:rsid w:val="00614950"/>
    <w:rsid w:val="006178DA"/>
    <w:rsid w:val="00620098"/>
    <w:rsid w:val="0062057E"/>
    <w:rsid w:val="0062675C"/>
    <w:rsid w:val="00631A1C"/>
    <w:rsid w:val="00635DC0"/>
    <w:rsid w:val="006368F9"/>
    <w:rsid w:val="00640384"/>
    <w:rsid w:val="0064117E"/>
    <w:rsid w:val="00644D6D"/>
    <w:rsid w:val="006450BD"/>
    <w:rsid w:val="00645230"/>
    <w:rsid w:val="006466AF"/>
    <w:rsid w:val="0064713B"/>
    <w:rsid w:val="00647C94"/>
    <w:rsid w:val="00654C75"/>
    <w:rsid w:val="00655572"/>
    <w:rsid w:val="00655684"/>
    <w:rsid w:val="00661920"/>
    <w:rsid w:val="00665393"/>
    <w:rsid w:val="0066718A"/>
    <w:rsid w:val="00673096"/>
    <w:rsid w:val="006771A5"/>
    <w:rsid w:val="0068129E"/>
    <w:rsid w:val="00685689"/>
    <w:rsid w:val="00690389"/>
    <w:rsid w:val="006919E5"/>
    <w:rsid w:val="006945EC"/>
    <w:rsid w:val="00694A15"/>
    <w:rsid w:val="00695E0E"/>
    <w:rsid w:val="006971D4"/>
    <w:rsid w:val="00697371"/>
    <w:rsid w:val="006A10BE"/>
    <w:rsid w:val="006A4A3B"/>
    <w:rsid w:val="006A593A"/>
    <w:rsid w:val="006B1C80"/>
    <w:rsid w:val="006B484F"/>
    <w:rsid w:val="006C1FD7"/>
    <w:rsid w:val="006C46DF"/>
    <w:rsid w:val="006C474B"/>
    <w:rsid w:val="006C5A6C"/>
    <w:rsid w:val="006C6A8E"/>
    <w:rsid w:val="006D2494"/>
    <w:rsid w:val="006D30B7"/>
    <w:rsid w:val="006D3AA8"/>
    <w:rsid w:val="006D4F10"/>
    <w:rsid w:val="006D501B"/>
    <w:rsid w:val="006E27D9"/>
    <w:rsid w:val="006E4E2B"/>
    <w:rsid w:val="006F21CF"/>
    <w:rsid w:val="006F3D62"/>
    <w:rsid w:val="00700119"/>
    <w:rsid w:val="007007B0"/>
    <w:rsid w:val="00700BF1"/>
    <w:rsid w:val="007058A8"/>
    <w:rsid w:val="00705A1D"/>
    <w:rsid w:val="007067FF"/>
    <w:rsid w:val="00707EB3"/>
    <w:rsid w:val="007168D5"/>
    <w:rsid w:val="00717609"/>
    <w:rsid w:val="007238C1"/>
    <w:rsid w:val="0072524A"/>
    <w:rsid w:val="007274DE"/>
    <w:rsid w:val="00727579"/>
    <w:rsid w:val="007309A0"/>
    <w:rsid w:val="0073229A"/>
    <w:rsid w:val="00732B15"/>
    <w:rsid w:val="00733E6C"/>
    <w:rsid w:val="007357C6"/>
    <w:rsid w:val="00735E7D"/>
    <w:rsid w:val="00740461"/>
    <w:rsid w:val="007428E8"/>
    <w:rsid w:val="00743016"/>
    <w:rsid w:val="00744288"/>
    <w:rsid w:val="00746A37"/>
    <w:rsid w:val="007500CB"/>
    <w:rsid w:val="00750D1B"/>
    <w:rsid w:val="00751007"/>
    <w:rsid w:val="0075369E"/>
    <w:rsid w:val="00760099"/>
    <w:rsid w:val="00773F73"/>
    <w:rsid w:val="00777CF7"/>
    <w:rsid w:val="007823AB"/>
    <w:rsid w:val="00783E43"/>
    <w:rsid w:val="00785918"/>
    <w:rsid w:val="007911D0"/>
    <w:rsid w:val="0079189B"/>
    <w:rsid w:val="00792EDE"/>
    <w:rsid w:val="00794783"/>
    <w:rsid w:val="007947B9"/>
    <w:rsid w:val="00794A3D"/>
    <w:rsid w:val="00796BE3"/>
    <w:rsid w:val="00796F46"/>
    <w:rsid w:val="007A0A9B"/>
    <w:rsid w:val="007A16FB"/>
    <w:rsid w:val="007A261A"/>
    <w:rsid w:val="007A286A"/>
    <w:rsid w:val="007A2F7E"/>
    <w:rsid w:val="007A397E"/>
    <w:rsid w:val="007A3CE0"/>
    <w:rsid w:val="007A4D7C"/>
    <w:rsid w:val="007A5581"/>
    <w:rsid w:val="007A5F5C"/>
    <w:rsid w:val="007A7ED1"/>
    <w:rsid w:val="007B1C6F"/>
    <w:rsid w:val="007B211D"/>
    <w:rsid w:val="007B38B8"/>
    <w:rsid w:val="007B509C"/>
    <w:rsid w:val="007C1E53"/>
    <w:rsid w:val="007C3D9D"/>
    <w:rsid w:val="007C6E4B"/>
    <w:rsid w:val="007D5225"/>
    <w:rsid w:val="007D58CB"/>
    <w:rsid w:val="007E1678"/>
    <w:rsid w:val="007F39FA"/>
    <w:rsid w:val="007F6BDB"/>
    <w:rsid w:val="007F748D"/>
    <w:rsid w:val="007F7EC1"/>
    <w:rsid w:val="008017BC"/>
    <w:rsid w:val="008022DB"/>
    <w:rsid w:val="00803E96"/>
    <w:rsid w:val="00807062"/>
    <w:rsid w:val="008071AB"/>
    <w:rsid w:val="008117BD"/>
    <w:rsid w:val="00817039"/>
    <w:rsid w:val="00821B93"/>
    <w:rsid w:val="008221C6"/>
    <w:rsid w:val="008263F5"/>
    <w:rsid w:val="0082692C"/>
    <w:rsid w:val="008273AC"/>
    <w:rsid w:val="00827815"/>
    <w:rsid w:val="00834655"/>
    <w:rsid w:val="00840D56"/>
    <w:rsid w:val="00840E7A"/>
    <w:rsid w:val="008423C5"/>
    <w:rsid w:val="008424E1"/>
    <w:rsid w:val="00843FAE"/>
    <w:rsid w:val="008475CB"/>
    <w:rsid w:val="00847D81"/>
    <w:rsid w:val="008533DB"/>
    <w:rsid w:val="0085496D"/>
    <w:rsid w:val="008576D0"/>
    <w:rsid w:val="00860D29"/>
    <w:rsid w:val="00861E73"/>
    <w:rsid w:val="00862B3C"/>
    <w:rsid w:val="0087169A"/>
    <w:rsid w:val="00873335"/>
    <w:rsid w:val="00873367"/>
    <w:rsid w:val="008737F4"/>
    <w:rsid w:val="0087727E"/>
    <w:rsid w:val="00877B4F"/>
    <w:rsid w:val="00880486"/>
    <w:rsid w:val="00880B31"/>
    <w:rsid w:val="00882FA5"/>
    <w:rsid w:val="008838E5"/>
    <w:rsid w:val="00886D42"/>
    <w:rsid w:val="00887A99"/>
    <w:rsid w:val="008940B0"/>
    <w:rsid w:val="008941D0"/>
    <w:rsid w:val="008A44D0"/>
    <w:rsid w:val="008B1BED"/>
    <w:rsid w:val="008B5C1A"/>
    <w:rsid w:val="008B677A"/>
    <w:rsid w:val="008C3C73"/>
    <w:rsid w:val="008C3D83"/>
    <w:rsid w:val="008C53BF"/>
    <w:rsid w:val="008C71C0"/>
    <w:rsid w:val="008D1271"/>
    <w:rsid w:val="008D2EAE"/>
    <w:rsid w:val="008D320B"/>
    <w:rsid w:val="008D6369"/>
    <w:rsid w:val="008E0DEB"/>
    <w:rsid w:val="008E3888"/>
    <w:rsid w:val="008E52B5"/>
    <w:rsid w:val="008F046F"/>
    <w:rsid w:val="008F4140"/>
    <w:rsid w:val="008F7A82"/>
    <w:rsid w:val="00902477"/>
    <w:rsid w:val="00904039"/>
    <w:rsid w:val="00906787"/>
    <w:rsid w:val="00910401"/>
    <w:rsid w:val="00912DD1"/>
    <w:rsid w:val="009200F5"/>
    <w:rsid w:val="00921343"/>
    <w:rsid w:val="0092583D"/>
    <w:rsid w:val="0092598B"/>
    <w:rsid w:val="009315B6"/>
    <w:rsid w:val="00932FA4"/>
    <w:rsid w:val="009330F7"/>
    <w:rsid w:val="0093403C"/>
    <w:rsid w:val="009340D4"/>
    <w:rsid w:val="00941629"/>
    <w:rsid w:val="00946719"/>
    <w:rsid w:val="009471FD"/>
    <w:rsid w:val="00952804"/>
    <w:rsid w:val="009644D7"/>
    <w:rsid w:val="0097314D"/>
    <w:rsid w:val="009746FC"/>
    <w:rsid w:val="009761D2"/>
    <w:rsid w:val="009815F4"/>
    <w:rsid w:val="00985C7A"/>
    <w:rsid w:val="009917D5"/>
    <w:rsid w:val="009975BF"/>
    <w:rsid w:val="009A05E5"/>
    <w:rsid w:val="009A13B9"/>
    <w:rsid w:val="009A37D5"/>
    <w:rsid w:val="009A4D50"/>
    <w:rsid w:val="009A6EF8"/>
    <w:rsid w:val="009B0A79"/>
    <w:rsid w:val="009B1B48"/>
    <w:rsid w:val="009B3D95"/>
    <w:rsid w:val="009B69B9"/>
    <w:rsid w:val="009C03D6"/>
    <w:rsid w:val="009C565D"/>
    <w:rsid w:val="009D1E59"/>
    <w:rsid w:val="009D3FEB"/>
    <w:rsid w:val="009D7B95"/>
    <w:rsid w:val="009E0BA6"/>
    <w:rsid w:val="009E5947"/>
    <w:rsid w:val="009E77D3"/>
    <w:rsid w:val="009F080E"/>
    <w:rsid w:val="009F3079"/>
    <w:rsid w:val="009F5E71"/>
    <w:rsid w:val="00A00B9F"/>
    <w:rsid w:val="00A01EBF"/>
    <w:rsid w:val="00A02CAE"/>
    <w:rsid w:val="00A05E6A"/>
    <w:rsid w:val="00A10A48"/>
    <w:rsid w:val="00A10D57"/>
    <w:rsid w:val="00A11574"/>
    <w:rsid w:val="00A124C8"/>
    <w:rsid w:val="00A13984"/>
    <w:rsid w:val="00A1451D"/>
    <w:rsid w:val="00A17ABB"/>
    <w:rsid w:val="00A32BCC"/>
    <w:rsid w:val="00A33877"/>
    <w:rsid w:val="00A355B5"/>
    <w:rsid w:val="00A3786E"/>
    <w:rsid w:val="00A42F8A"/>
    <w:rsid w:val="00A51F00"/>
    <w:rsid w:val="00A52158"/>
    <w:rsid w:val="00A56B9D"/>
    <w:rsid w:val="00A578A6"/>
    <w:rsid w:val="00A62213"/>
    <w:rsid w:val="00A639B8"/>
    <w:rsid w:val="00A679C4"/>
    <w:rsid w:val="00A719AE"/>
    <w:rsid w:val="00A72005"/>
    <w:rsid w:val="00A77BD3"/>
    <w:rsid w:val="00A803C5"/>
    <w:rsid w:val="00A8405E"/>
    <w:rsid w:val="00A93914"/>
    <w:rsid w:val="00A96A11"/>
    <w:rsid w:val="00A96FA1"/>
    <w:rsid w:val="00AA2B7D"/>
    <w:rsid w:val="00AA5B5D"/>
    <w:rsid w:val="00AA6F0C"/>
    <w:rsid w:val="00AA79E7"/>
    <w:rsid w:val="00AB0035"/>
    <w:rsid w:val="00AB025E"/>
    <w:rsid w:val="00AB1FD0"/>
    <w:rsid w:val="00AB6104"/>
    <w:rsid w:val="00AB7AA5"/>
    <w:rsid w:val="00AB7BD4"/>
    <w:rsid w:val="00AC000E"/>
    <w:rsid w:val="00AC0373"/>
    <w:rsid w:val="00AC0A70"/>
    <w:rsid w:val="00AC2C01"/>
    <w:rsid w:val="00AC6D47"/>
    <w:rsid w:val="00AE0866"/>
    <w:rsid w:val="00AE397A"/>
    <w:rsid w:val="00AE3D4A"/>
    <w:rsid w:val="00AE4CCC"/>
    <w:rsid w:val="00AE5021"/>
    <w:rsid w:val="00AE5E53"/>
    <w:rsid w:val="00AE6D3C"/>
    <w:rsid w:val="00AF1E43"/>
    <w:rsid w:val="00AF2811"/>
    <w:rsid w:val="00B01AE9"/>
    <w:rsid w:val="00B01E54"/>
    <w:rsid w:val="00B046A7"/>
    <w:rsid w:val="00B05C06"/>
    <w:rsid w:val="00B10B68"/>
    <w:rsid w:val="00B142F1"/>
    <w:rsid w:val="00B14FBE"/>
    <w:rsid w:val="00B17C75"/>
    <w:rsid w:val="00B20C33"/>
    <w:rsid w:val="00B21FD7"/>
    <w:rsid w:val="00B24ECD"/>
    <w:rsid w:val="00B25632"/>
    <w:rsid w:val="00B2595B"/>
    <w:rsid w:val="00B26C38"/>
    <w:rsid w:val="00B31513"/>
    <w:rsid w:val="00B32F3E"/>
    <w:rsid w:val="00B3716F"/>
    <w:rsid w:val="00B405CA"/>
    <w:rsid w:val="00B437D8"/>
    <w:rsid w:val="00B44AFE"/>
    <w:rsid w:val="00B44F24"/>
    <w:rsid w:val="00B51BFC"/>
    <w:rsid w:val="00B520CF"/>
    <w:rsid w:val="00B53E70"/>
    <w:rsid w:val="00B573B1"/>
    <w:rsid w:val="00B60888"/>
    <w:rsid w:val="00B6631A"/>
    <w:rsid w:val="00B66945"/>
    <w:rsid w:val="00B67D6C"/>
    <w:rsid w:val="00B70EF0"/>
    <w:rsid w:val="00B712B3"/>
    <w:rsid w:val="00B729B8"/>
    <w:rsid w:val="00B72AF9"/>
    <w:rsid w:val="00B75868"/>
    <w:rsid w:val="00B80DD2"/>
    <w:rsid w:val="00B81EE8"/>
    <w:rsid w:val="00B830C6"/>
    <w:rsid w:val="00B84C3C"/>
    <w:rsid w:val="00B868B3"/>
    <w:rsid w:val="00B903A1"/>
    <w:rsid w:val="00B91663"/>
    <w:rsid w:val="00B917C2"/>
    <w:rsid w:val="00B92A56"/>
    <w:rsid w:val="00B936B1"/>
    <w:rsid w:val="00BA2EE9"/>
    <w:rsid w:val="00BA4CD9"/>
    <w:rsid w:val="00BA7499"/>
    <w:rsid w:val="00BA789A"/>
    <w:rsid w:val="00BB00B2"/>
    <w:rsid w:val="00BB07A2"/>
    <w:rsid w:val="00BB1F8A"/>
    <w:rsid w:val="00BB7BE8"/>
    <w:rsid w:val="00BC0A72"/>
    <w:rsid w:val="00BC16F1"/>
    <w:rsid w:val="00BC2466"/>
    <w:rsid w:val="00BC3D73"/>
    <w:rsid w:val="00BC579A"/>
    <w:rsid w:val="00BD09C8"/>
    <w:rsid w:val="00BD4BF3"/>
    <w:rsid w:val="00BE09AD"/>
    <w:rsid w:val="00BE09DE"/>
    <w:rsid w:val="00BE0A9F"/>
    <w:rsid w:val="00BE1D28"/>
    <w:rsid w:val="00BE1D2C"/>
    <w:rsid w:val="00BE55E0"/>
    <w:rsid w:val="00C07BD3"/>
    <w:rsid w:val="00C122AF"/>
    <w:rsid w:val="00C14FE6"/>
    <w:rsid w:val="00C173AC"/>
    <w:rsid w:val="00C20D01"/>
    <w:rsid w:val="00C20FF4"/>
    <w:rsid w:val="00C211F9"/>
    <w:rsid w:val="00C27F85"/>
    <w:rsid w:val="00C30746"/>
    <w:rsid w:val="00C31727"/>
    <w:rsid w:val="00C34F59"/>
    <w:rsid w:val="00C359CF"/>
    <w:rsid w:val="00C3751A"/>
    <w:rsid w:val="00C403DA"/>
    <w:rsid w:val="00C41C44"/>
    <w:rsid w:val="00C41F25"/>
    <w:rsid w:val="00C4388C"/>
    <w:rsid w:val="00C442A1"/>
    <w:rsid w:val="00C45D2C"/>
    <w:rsid w:val="00C4747C"/>
    <w:rsid w:val="00C54AEA"/>
    <w:rsid w:val="00C6259B"/>
    <w:rsid w:val="00C62E58"/>
    <w:rsid w:val="00C71AEC"/>
    <w:rsid w:val="00C7257A"/>
    <w:rsid w:val="00C85073"/>
    <w:rsid w:val="00C979AE"/>
    <w:rsid w:val="00CA5BB3"/>
    <w:rsid w:val="00CB7B56"/>
    <w:rsid w:val="00CC42F5"/>
    <w:rsid w:val="00CD0281"/>
    <w:rsid w:val="00CD0AA8"/>
    <w:rsid w:val="00CD2217"/>
    <w:rsid w:val="00CD6B35"/>
    <w:rsid w:val="00CE6D79"/>
    <w:rsid w:val="00CF2380"/>
    <w:rsid w:val="00CF32F8"/>
    <w:rsid w:val="00D020CB"/>
    <w:rsid w:val="00D02576"/>
    <w:rsid w:val="00D03821"/>
    <w:rsid w:val="00D04BFD"/>
    <w:rsid w:val="00D06B56"/>
    <w:rsid w:val="00D10395"/>
    <w:rsid w:val="00D162E1"/>
    <w:rsid w:val="00D21970"/>
    <w:rsid w:val="00D26A00"/>
    <w:rsid w:val="00D2776A"/>
    <w:rsid w:val="00D35365"/>
    <w:rsid w:val="00D35C47"/>
    <w:rsid w:val="00D444FB"/>
    <w:rsid w:val="00D44761"/>
    <w:rsid w:val="00D46731"/>
    <w:rsid w:val="00D4679C"/>
    <w:rsid w:val="00D46D5D"/>
    <w:rsid w:val="00D507B7"/>
    <w:rsid w:val="00D50B49"/>
    <w:rsid w:val="00D54C6D"/>
    <w:rsid w:val="00D6002A"/>
    <w:rsid w:val="00D702BD"/>
    <w:rsid w:val="00D74B90"/>
    <w:rsid w:val="00D75499"/>
    <w:rsid w:val="00D80C5C"/>
    <w:rsid w:val="00D85946"/>
    <w:rsid w:val="00D85A42"/>
    <w:rsid w:val="00D8607F"/>
    <w:rsid w:val="00D90626"/>
    <w:rsid w:val="00D913AE"/>
    <w:rsid w:val="00D9151B"/>
    <w:rsid w:val="00D91EF3"/>
    <w:rsid w:val="00D937B7"/>
    <w:rsid w:val="00D93C8E"/>
    <w:rsid w:val="00D96D47"/>
    <w:rsid w:val="00D96D80"/>
    <w:rsid w:val="00DA292A"/>
    <w:rsid w:val="00DA3185"/>
    <w:rsid w:val="00DA34B2"/>
    <w:rsid w:val="00DB03F0"/>
    <w:rsid w:val="00DC0304"/>
    <w:rsid w:val="00DC3981"/>
    <w:rsid w:val="00DC3BE3"/>
    <w:rsid w:val="00DC5B96"/>
    <w:rsid w:val="00DC733D"/>
    <w:rsid w:val="00DD0307"/>
    <w:rsid w:val="00DD5664"/>
    <w:rsid w:val="00DD7B63"/>
    <w:rsid w:val="00DD7E54"/>
    <w:rsid w:val="00DE1DFB"/>
    <w:rsid w:val="00DE2B09"/>
    <w:rsid w:val="00DF071B"/>
    <w:rsid w:val="00DF42C4"/>
    <w:rsid w:val="00E00AC8"/>
    <w:rsid w:val="00E00C8A"/>
    <w:rsid w:val="00E02D83"/>
    <w:rsid w:val="00E04241"/>
    <w:rsid w:val="00E04A32"/>
    <w:rsid w:val="00E0582A"/>
    <w:rsid w:val="00E11A71"/>
    <w:rsid w:val="00E12E94"/>
    <w:rsid w:val="00E157A5"/>
    <w:rsid w:val="00E173F5"/>
    <w:rsid w:val="00E20BCE"/>
    <w:rsid w:val="00E22FC8"/>
    <w:rsid w:val="00E233B9"/>
    <w:rsid w:val="00E257F1"/>
    <w:rsid w:val="00E315EE"/>
    <w:rsid w:val="00E33D57"/>
    <w:rsid w:val="00E34BDE"/>
    <w:rsid w:val="00E36745"/>
    <w:rsid w:val="00E37727"/>
    <w:rsid w:val="00E42F9B"/>
    <w:rsid w:val="00E43765"/>
    <w:rsid w:val="00E44F14"/>
    <w:rsid w:val="00E45EA4"/>
    <w:rsid w:val="00E51A07"/>
    <w:rsid w:val="00E602B9"/>
    <w:rsid w:val="00E6081B"/>
    <w:rsid w:val="00E6112B"/>
    <w:rsid w:val="00E638FF"/>
    <w:rsid w:val="00E65843"/>
    <w:rsid w:val="00E73843"/>
    <w:rsid w:val="00E74B07"/>
    <w:rsid w:val="00E74BEE"/>
    <w:rsid w:val="00E76977"/>
    <w:rsid w:val="00E777B9"/>
    <w:rsid w:val="00E819C7"/>
    <w:rsid w:val="00E83CE8"/>
    <w:rsid w:val="00E84DB1"/>
    <w:rsid w:val="00E924AC"/>
    <w:rsid w:val="00E97655"/>
    <w:rsid w:val="00E97956"/>
    <w:rsid w:val="00EA20C5"/>
    <w:rsid w:val="00EA25AF"/>
    <w:rsid w:val="00EB0B7D"/>
    <w:rsid w:val="00EB323D"/>
    <w:rsid w:val="00EB4C72"/>
    <w:rsid w:val="00EC3A2D"/>
    <w:rsid w:val="00EC41EA"/>
    <w:rsid w:val="00EC5782"/>
    <w:rsid w:val="00ED05B4"/>
    <w:rsid w:val="00ED1FD5"/>
    <w:rsid w:val="00ED7F5D"/>
    <w:rsid w:val="00EE035A"/>
    <w:rsid w:val="00EE1E51"/>
    <w:rsid w:val="00EE2A32"/>
    <w:rsid w:val="00EE5012"/>
    <w:rsid w:val="00EF4A7F"/>
    <w:rsid w:val="00F03287"/>
    <w:rsid w:val="00F12CC8"/>
    <w:rsid w:val="00F138AD"/>
    <w:rsid w:val="00F138D1"/>
    <w:rsid w:val="00F14FDC"/>
    <w:rsid w:val="00F1500A"/>
    <w:rsid w:val="00F1549B"/>
    <w:rsid w:val="00F1720B"/>
    <w:rsid w:val="00F21502"/>
    <w:rsid w:val="00F22814"/>
    <w:rsid w:val="00F22A91"/>
    <w:rsid w:val="00F24B33"/>
    <w:rsid w:val="00F26E05"/>
    <w:rsid w:val="00F2730B"/>
    <w:rsid w:val="00F303C8"/>
    <w:rsid w:val="00F32C3C"/>
    <w:rsid w:val="00F32CC8"/>
    <w:rsid w:val="00F32F35"/>
    <w:rsid w:val="00F331C5"/>
    <w:rsid w:val="00F3506F"/>
    <w:rsid w:val="00F35BAE"/>
    <w:rsid w:val="00F40591"/>
    <w:rsid w:val="00F41266"/>
    <w:rsid w:val="00F41B13"/>
    <w:rsid w:val="00F42BD0"/>
    <w:rsid w:val="00F436FF"/>
    <w:rsid w:val="00F4697E"/>
    <w:rsid w:val="00F47FFE"/>
    <w:rsid w:val="00F51A0F"/>
    <w:rsid w:val="00F53526"/>
    <w:rsid w:val="00F67317"/>
    <w:rsid w:val="00F727A5"/>
    <w:rsid w:val="00F731B4"/>
    <w:rsid w:val="00F76859"/>
    <w:rsid w:val="00F76A61"/>
    <w:rsid w:val="00F81B23"/>
    <w:rsid w:val="00F8538E"/>
    <w:rsid w:val="00F9130D"/>
    <w:rsid w:val="00F92244"/>
    <w:rsid w:val="00F93CBE"/>
    <w:rsid w:val="00F96312"/>
    <w:rsid w:val="00FA1B3F"/>
    <w:rsid w:val="00FA272C"/>
    <w:rsid w:val="00FA613A"/>
    <w:rsid w:val="00FB14EE"/>
    <w:rsid w:val="00FB2E83"/>
    <w:rsid w:val="00FB755C"/>
    <w:rsid w:val="00FB7831"/>
    <w:rsid w:val="00FB7B79"/>
    <w:rsid w:val="00FC1016"/>
    <w:rsid w:val="00FC10F2"/>
    <w:rsid w:val="00FC11A8"/>
    <w:rsid w:val="00FC4832"/>
    <w:rsid w:val="00FC5101"/>
    <w:rsid w:val="00FD538C"/>
    <w:rsid w:val="00FD5B58"/>
    <w:rsid w:val="00FD5EAB"/>
    <w:rsid w:val="00FE0B68"/>
    <w:rsid w:val="00FE0FCD"/>
    <w:rsid w:val="00FE202F"/>
    <w:rsid w:val="00FE3D6F"/>
    <w:rsid w:val="00FE4DB0"/>
    <w:rsid w:val="00FE53F9"/>
    <w:rsid w:val="00FE7995"/>
    <w:rsid w:val="00FF1D95"/>
    <w:rsid w:val="00FF2BF6"/>
    <w:rsid w:val="00FF4764"/>
    <w:rsid w:val="00FF4BA2"/>
    <w:rsid w:val="00FF78F6"/>
    <w:rsid w:val="011A163B"/>
    <w:rsid w:val="04DAADA0"/>
    <w:rsid w:val="17C834F8"/>
    <w:rsid w:val="260910B6"/>
    <w:rsid w:val="434C3A7B"/>
    <w:rsid w:val="68D73864"/>
    <w:rsid w:val="7BEDFB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C7B47C"/>
  <w14:defaultImageDpi w14:val="0"/>
  <w15:docId w15:val="{26303FC3-5901-45FA-8E45-DBCF7448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06F"/>
    <w:pPr>
      <w:suppressAutoHyphens/>
      <w:spacing w:after="200"/>
    </w:pPr>
    <w:rPr>
      <w:sz w:val="24"/>
    </w:rPr>
  </w:style>
  <w:style w:type="paragraph" w:styleId="Heading1">
    <w:name w:val="heading 1"/>
    <w:basedOn w:val="Normal"/>
    <w:next w:val="Normal"/>
    <w:link w:val="Heading1Char"/>
    <w:uiPriority w:val="9"/>
    <w:qFormat/>
    <w:rsid w:val="00404F0E"/>
    <w:pPr>
      <w:keepNext/>
      <w:keepLines/>
      <w:spacing w:before="240" w:after="240"/>
      <w:outlineLvl w:val="0"/>
    </w:pPr>
    <w:rPr>
      <w:rFonts w:asciiTheme="majorHAnsi" w:eastAsiaTheme="majorEastAsia" w:hAnsiTheme="majorHAnsi" w:cs="Times New Roman (Headings CS)"/>
      <w:b/>
      <w:bCs/>
      <w:sz w:val="40"/>
      <w:szCs w:val="36"/>
    </w:rPr>
  </w:style>
  <w:style w:type="paragraph" w:styleId="Heading2">
    <w:name w:val="heading 2"/>
    <w:basedOn w:val="Normal"/>
    <w:next w:val="Normal"/>
    <w:link w:val="Heading2Char"/>
    <w:uiPriority w:val="9"/>
    <w:unhideWhenUsed/>
    <w:qFormat/>
    <w:rsid w:val="00285B57"/>
    <w:pPr>
      <w:keepNext/>
      <w:keepLines/>
      <w:spacing w:before="120" w:after="180"/>
      <w:outlineLvl w:val="1"/>
    </w:pPr>
    <w:rPr>
      <w:rFonts w:asciiTheme="majorHAnsi" w:eastAsiaTheme="majorEastAsia" w:hAnsiTheme="majorHAnsi" w:cstheme="majorBidi"/>
      <w:b/>
      <w:bCs/>
      <w:color w:val="000000" w:themeColor="text1"/>
      <w:sz w:val="32"/>
      <w:szCs w:val="30"/>
      <w:lang w:val="en-GB"/>
    </w:rPr>
  </w:style>
  <w:style w:type="paragraph" w:styleId="Heading3">
    <w:name w:val="heading 3"/>
    <w:basedOn w:val="Normal"/>
    <w:next w:val="Normal"/>
    <w:link w:val="Heading3Char"/>
    <w:uiPriority w:val="9"/>
    <w:unhideWhenUsed/>
    <w:qFormat/>
    <w:rsid w:val="008D2EAE"/>
    <w:pPr>
      <w:keepNext/>
      <w:keepLines/>
      <w:spacing w:before="120" w:after="120"/>
      <w:outlineLvl w:val="2"/>
    </w:pPr>
    <w:rPr>
      <w:rFonts w:asciiTheme="majorHAnsi" w:eastAsiaTheme="majorEastAsia" w:hAnsiTheme="majorHAnsi" w:cstheme="majorBidi"/>
      <w:b/>
      <w:bCs/>
      <w:sz w:val="28"/>
      <w:szCs w:val="26"/>
      <w:lang w:val="en-GB"/>
    </w:rPr>
  </w:style>
  <w:style w:type="paragraph" w:styleId="Heading4">
    <w:name w:val="heading 4"/>
    <w:basedOn w:val="Normal"/>
    <w:next w:val="Normal"/>
    <w:link w:val="Heading4Char"/>
    <w:uiPriority w:val="9"/>
    <w:semiHidden/>
    <w:unhideWhenUsed/>
    <w:qFormat/>
    <w:rsid w:val="007D58CB"/>
    <w:pPr>
      <w:keepNext/>
      <w:keepLines/>
      <w:numPr>
        <w:ilvl w:val="3"/>
        <w:numId w:val="2"/>
      </w:numPr>
      <w:spacing w:before="40" w:after="0"/>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semiHidden/>
    <w:unhideWhenUsed/>
    <w:qFormat/>
    <w:rsid w:val="00BE09D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E09D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E09D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E09D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09D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17"/>
      </w:numPr>
    </w:pPr>
  </w:style>
  <w:style w:type="character" w:customStyle="1" w:styleId="Bold">
    <w:name w:val="Bold"/>
    <w:uiPriority w:val="99"/>
    <w:rPr>
      <w:b/>
      <w:bCs/>
    </w:rPr>
  </w:style>
  <w:style w:type="paragraph" w:styleId="FootnoteText">
    <w:name w:val="footnote text"/>
    <w:basedOn w:val="Normal"/>
    <w:link w:val="FootnoteTextChar"/>
    <w:uiPriority w:val="99"/>
    <w:rsid w:val="002848F0"/>
    <w:pPr>
      <w:tabs>
        <w:tab w:val="left" w:pos="227"/>
      </w:tabs>
      <w:spacing w:after="60" w:line="240" w:lineRule="auto"/>
      <w:ind w:left="227" w:hanging="227"/>
    </w:pPr>
    <w:rPr>
      <w:sz w:val="18"/>
      <w:szCs w:val="20"/>
    </w:rPr>
  </w:style>
  <w:style w:type="character" w:customStyle="1" w:styleId="FootnoteTextChar">
    <w:name w:val="Footnote Text Char"/>
    <w:basedOn w:val="DefaultParagraphFont"/>
    <w:link w:val="FootnoteText"/>
    <w:uiPriority w:val="99"/>
    <w:rsid w:val="002848F0"/>
    <w:rPr>
      <w:sz w:val="18"/>
      <w:szCs w:val="20"/>
    </w:rPr>
  </w:style>
  <w:style w:type="character" w:styleId="FootnoteReference">
    <w:name w:val="footnote reference"/>
    <w:basedOn w:val="DefaultParagraphFont"/>
    <w:uiPriority w:val="99"/>
    <w:semiHidden/>
    <w:unhideWhenUsed/>
    <w:rsid w:val="00F2730B"/>
    <w:rPr>
      <w:vertAlign w:val="superscript"/>
    </w:rPr>
  </w:style>
  <w:style w:type="paragraph" w:customStyle="1" w:styleId="Heading1Headings">
    <w:name w:val="Heading 1 (Headings)"/>
    <w:basedOn w:val="NoParagraphStyle"/>
    <w:uiPriority w:val="99"/>
    <w:rsid w:val="007D58CB"/>
    <w:pPr>
      <w:widowControl/>
      <w:suppressAutoHyphens/>
      <w:spacing w:after="283" w:line="540" w:lineRule="atLeast"/>
    </w:pPr>
    <w:rPr>
      <w:rFonts w:ascii="VIC SemiBold" w:hAnsi="VIC SemiBold" w:cs="VIC SemiBold"/>
      <w:b/>
      <w:bCs/>
      <w:color w:val="000000" w:themeColor="text1"/>
      <w:sz w:val="44"/>
      <w:szCs w:val="44"/>
      <w:lang w:val="en-GB"/>
    </w:rPr>
  </w:style>
  <w:style w:type="paragraph" w:customStyle="1" w:styleId="Number3Lists">
    <w:name w:val="Number 3 (Lists)"/>
    <w:basedOn w:val="Normal"/>
    <w:uiPriority w:val="99"/>
    <w:rsid w:val="00F138D1"/>
    <w:pPr>
      <w:autoSpaceDE w:val="0"/>
      <w:autoSpaceDN w:val="0"/>
      <w:adjustRightInd w:val="0"/>
      <w:spacing w:before="57" w:after="113" w:line="220" w:lineRule="atLeast"/>
      <w:ind w:left="1020" w:hanging="340"/>
      <w:textAlignment w:val="center"/>
    </w:pPr>
    <w:rPr>
      <w:rFonts w:ascii="VIC Light" w:hAnsi="VIC Light" w:cs="VIC Light"/>
      <w:color w:val="000000"/>
      <w:sz w:val="18"/>
      <w:szCs w:val="18"/>
      <w:lang w:val="en-GB"/>
    </w:rPr>
  </w:style>
  <w:style w:type="character" w:customStyle="1" w:styleId="Italic">
    <w:name w:val="Italic"/>
    <w:basedOn w:val="Bold"/>
    <w:uiPriority w:val="99"/>
    <w:rsid w:val="006368F9"/>
    <w:rPr>
      <w:rFonts w:ascii="VIC (OTF) Light Italic" w:hAnsi="VIC (OTF) Light Italic" w:cs="VIC (OTF) Light Italic"/>
      <w:b w:val="0"/>
      <w:bCs w:val="0"/>
      <w:i/>
      <w:iCs/>
    </w:rPr>
  </w:style>
  <w:style w:type="paragraph" w:customStyle="1" w:styleId="Heading3Headings">
    <w:name w:val="Heading 3 (Headings)"/>
    <w:basedOn w:val="NoParagraphStyle"/>
    <w:uiPriority w:val="99"/>
    <w:rsid w:val="006368F9"/>
    <w:pPr>
      <w:widowControl/>
      <w:suppressAutoHyphens/>
      <w:spacing w:before="113" w:after="113" w:line="240" w:lineRule="atLeast"/>
    </w:pPr>
    <w:rPr>
      <w:rFonts w:ascii="VIC" w:hAnsi="VIC" w:cs="VIC"/>
      <w:b/>
      <w:bCs/>
      <w:color w:val="100149"/>
      <w:sz w:val="20"/>
      <w:szCs w:val="20"/>
      <w:lang w:val="en-GB"/>
    </w:rPr>
  </w:style>
  <w:style w:type="paragraph" w:customStyle="1" w:styleId="Bullet1">
    <w:name w:val="Bullet 1"/>
    <w:basedOn w:val="Normal"/>
    <w:uiPriority w:val="99"/>
    <w:rsid w:val="00F138D1"/>
    <w:pPr>
      <w:numPr>
        <w:numId w:val="1"/>
      </w:numPr>
      <w:autoSpaceDE w:val="0"/>
      <w:autoSpaceDN w:val="0"/>
      <w:adjustRightInd w:val="0"/>
      <w:spacing w:after="120" w:line="220" w:lineRule="atLeast"/>
      <w:textAlignment w:val="center"/>
    </w:pPr>
    <w:rPr>
      <w:rFonts w:ascii="Arial" w:hAnsi="Arial" w:cs="Arial"/>
      <w:color w:val="000000"/>
      <w:sz w:val="22"/>
      <w:lang w:val="en-GB"/>
    </w:rPr>
  </w:style>
  <w:style w:type="paragraph" w:customStyle="1" w:styleId="Heading2Headings">
    <w:name w:val="Heading 2 (Headings)"/>
    <w:basedOn w:val="Normal"/>
    <w:uiPriority w:val="99"/>
    <w:rsid w:val="00337320"/>
    <w:pPr>
      <w:autoSpaceDE w:val="0"/>
      <w:autoSpaceDN w:val="0"/>
      <w:adjustRightInd w:val="0"/>
      <w:spacing w:before="227" w:after="113" w:line="280" w:lineRule="atLeast"/>
      <w:ind w:left="460" w:hanging="460"/>
      <w:textAlignment w:val="center"/>
    </w:pPr>
    <w:rPr>
      <w:rFonts w:ascii="VIC SemiBold" w:hAnsi="VIC SemiBold" w:cs="VIC SemiBold"/>
      <w:b/>
      <w:bCs/>
      <w:color w:val="000000" w:themeColor="text1"/>
      <w:szCs w:val="24"/>
      <w:lang w:val="en-GB"/>
    </w:rPr>
  </w:style>
  <w:style w:type="paragraph" w:customStyle="1" w:styleId="Heading5Headings">
    <w:name w:val="Heading 5 (Headings)"/>
    <w:basedOn w:val="NoParagraphStyle"/>
    <w:uiPriority w:val="99"/>
    <w:rsid w:val="006368F9"/>
    <w:pPr>
      <w:widowControl/>
      <w:suppressAutoHyphens/>
      <w:spacing w:before="113" w:after="113" w:line="240" w:lineRule="atLeast"/>
    </w:pPr>
    <w:rPr>
      <w:rFonts w:ascii="VIC" w:hAnsi="VIC" w:cs="VIC"/>
      <w:i/>
      <w:iCs/>
      <w:color w:val="100149"/>
      <w:sz w:val="20"/>
      <w:szCs w:val="20"/>
      <w:lang w:val="en-GB"/>
    </w:rPr>
  </w:style>
  <w:style w:type="paragraph" w:customStyle="1" w:styleId="HeadingPOPulloutbox">
    <w:name w:val="Heading_PO (Pull out box)"/>
    <w:basedOn w:val="NoParagraphStyle"/>
    <w:uiPriority w:val="99"/>
    <w:rsid w:val="00033D9B"/>
    <w:pPr>
      <w:widowControl/>
      <w:suppressAutoHyphens/>
      <w:spacing w:before="57" w:after="113" w:line="280" w:lineRule="atLeast"/>
    </w:pPr>
    <w:rPr>
      <w:rFonts w:ascii="VIC SemiBold" w:hAnsi="VIC SemiBold" w:cs="VIC SemiBold"/>
      <w:b/>
      <w:bCs/>
      <w:color w:val="100149"/>
      <w:sz w:val="26"/>
      <w:szCs w:val="26"/>
      <w:lang w:val="en-GB"/>
    </w:rPr>
  </w:style>
  <w:style w:type="character" w:styleId="Hyperlink">
    <w:name w:val="Hyperlink"/>
    <w:basedOn w:val="DefaultParagraphFont"/>
    <w:uiPriority w:val="99"/>
    <w:rsid w:val="00B66945"/>
    <w:rPr>
      <w:color w:val="205D9E"/>
      <w:u w:val="single" w:color="205D9E"/>
    </w:rPr>
  </w:style>
  <w:style w:type="paragraph" w:customStyle="1" w:styleId="Number2Lists">
    <w:name w:val="Number 2 (Lists)"/>
    <w:basedOn w:val="Normal"/>
    <w:uiPriority w:val="99"/>
    <w:rsid w:val="00033D9B"/>
    <w:pPr>
      <w:autoSpaceDE w:val="0"/>
      <w:autoSpaceDN w:val="0"/>
      <w:adjustRightInd w:val="0"/>
      <w:spacing w:before="57" w:after="113" w:line="220" w:lineRule="atLeast"/>
      <w:ind w:left="680" w:hanging="340"/>
      <w:textAlignment w:val="center"/>
    </w:pPr>
    <w:rPr>
      <w:rFonts w:ascii="VIC Light" w:hAnsi="VIC Light" w:cs="VIC Light"/>
      <w:color w:val="000000"/>
      <w:sz w:val="18"/>
      <w:szCs w:val="18"/>
      <w:lang w:val="en-GB"/>
    </w:rPr>
  </w:style>
  <w:style w:type="numbering" w:customStyle="1" w:styleId="CurrentList10">
    <w:name w:val="Current List10"/>
    <w:uiPriority w:val="99"/>
    <w:rsid w:val="00515813"/>
    <w:pPr>
      <w:numPr>
        <w:numId w:val="18"/>
      </w:numPr>
    </w:pPr>
  </w:style>
  <w:style w:type="paragraph" w:customStyle="1" w:styleId="TablebodyleftTables">
    <w:name w:val="Table body_left (Tables)"/>
    <w:basedOn w:val="NoParagraphStyle"/>
    <w:uiPriority w:val="99"/>
    <w:rsid w:val="00033D9B"/>
    <w:pPr>
      <w:widowControl/>
      <w:spacing w:after="180" w:line="220" w:lineRule="atLeast"/>
    </w:pPr>
    <w:rPr>
      <w:rFonts w:ascii="VIC" w:hAnsi="VIC" w:cs="VIC"/>
      <w:color w:val="100149"/>
      <w:sz w:val="18"/>
      <w:szCs w:val="18"/>
      <w:lang w:val="en-GB"/>
    </w:rPr>
  </w:style>
  <w:style w:type="paragraph" w:customStyle="1" w:styleId="TablebodyrightTables">
    <w:name w:val="Table body_right (Tables)"/>
    <w:basedOn w:val="NoParagraphStyle"/>
    <w:uiPriority w:val="99"/>
    <w:rsid w:val="00033D9B"/>
    <w:pPr>
      <w:widowControl/>
      <w:spacing w:after="180" w:line="220" w:lineRule="atLeast"/>
      <w:jc w:val="right"/>
    </w:pPr>
    <w:rPr>
      <w:rFonts w:ascii="VIC" w:hAnsi="VIC" w:cs="VIC"/>
      <w:color w:val="100149"/>
      <w:sz w:val="18"/>
      <w:szCs w:val="18"/>
      <w:lang w:val="en-GB"/>
    </w:rPr>
  </w:style>
  <w:style w:type="paragraph" w:customStyle="1" w:styleId="ReferencesBodycopy">
    <w:name w:val="References (Body copy)"/>
    <w:basedOn w:val="Normal"/>
    <w:uiPriority w:val="99"/>
    <w:rsid w:val="00F138D1"/>
    <w:pPr>
      <w:autoSpaceDE w:val="0"/>
      <w:autoSpaceDN w:val="0"/>
      <w:adjustRightInd w:val="0"/>
      <w:spacing w:before="57" w:after="57" w:line="200" w:lineRule="atLeast"/>
      <w:ind w:left="680" w:hanging="680"/>
      <w:textAlignment w:val="center"/>
    </w:pPr>
    <w:rPr>
      <w:rFonts w:ascii="VIC Light" w:hAnsi="VIC Light" w:cs="VIC Light"/>
      <w:color w:val="000000"/>
      <w:sz w:val="16"/>
      <w:szCs w:val="16"/>
      <w:lang w:val="en-GB"/>
    </w:r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D54C6D"/>
    <w:pPr>
      <w:spacing w:after="0" w:line="240" w:lineRule="auto"/>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D54C6D"/>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B80DD2"/>
    <w:pPr>
      <w:numPr>
        <w:ilvl w:val="1"/>
      </w:numPr>
      <w:spacing w:before="240"/>
    </w:pPr>
    <w:rPr>
      <w:sz w:val="36"/>
      <w:szCs w:val="36"/>
    </w:rPr>
  </w:style>
  <w:style w:type="character" w:customStyle="1" w:styleId="SubtitleChar">
    <w:name w:val="Subtitle Char"/>
    <w:basedOn w:val="DefaultParagraphFont"/>
    <w:link w:val="Subtitle"/>
    <w:uiPriority w:val="11"/>
    <w:rsid w:val="00B80DD2"/>
    <w:rPr>
      <w:sz w:val="36"/>
      <w:szCs w:val="36"/>
    </w:rPr>
  </w:style>
  <w:style w:type="paragraph" w:customStyle="1" w:styleId="SmallheadingInsidecover">
    <w:name w:val="Small heading (Inside cover)"/>
    <w:basedOn w:val="Normal"/>
    <w:uiPriority w:val="99"/>
    <w:rsid w:val="00F138D1"/>
    <w:pPr>
      <w:autoSpaceDE w:val="0"/>
      <w:autoSpaceDN w:val="0"/>
      <w:adjustRightInd w:val="0"/>
      <w:spacing w:before="113" w:after="113" w:line="220" w:lineRule="atLeast"/>
      <w:textAlignment w:val="center"/>
    </w:pPr>
    <w:rPr>
      <w:rFonts w:ascii="VIC SemiBold" w:hAnsi="VIC SemiBold" w:cs="VIC SemiBold"/>
      <w:b/>
      <w:bCs/>
      <w:color w:val="000000"/>
      <w:sz w:val="18"/>
      <w:szCs w:val="18"/>
      <w:lang w:val="en-GB"/>
    </w:rPr>
  </w:style>
  <w:style w:type="paragraph" w:customStyle="1" w:styleId="SmallbodycopyInsidecover">
    <w:name w:val="Small body copy (Inside cover)"/>
    <w:basedOn w:val="NoParagraphStyle"/>
    <w:uiPriority w:val="99"/>
    <w:rsid w:val="001B2A51"/>
    <w:pPr>
      <w:widowControl/>
      <w:suppressAutoHyphens/>
      <w:spacing w:after="57" w:line="200" w:lineRule="atLeast"/>
    </w:pPr>
    <w:rPr>
      <w:rFonts w:ascii="VIC (OTF) Light" w:hAnsi="VIC (OTF) Light" w:cs="VIC (OTF) Light"/>
      <w:sz w:val="16"/>
      <w:szCs w:val="16"/>
      <w:lang w:val="en-GB"/>
    </w:rPr>
  </w:style>
  <w:style w:type="paragraph" w:customStyle="1" w:styleId="Boldheader">
    <w:name w:val="Bold header"/>
    <w:basedOn w:val="SmallheadingInsidecover"/>
    <w:qFormat/>
    <w:rsid w:val="00B14FBE"/>
    <w:pPr>
      <w:keepNext/>
      <w:keepLines/>
      <w:spacing w:before="120" w:after="120"/>
    </w:pPr>
    <w:rPr>
      <w:rFonts w:asciiTheme="minorHAnsi" w:hAnsiTheme="minorHAnsi" w:cstheme="minorHAnsi"/>
      <w:color w:val="auto"/>
      <w:sz w:val="24"/>
      <w:szCs w:val="26"/>
    </w:rPr>
  </w:style>
  <w:style w:type="paragraph" w:customStyle="1" w:styleId="ImprintbodycopyInsidecover">
    <w:name w:val="Imprint body copy (Inside cover)"/>
    <w:basedOn w:val="Normal"/>
    <w:uiPriority w:val="99"/>
    <w:rsid w:val="001B2A51"/>
    <w:pPr>
      <w:autoSpaceDE w:val="0"/>
      <w:autoSpaceDN w:val="0"/>
      <w:adjustRightInd w:val="0"/>
      <w:spacing w:after="57" w:line="200" w:lineRule="atLeast"/>
      <w:textAlignment w:val="center"/>
    </w:pPr>
    <w:rPr>
      <w:rFonts w:ascii="VIC" w:hAnsi="VIC" w:cs="VIC"/>
      <w:color w:val="000000"/>
      <w:sz w:val="16"/>
      <w:szCs w:val="16"/>
      <w:lang w:val="en-US"/>
    </w:rPr>
  </w:style>
  <w:style w:type="paragraph" w:customStyle="1" w:styleId="ImprintheadingInsidecover">
    <w:name w:val="Imprint heading (Inside cover)"/>
    <w:basedOn w:val="ImprintbodycopyInsidecover"/>
    <w:uiPriority w:val="99"/>
    <w:rsid w:val="001B2A51"/>
    <w:pPr>
      <w:spacing w:after="0" w:line="220" w:lineRule="atLeast"/>
    </w:pPr>
    <w:rPr>
      <w:rFonts w:ascii="VIC (OTF) SemiBold" w:hAnsi="VIC (OTF) SemiBold" w:cs="VIC (OTF) SemiBold"/>
      <w:b/>
      <w:bCs/>
      <w:sz w:val="18"/>
      <w:szCs w:val="18"/>
    </w:rPr>
  </w:style>
  <w:style w:type="paragraph" w:customStyle="1" w:styleId="Normalbeforebullets">
    <w:name w:val="Normal before bullets"/>
    <w:basedOn w:val="Normal"/>
    <w:qFormat/>
    <w:rsid w:val="002848F0"/>
    <w:pPr>
      <w:keepNext/>
      <w:spacing w:after="120"/>
    </w:pPr>
  </w:style>
  <w:style w:type="character" w:customStyle="1" w:styleId="Heading1Char">
    <w:name w:val="Heading 1 Char"/>
    <w:basedOn w:val="DefaultParagraphFont"/>
    <w:link w:val="Heading1"/>
    <w:uiPriority w:val="9"/>
    <w:rsid w:val="00404F0E"/>
    <w:rPr>
      <w:rFonts w:asciiTheme="majorHAnsi" w:eastAsiaTheme="majorEastAsia" w:hAnsiTheme="majorHAnsi" w:cs="Times New Roman (Headings CS)"/>
      <w:b/>
      <w:bCs/>
      <w:sz w:val="40"/>
      <w:szCs w:val="36"/>
    </w:rPr>
  </w:style>
  <w:style w:type="paragraph" w:customStyle="1" w:styleId="FiguretitleFiguresImages">
    <w:name w:val="Figure title (Figures/Images)"/>
    <w:basedOn w:val="BodyText"/>
    <w:uiPriority w:val="99"/>
    <w:rsid w:val="00620098"/>
    <w:pPr>
      <w:keepNext/>
      <w:spacing w:before="120" w:after="240" w:line="220" w:lineRule="atLeast"/>
    </w:pPr>
    <w:rPr>
      <w:rFonts w:cstheme="minorHAnsi"/>
      <w:b/>
      <w:bCs/>
      <w:color w:val="000000" w:themeColor="text1"/>
    </w:rPr>
  </w:style>
  <w:style w:type="paragraph" w:customStyle="1" w:styleId="Source">
    <w:name w:val="Source"/>
    <w:basedOn w:val="Boldheader"/>
    <w:qFormat/>
    <w:rsid w:val="00FE53F9"/>
    <w:pPr>
      <w:keepNext w:val="0"/>
      <w:spacing w:after="200"/>
    </w:pPr>
    <w:rPr>
      <w:b w:val="0"/>
      <w:bCs w:val="0"/>
      <w:color w:val="000000"/>
      <w:sz w:val="18"/>
      <w:szCs w:val="20"/>
    </w:rPr>
  </w:style>
  <w:style w:type="paragraph" w:customStyle="1" w:styleId="FiguresourceFiguresImages">
    <w:name w:val="Figure source (Figures/Images)"/>
    <w:basedOn w:val="NoParagraphStyle"/>
    <w:uiPriority w:val="99"/>
    <w:rsid w:val="007A261A"/>
    <w:pPr>
      <w:widowControl/>
      <w:suppressAutoHyphens/>
      <w:spacing w:after="57" w:line="180" w:lineRule="atLeast"/>
    </w:pPr>
    <w:rPr>
      <w:rFonts w:ascii="VIC" w:hAnsi="VIC" w:cs="VIC"/>
      <w:sz w:val="14"/>
      <w:szCs w:val="14"/>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3"/>
      </w:numPr>
      <w:spacing w:after="120" w:line="288" w:lineRule="auto"/>
      <w:contextualSpacing w:val="0"/>
    </w:pPr>
    <w:rPr>
      <w:lang w:val="en-GB"/>
    </w:rPr>
  </w:style>
  <w:style w:type="paragraph" w:customStyle="1" w:styleId="Bullet1last">
    <w:name w:val="Bullet 1 last"/>
    <w:basedOn w:val="ListBullet"/>
    <w:qFormat/>
    <w:rsid w:val="00124E1B"/>
    <w:pPr>
      <w:spacing w:after="120"/>
      <w:ind w:left="357" w:hanging="357"/>
    </w:pPr>
    <w:rPr>
      <w:lang w:val="en-US"/>
    </w:rPr>
  </w:style>
  <w:style w:type="paragraph" w:customStyle="1" w:styleId="Heading1numbered">
    <w:name w:val="Heading 1 (numbered)"/>
    <w:basedOn w:val="Heading1"/>
    <w:qFormat/>
    <w:rsid w:val="00E6112B"/>
    <w:pPr>
      <w:numPr>
        <w:numId w:val="2"/>
      </w:numPr>
    </w:pPr>
  </w:style>
  <w:style w:type="character" w:customStyle="1" w:styleId="Heading2Char">
    <w:name w:val="Heading 2 Char"/>
    <w:basedOn w:val="DefaultParagraphFont"/>
    <w:link w:val="Heading2"/>
    <w:uiPriority w:val="9"/>
    <w:rsid w:val="00285B57"/>
    <w:rPr>
      <w:rFonts w:asciiTheme="majorHAnsi" w:eastAsiaTheme="majorEastAsia" w:hAnsiTheme="majorHAnsi" w:cstheme="majorBidi"/>
      <w:b/>
      <w:bCs/>
      <w:color w:val="000000" w:themeColor="text1"/>
      <w:sz w:val="32"/>
      <w:szCs w:val="30"/>
      <w:lang w:val="en-GB"/>
    </w:rPr>
  </w:style>
  <w:style w:type="character" w:customStyle="1" w:styleId="Heading3Char">
    <w:name w:val="Heading 3 Char"/>
    <w:basedOn w:val="DefaultParagraphFont"/>
    <w:link w:val="Heading3"/>
    <w:uiPriority w:val="9"/>
    <w:rsid w:val="008D2EAE"/>
    <w:rPr>
      <w:rFonts w:asciiTheme="majorHAnsi" w:eastAsiaTheme="majorEastAsia" w:hAnsiTheme="majorHAnsi" w:cstheme="majorBidi"/>
      <w:b/>
      <w:bCs/>
      <w:sz w:val="28"/>
      <w:szCs w:val="26"/>
      <w:lang w:val="en-GB"/>
    </w:rPr>
  </w:style>
  <w:style w:type="paragraph" w:customStyle="1" w:styleId="Heading2numbered">
    <w:name w:val="Heading 2 (numbered)"/>
    <w:basedOn w:val="Heading2"/>
    <w:qFormat/>
    <w:rsid w:val="00BE09DE"/>
    <w:pPr>
      <w:numPr>
        <w:ilvl w:val="1"/>
        <w:numId w:val="2"/>
      </w:numPr>
    </w:pPr>
  </w:style>
  <w:style w:type="paragraph" w:customStyle="1" w:styleId="Heading3numbered">
    <w:name w:val="Heading 3 (numbered)"/>
    <w:basedOn w:val="Heading3"/>
    <w:qFormat/>
    <w:rsid w:val="00BE09DE"/>
    <w:pPr>
      <w:numPr>
        <w:ilvl w:val="2"/>
        <w:numId w:val="2"/>
      </w:numPr>
    </w:pPr>
  </w:style>
  <w:style w:type="character" w:customStyle="1" w:styleId="Heading4Char">
    <w:name w:val="Heading 4 Char"/>
    <w:basedOn w:val="DefaultParagraphFont"/>
    <w:link w:val="Heading4"/>
    <w:uiPriority w:val="9"/>
    <w:semiHidden/>
    <w:rsid w:val="007D58CB"/>
    <w:rPr>
      <w:rFonts w:asciiTheme="majorHAnsi" w:eastAsiaTheme="majorEastAsia" w:hAnsiTheme="majorHAnsi" w:cstheme="majorBidi"/>
      <w:i/>
      <w:iCs/>
      <w:color w:val="000000" w:themeColor="text1"/>
      <w:sz w:val="24"/>
    </w:rPr>
  </w:style>
  <w:style w:type="character" w:customStyle="1" w:styleId="Heading5Char">
    <w:name w:val="Heading 5 Char"/>
    <w:basedOn w:val="DefaultParagraphFont"/>
    <w:link w:val="Heading5"/>
    <w:uiPriority w:val="9"/>
    <w:semiHidden/>
    <w:rsid w:val="00BE09DE"/>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BE09DE"/>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BE09DE"/>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BE09D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09DE"/>
    <w:rPr>
      <w:rFonts w:asciiTheme="majorHAnsi" w:eastAsiaTheme="majorEastAsia" w:hAnsiTheme="majorHAnsi" w:cstheme="majorBidi"/>
      <w:i/>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paragraph" w:customStyle="1" w:styleId="TableheadingrightTables">
    <w:name w:val="Table heading_right (Tables)"/>
    <w:basedOn w:val="NoParagraphStyle"/>
    <w:uiPriority w:val="99"/>
    <w:rsid w:val="00A56B9D"/>
    <w:pPr>
      <w:widowControl/>
      <w:suppressAutoHyphens/>
      <w:spacing w:before="113" w:after="113" w:line="220" w:lineRule="atLeast"/>
      <w:jc w:val="right"/>
    </w:pPr>
    <w:rPr>
      <w:rFonts w:ascii="VIC SemiBold" w:hAnsi="VIC SemiBold" w:cstheme="minorBidi"/>
      <w:b/>
      <w:bCs/>
      <w:color w:val="FFFFFF"/>
      <w:sz w:val="18"/>
      <w:szCs w:val="18"/>
      <w:lang w:val="en-GB"/>
    </w:rPr>
  </w:style>
  <w:style w:type="table" w:styleId="TableGrid">
    <w:name w:val="Table Grid"/>
    <w:aliases w:val="Table No Border"/>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E74B07"/>
    <w:pPr>
      <w:spacing w:after="0" w:line="240" w:lineRule="auto"/>
    </w:pPr>
    <w:rPr>
      <w:lang w:val="en-GB"/>
    </w:rPr>
  </w:style>
  <w:style w:type="character" w:styleId="UnresolvedMention">
    <w:name w:val="Unresolved Mention"/>
    <w:basedOn w:val="DefaultParagraphFont"/>
    <w:uiPriority w:val="99"/>
    <w:semiHidden/>
    <w:unhideWhenUsed/>
    <w:rsid w:val="00CD2217"/>
    <w:rPr>
      <w:color w:val="605E5C"/>
      <w:shd w:val="clear" w:color="auto" w:fill="E1DFDD"/>
    </w:rPr>
  </w:style>
  <w:style w:type="numbering" w:customStyle="1" w:styleId="CurrentList11">
    <w:name w:val="Current List11"/>
    <w:uiPriority w:val="99"/>
    <w:rsid w:val="00515813"/>
    <w:pPr>
      <w:numPr>
        <w:numId w:val="19"/>
      </w:numPr>
    </w:pPr>
  </w:style>
  <w:style w:type="paragraph" w:customStyle="1" w:styleId="Bullet2">
    <w:name w:val="Bullet 2"/>
    <w:basedOn w:val="Bullet1"/>
    <w:qFormat/>
    <w:rsid w:val="004C1AF6"/>
    <w:pPr>
      <w:numPr>
        <w:numId w:val="3"/>
      </w:numPr>
      <w:spacing w:after="180"/>
      <w:ind w:left="680" w:hanging="340"/>
    </w:pPr>
  </w:style>
  <w:style w:type="paragraph" w:customStyle="1" w:styleId="Listparagrapha">
    <w:name w:val="List paragraph (a.)"/>
    <w:basedOn w:val="BodyText"/>
    <w:qFormat/>
    <w:rsid w:val="00C20D01"/>
    <w:pPr>
      <w:numPr>
        <w:numId w:val="9"/>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361F30"/>
    <w:pPr>
      <w:spacing w:before="240" w:after="0"/>
    </w:pPr>
    <w:rPr>
      <w:rFonts w:cstheme="minorHAnsi"/>
      <w:b/>
      <w:bCs/>
      <w:iCs/>
      <w:szCs w:val="24"/>
    </w:rPr>
  </w:style>
  <w:style w:type="paragraph" w:styleId="TOC2">
    <w:name w:val="toc 2"/>
    <w:basedOn w:val="Normal"/>
    <w:next w:val="Normal"/>
    <w:uiPriority w:val="39"/>
    <w:unhideWhenUsed/>
    <w:rsid w:val="00361F30"/>
    <w:pPr>
      <w:spacing w:before="80" w:after="0"/>
      <w:ind w:left="238"/>
    </w:pPr>
    <w:rPr>
      <w:rFonts w:cstheme="minorHAnsi"/>
      <w:bCs/>
    </w:rPr>
  </w:style>
  <w:style w:type="paragraph" w:styleId="TOC3">
    <w:name w:val="toc 3"/>
    <w:basedOn w:val="Normal"/>
    <w:next w:val="Normal"/>
    <w:uiPriority w:val="39"/>
    <w:unhideWhenUsed/>
    <w:rsid w:val="004A0E5A"/>
    <w:pPr>
      <w:spacing w:after="0"/>
      <w:ind w:left="480"/>
    </w:pPr>
    <w:rPr>
      <w:rFonts w:cstheme="minorHAnsi"/>
      <w:sz w:val="20"/>
      <w:szCs w:val="20"/>
    </w:rPr>
  </w:style>
  <w:style w:type="paragraph" w:styleId="BodyText">
    <w:name w:val="Body Text"/>
    <w:basedOn w:val="Normal"/>
    <w:link w:val="BodyTextChar"/>
    <w:uiPriority w:val="99"/>
    <w:unhideWhenUsed/>
    <w:rsid w:val="00F138D1"/>
    <w:pPr>
      <w:spacing w:after="180" w:line="360" w:lineRule="auto"/>
    </w:pPr>
    <w:rPr>
      <w:rFonts w:cs="Times New Roman (Body CS)"/>
      <w:kern w:val="24"/>
    </w:rPr>
  </w:style>
  <w:style w:type="character" w:customStyle="1" w:styleId="BodyTextChar">
    <w:name w:val="Body Text Char"/>
    <w:basedOn w:val="DefaultParagraphFont"/>
    <w:link w:val="BodyText"/>
    <w:uiPriority w:val="99"/>
    <w:rsid w:val="00F138D1"/>
    <w:rPr>
      <w:rFonts w:cs="Times New Roman (Body CS)"/>
      <w:kern w:val="24"/>
      <w:sz w:val="24"/>
    </w:rPr>
  </w:style>
  <w:style w:type="paragraph" w:styleId="ListBullet">
    <w:name w:val="List Bullet"/>
    <w:basedOn w:val="BodyText"/>
    <w:uiPriority w:val="99"/>
    <w:unhideWhenUsed/>
    <w:rsid w:val="00404F0E"/>
    <w:pPr>
      <w:numPr>
        <w:numId w:val="4"/>
      </w:numPr>
    </w:pPr>
  </w:style>
  <w:style w:type="paragraph" w:customStyle="1" w:styleId="FootnoteBody">
    <w:name w:val="Footnote (Body)"/>
    <w:basedOn w:val="NoParagraphStyle"/>
    <w:uiPriority w:val="99"/>
    <w:rsid w:val="00F1500A"/>
    <w:pPr>
      <w:widowControl/>
      <w:tabs>
        <w:tab w:val="left" w:pos="227"/>
      </w:tabs>
      <w:suppressAutoHyphens/>
      <w:spacing w:after="113" w:line="200" w:lineRule="atLeast"/>
      <w:ind w:left="227" w:hanging="227"/>
    </w:pPr>
    <w:rPr>
      <w:rFonts w:ascii="VIC Light" w:hAnsi="VIC Light" w:cs="VIC Light"/>
      <w:sz w:val="16"/>
      <w:szCs w:val="16"/>
      <w:lang w:val="en-GB"/>
    </w:rPr>
  </w:style>
  <w:style w:type="paragraph" w:customStyle="1" w:styleId="HeadingFOUR">
    <w:name w:val="Heading FOUR"/>
    <w:basedOn w:val="Heading3"/>
    <w:qFormat/>
    <w:rsid w:val="007B509C"/>
    <w:rPr>
      <w:color w:val="000000" w:themeColor="text1"/>
      <w:sz w:val="26"/>
    </w:r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5"/>
      </w:numPr>
    </w:pPr>
  </w:style>
  <w:style w:type="paragraph" w:customStyle="1" w:styleId="ChartSourceStyle">
    <w:name w:val="Chart Source Style"/>
    <w:basedOn w:val="BodyText"/>
    <w:qFormat/>
    <w:rsid w:val="00B14FBE"/>
    <w:pPr>
      <w:spacing w:before="60" w:after="240"/>
    </w:pPr>
  </w:style>
  <w:style w:type="paragraph" w:customStyle="1" w:styleId="Style1">
    <w:name w:val="Style1"/>
    <w:basedOn w:val="ChartSourceStyle"/>
    <w:qFormat/>
    <w:rsid w:val="00620098"/>
    <w:pPr>
      <w:spacing w:before="120"/>
    </w:pPr>
  </w:style>
  <w:style w:type="paragraph" w:styleId="TOCHeading">
    <w:name w:val="TOC Heading"/>
    <w:basedOn w:val="Heading1"/>
    <w:next w:val="Normal"/>
    <w:uiPriority w:val="39"/>
    <w:unhideWhenUsed/>
    <w:qFormat/>
    <w:rsid w:val="00361F30"/>
    <w:pPr>
      <w:spacing w:after="0"/>
      <w:outlineLvl w:val="9"/>
    </w:pPr>
    <w:rPr>
      <w:bCs w:val="0"/>
      <w:color w:val="000000" w:themeColor="text1"/>
      <w:sz w:val="36"/>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404F0E"/>
    <w:pPr>
      <w:numPr>
        <w:numId w:val="6"/>
      </w:numPr>
    </w:pPr>
  </w:style>
  <w:style w:type="paragraph" w:styleId="ListNumber2">
    <w:name w:val="List Number 2"/>
    <w:basedOn w:val="Normal"/>
    <w:uiPriority w:val="99"/>
    <w:unhideWhenUsed/>
    <w:rsid w:val="001D3828"/>
    <w:pPr>
      <w:numPr>
        <w:numId w:val="20"/>
      </w:numPr>
      <w:contextualSpacing/>
    </w:pPr>
  </w:style>
  <w:style w:type="paragraph" w:styleId="Caption">
    <w:name w:val="caption"/>
    <w:basedOn w:val="Normal"/>
    <w:next w:val="Normal"/>
    <w:uiPriority w:val="35"/>
    <w:unhideWhenUsed/>
    <w:qFormat/>
    <w:rsid w:val="00281939"/>
    <w:pPr>
      <w:spacing w:before="120" w:after="120" w:line="240" w:lineRule="auto"/>
    </w:pPr>
    <w:rPr>
      <w:b/>
      <w:iCs/>
      <w:color w:val="000000" w:themeColor="text1"/>
      <w:szCs w:val="18"/>
    </w:rPr>
  </w:style>
  <w:style w:type="numbering" w:customStyle="1" w:styleId="CurrentList1">
    <w:name w:val="Current List1"/>
    <w:uiPriority w:val="99"/>
    <w:rsid w:val="007B211D"/>
    <w:pPr>
      <w:numPr>
        <w:numId w:val="7"/>
      </w:numPr>
    </w:pPr>
  </w:style>
  <w:style w:type="numbering" w:customStyle="1" w:styleId="CurrentList2">
    <w:name w:val="Current List2"/>
    <w:uiPriority w:val="99"/>
    <w:rsid w:val="00E11A71"/>
    <w:pPr>
      <w:numPr>
        <w:numId w:val="8"/>
      </w:numPr>
    </w:pPr>
  </w:style>
  <w:style w:type="numbering" w:customStyle="1" w:styleId="CurrentList3">
    <w:name w:val="Current List3"/>
    <w:uiPriority w:val="99"/>
    <w:rsid w:val="00E11A71"/>
    <w:pPr>
      <w:numPr>
        <w:numId w:val="10"/>
      </w:numPr>
    </w:pPr>
  </w:style>
  <w:style w:type="numbering" w:customStyle="1" w:styleId="CurrentList4">
    <w:name w:val="Current List4"/>
    <w:uiPriority w:val="99"/>
    <w:rsid w:val="00E11A71"/>
    <w:pPr>
      <w:numPr>
        <w:numId w:val="11"/>
      </w:numPr>
    </w:pPr>
  </w:style>
  <w:style w:type="numbering" w:customStyle="1" w:styleId="CurrentList5">
    <w:name w:val="Current List5"/>
    <w:uiPriority w:val="99"/>
    <w:rsid w:val="00E11A71"/>
    <w:pPr>
      <w:numPr>
        <w:numId w:val="12"/>
      </w:numPr>
    </w:pPr>
  </w:style>
  <w:style w:type="paragraph" w:styleId="TOC4">
    <w:name w:val="toc 4"/>
    <w:basedOn w:val="Normal"/>
    <w:next w:val="Normal"/>
    <w:autoRedefine/>
    <w:uiPriority w:val="39"/>
    <w:unhideWhenUsed/>
    <w:rsid w:val="005E3F95"/>
    <w:pPr>
      <w:spacing w:after="0"/>
      <w:ind w:left="720"/>
    </w:pPr>
    <w:rPr>
      <w:rFonts w:cstheme="minorHAnsi"/>
      <w:sz w:val="20"/>
      <w:szCs w:val="20"/>
    </w:rPr>
  </w:style>
  <w:style w:type="paragraph" w:styleId="TOC5">
    <w:name w:val="toc 5"/>
    <w:basedOn w:val="Normal"/>
    <w:next w:val="Normal"/>
    <w:autoRedefine/>
    <w:uiPriority w:val="39"/>
    <w:unhideWhenUsed/>
    <w:rsid w:val="005E3F95"/>
    <w:pPr>
      <w:spacing w:after="0"/>
      <w:ind w:left="960"/>
    </w:pPr>
    <w:rPr>
      <w:rFonts w:cstheme="minorHAnsi"/>
      <w:sz w:val="20"/>
      <w:szCs w:val="20"/>
    </w:rPr>
  </w:style>
  <w:style w:type="paragraph" w:styleId="TOC6">
    <w:name w:val="toc 6"/>
    <w:basedOn w:val="Normal"/>
    <w:next w:val="Normal"/>
    <w:autoRedefine/>
    <w:uiPriority w:val="39"/>
    <w:unhideWhenUsed/>
    <w:rsid w:val="005E3F95"/>
    <w:pPr>
      <w:spacing w:after="0"/>
      <w:ind w:left="1200"/>
    </w:pPr>
    <w:rPr>
      <w:rFonts w:cstheme="minorHAnsi"/>
      <w:sz w:val="20"/>
      <w:szCs w:val="20"/>
    </w:rPr>
  </w:style>
  <w:style w:type="paragraph" w:styleId="TOC7">
    <w:name w:val="toc 7"/>
    <w:basedOn w:val="Normal"/>
    <w:next w:val="Normal"/>
    <w:autoRedefine/>
    <w:uiPriority w:val="39"/>
    <w:unhideWhenUsed/>
    <w:rsid w:val="005E3F95"/>
    <w:pPr>
      <w:spacing w:after="0"/>
      <w:ind w:left="1440"/>
    </w:pPr>
    <w:rPr>
      <w:rFonts w:cstheme="minorHAnsi"/>
      <w:sz w:val="20"/>
      <w:szCs w:val="20"/>
    </w:rPr>
  </w:style>
  <w:style w:type="paragraph" w:styleId="TOC8">
    <w:name w:val="toc 8"/>
    <w:basedOn w:val="Normal"/>
    <w:next w:val="Normal"/>
    <w:autoRedefine/>
    <w:uiPriority w:val="39"/>
    <w:unhideWhenUsed/>
    <w:rsid w:val="005E3F95"/>
    <w:pPr>
      <w:spacing w:after="0"/>
      <w:ind w:left="1680"/>
    </w:pPr>
    <w:rPr>
      <w:rFonts w:cstheme="minorHAnsi"/>
      <w:sz w:val="20"/>
      <w:szCs w:val="20"/>
    </w:rPr>
  </w:style>
  <w:style w:type="paragraph" w:styleId="TOC9">
    <w:name w:val="toc 9"/>
    <w:basedOn w:val="Normal"/>
    <w:next w:val="Normal"/>
    <w:autoRedefine/>
    <w:uiPriority w:val="39"/>
    <w:unhideWhenUsed/>
    <w:rsid w:val="005E3F95"/>
    <w:pPr>
      <w:spacing w:after="0"/>
      <w:ind w:left="1920"/>
    </w:pPr>
    <w:rPr>
      <w:rFonts w:cstheme="minorHAnsi"/>
      <w:sz w:val="20"/>
      <w:szCs w:val="20"/>
    </w:rPr>
  </w:style>
  <w:style w:type="paragraph" w:styleId="TOAHeading">
    <w:name w:val="toa heading"/>
    <w:basedOn w:val="Normal"/>
    <w:next w:val="Normal"/>
    <w:uiPriority w:val="99"/>
    <w:unhideWhenUsed/>
    <w:rsid w:val="00361F30"/>
    <w:pPr>
      <w:spacing w:before="120" w:after="120" w:line="240" w:lineRule="auto"/>
    </w:pPr>
    <w:rPr>
      <w:rFonts w:asciiTheme="majorHAnsi" w:eastAsiaTheme="majorEastAsia" w:hAnsiTheme="majorHAnsi" w:cstheme="majorBidi"/>
      <w:b/>
      <w:bCs/>
      <w:szCs w:val="24"/>
    </w:rPr>
  </w:style>
  <w:style w:type="numbering" w:customStyle="1" w:styleId="CurrentList6">
    <w:name w:val="Current List6"/>
    <w:uiPriority w:val="99"/>
    <w:rsid w:val="00904039"/>
    <w:pPr>
      <w:numPr>
        <w:numId w:val="14"/>
      </w:numPr>
    </w:pPr>
  </w:style>
  <w:style w:type="numbering" w:customStyle="1" w:styleId="CurrentList7">
    <w:name w:val="Current List7"/>
    <w:uiPriority w:val="99"/>
    <w:rsid w:val="00904039"/>
    <w:pPr>
      <w:numPr>
        <w:numId w:val="15"/>
      </w:numPr>
    </w:pPr>
  </w:style>
  <w:style w:type="numbering" w:customStyle="1" w:styleId="CurrentList8">
    <w:name w:val="Current List8"/>
    <w:uiPriority w:val="99"/>
    <w:rsid w:val="00241796"/>
    <w:pPr>
      <w:numPr>
        <w:numId w:val="16"/>
      </w:numPr>
    </w:pPr>
  </w:style>
  <w:style w:type="paragraph" w:styleId="NormalWeb">
    <w:name w:val="Normal (Web)"/>
    <w:basedOn w:val="Normal"/>
    <w:uiPriority w:val="99"/>
    <w:semiHidden/>
    <w:unhideWhenUsed/>
    <w:rsid w:val="00733E6C"/>
    <w:pPr>
      <w:suppressAutoHyphens w:val="0"/>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760099"/>
    <w:pPr>
      <w:spacing w:after="0" w:line="240" w:lineRule="auto"/>
    </w:pPr>
    <w:rPr>
      <w:sz w:val="24"/>
    </w:rPr>
  </w:style>
  <w:style w:type="character" w:styleId="CommentReference">
    <w:name w:val="annotation reference"/>
    <w:basedOn w:val="DefaultParagraphFont"/>
    <w:uiPriority w:val="99"/>
    <w:semiHidden/>
    <w:unhideWhenUsed/>
    <w:rsid w:val="00DC0304"/>
    <w:rPr>
      <w:sz w:val="16"/>
      <w:szCs w:val="16"/>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paragraph" w:styleId="CommentSubject">
    <w:name w:val="annotation subject"/>
    <w:basedOn w:val="CommentText"/>
    <w:next w:val="CommentText"/>
    <w:link w:val="CommentSubjectChar"/>
    <w:uiPriority w:val="99"/>
    <w:semiHidden/>
    <w:unhideWhenUsed/>
    <w:rsid w:val="00DC0304"/>
    <w:rPr>
      <w:b/>
      <w:bCs/>
    </w:rPr>
  </w:style>
  <w:style w:type="character" w:customStyle="1" w:styleId="CommentSubjectChar">
    <w:name w:val="Comment Subject Char"/>
    <w:basedOn w:val="CommentTextChar"/>
    <w:link w:val="CommentSubject"/>
    <w:uiPriority w:val="99"/>
    <w:semiHidden/>
    <w:rsid w:val="00DC0304"/>
    <w:rPr>
      <w:b/>
      <w:bCs/>
      <w:sz w:val="20"/>
      <w:szCs w:val="20"/>
    </w:rPr>
  </w:style>
  <w:style w:type="character" w:customStyle="1" w:styleId="ui-provider">
    <w:name w:val="ui-provider"/>
    <w:basedOn w:val="DefaultParagraphFont"/>
    <w:rsid w:val="009815F4"/>
  </w:style>
  <w:style w:type="table" w:styleId="ColourfulListAccent4">
    <w:name w:val="Colorful List Accent 4"/>
    <w:basedOn w:val="TableNormal"/>
    <w:uiPriority w:val="72"/>
    <w:semiHidden/>
    <w:rsid w:val="00F1549B"/>
    <w:pPr>
      <w:spacing w:before="120" w:after="120" w:line="240" w:lineRule="atLeast"/>
    </w:pPr>
    <w:rPr>
      <w:rFonts w:eastAsia="Times New Roman" w:cs="Times New Roman"/>
      <w:sz w:val="20"/>
      <w:szCs w:val="20"/>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paragraph" w:customStyle="1" w:styleId="NoteNumbered2">
    <w:name w:val="Note Numbered 2"/>
    <w:basedOn w:val="Normal"/>
    <w:qFormat/>
    <w:rsid w:val="00F1549B"/>
    <w:pPr>
      <w:numPr>
        <w:ilvl w:val="1"/>
        <w:numId w:val="23"/>
      </w:numPr>
      <w:suppressAutoHyphens w:val="0"/>
      <w:spacing w:before="60" w:after="100" w:afterAutospacing="1" w:line="240" w:lineRule="atLeast"/>
      <w:contextualSpacing/>
    </w:pPr>
    <w:rPr>
      <w:rFonts w:eastAsia="Times New Roman" w:cs="Calibri"/>
      <w:sz w:val="18"/>
      <w:szCs w:val="17"/>
    </w:rPr>
  </w:style>
  <w:style w:type="character" w:styleId="Emphasis">
    <w:name w:val="Emphasis"/>
    <w:basedOn w:val="DefaultParagraphFont"/>
    <w:uiPriority w:val="20"/>
    <w:qFormat/>
    <w:rsid w:val="00361F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715813558">
      <w:bodyDiv w:val="1"/>
      <w:marLeft w:val="0"/>
      <w:marRight w:val="0"/>
      <w:marTop w:val="0"/>
      <w:marBottom w:val="0"/>
      <w:divBdr>
        <w:top w:val="none" w:sz="0" w:space="0" w:color="auto"/>
        <w:left w:val="none" w:sz="0" w:space="0" w:color="auto"/>
        <w:bottom w:val="none" w:sz="0" w:space="0" w:color="auto"/>
        <w:right w:val="none" w:sz="0" w:space="0" w:color="auto"/>
      </w:divBdr>
    </w:div>
    <w:div w:id="17189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buyingfor.vic.gov.au/supplier-code-conduct" TargetMode="External"/><Relationship Id="rId18" Type="http://schemas.openxmlformats.org/officeDocument/2006/relationships/hyperlink" Target="https://www.deeca.vic.gov.au/forestry" TargetMode="External"/><Relationship Id="rId3" Type="http://schemas.openxmlformats.org/officeDocument/2006/relationships/customXml" Target="../customXml/item3.xml"/><Relationship Id="rId21" Type="http://schemas.openxmlformats.org/officeDocument/2006/relationships/hyperlink" Target="https://www.deeca.vic.gov.au/forestry/forestry-transition-progra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deeca.vic.gov.au/forestry/grants" TargetMode="External"/><Relationship Id="rId2" Type="http://schemas.openxmlformats.org/officeDocument/2006/relationships/customXml" Target="../customXml/item2.xml"/><Relationship Id="rId16" Type="http://schemas.openxmlformats.org/officeDocument/2006/relationships/hyperlink" Target="mailto:forestry.transition.fund@deeca.vic.gov.au" TargetMode="External"/><Relationship Id="rId20" Type="http://schemas.openxmlformats.org/officeDocument/2006/relationships/hyperlink" Target="mailto:forestrytransition@deeca.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deeca.vic.gov.au/forestry/grants"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creativecommons.org/licenses/by/4.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forestry.transition.fund@deeca.vic.gov.au"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uyingfor.vic.gov.au/supplier-code-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97aeec6-0273-40f2-ab3e-beee73212332"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3AE3FB3D766BA4DBBC4F1DDAEE4273E" ma:contentTypeVersion="11" ma:contentTypeDescription="Create a new document." ma:contentTypeScope="" ma:versionID="e2f50600ae594dcf99f0ef4a2f553790">
  <xsd:schema xmlns:xsd="http://www.w3.org/2001/XMLSchema" xmlns:xs="http://www.w3.org/2001/XMLSchema" xmlns:p="http://schemas.microsoft.com/office/2006/metadata/properties" xmlns:ns2="a5f32de4-e402-4188-b034-e71ca7d22e54" xmlns:ns3="9df27e40-797b-464d-9cc4-2f4a127c61c1" xmlns:ns4="d885b6b3-7e0d-487d-aa42-3e32d91b08c9" xmlns:ns5="eee8146e-0147-4410-8144-b4e30f0526ab" xmlns:ns6="58a0eaec-5c6c-4b3b-8518-559881a1a600" targetNamespace="http://schemas.microsoft.com/office/2006/metadata/properties" ma:root="true" ma:fieldsID="1953799b813e51b080bb313130a663a7" ns2:_="" ns3:_="" ns4:_="" ns5:_="" ns6:_="">
    <xsd:import namespace="a5f32de4-e402-4188-b034-e71ca7d22e54"/>
    <xsd:import namespace="9df27e40-797b-464d-9cc4-2f4a127c61c1"/>
    <xsd:import namespace="d885b6b3-7e0d-487d-aa42-3e32d91b08c9"/>
    <xsd:import namespace="eee8146e-0147-4410-8144-b4e30f0526ab"/>
    <xsd:import namespace="58a0eaec-5c6c-4b3b-8518-559881a1a60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3:FileNumber" minOccurs="0"/>
                <xsd:element ref="ns3:MediaLengthInSeconds" minOccurs="0"/>
                <xsd:element ref="ns3:MediaServiceObjectDetectorVersions" minOccurs="0"/>
                <xsd:element ref="ns3:_Flow_SignoffStatus" minOccurs="0"/>
                <xsd:element ref="ns5:lcf76f155ced4ddcb4097134ff3c332f" minOccurs="0"/>
                <xsd:element ref="ns6:TaxCatchAll" minOccurs="0"/>
                <xsd:element ref="ns3:MediaServiceSearchProperties" minOccurs="0"/>
                <xsd:element ref="ns5:Additional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27e40-797b-464d-9cc4-2f4a127c61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FileNumber" ma:index="23" nillable="true" ma:displayName="File Number" ma:description="Number of files in folder" ma:format="Dropdown" ma:internalName="FileNumber" ma:percentage="FALSE">
      <xsd:simpleType>
        <xsd:restriction base="dms:Number"/>
      </xsd:simpleType>
    </xsd:element>
    <xsd:element name="MediaLengthInSeconds" ma:index="24" nillable="true" ma:displayName="Length (seconds)"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5b6b3-7e0d-487d-aa42-3e32d91b08c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e8146e-0147-4410-8144-b4e30f0526ab"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Additionalinformation" ma:index="31" nillable="true" ma:displayName="Additional information" ma:description="8 documents from 03092021 to 07092023 regarding Parkside and VicForests Timber Sale Agreement T002031" ma:format="Dropdown" ma:internalName="Additional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a0eaec-5c6c-4b3b-8518-559881a1a600"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eefa37e2-ad28-46ce-8a9c-f3af691f1d49}" ma:internalName="TaxCatchAll" ma:showField="CatchAllData" ma:web="58a0eaec-5c6c-4b3b-8518-559881a1a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9df27e40-797b-464d-9cc4-2f4a127c61c1" xsi:nil="true"/>
    <lcf76f155ced4ddcb4097134ff3c332f xmlns="eee8146e-0147-4410-8144-b4e30f0526ab">
      <Terms xmlns="http://schemas.microsoft.com/office/infopath/2007/PartnerControls"/>
    </lcf76f155ced4ddcb4097134ff3c332f>
    <Additionalinformation xmlns="eee8146e-0147-4410-8144-b4e30f0526ab" xsi:nil="true"/>
    <FileNumber xmlns="9df27e40-797b-464d-9cc4-2f4a127c61c1" xsi:nil="true"/>
    <TaxCatchAll xmlns="58a0eaec-5c6c-4b3b-8518-559881a1a600" xsi:nil="true"/>
  </documentManagement>
</p:properties>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8B83E-D753-422F-826A-96BFF6C1C052}">
  <ds:schemaRefs>
    <ds:schemaRef ds:uri="Microsoft.SharePoint.Taxonomy.ContentTypeSync"/>
  </ds:schemaRefs>
</ds:datastoreItem>
</file>

<file path=customXml/itemProps2.xml><?xml version="1.0" encoding="utf-8"?>
<ds:datastoreItem xmlns:ds="http://schemas.openxmlformats.org/officeDocument/2006/customXml" ds:itemID="{6D4E1028-9B50-4285-8CE8-22A50796B151}">
  <ds:schemaRefs>
    <ds:schemaRef ds:uri="http://schemas.openxmlformats.org/officeDocument/2006/bibliography"/>
  </ds:schemaRefs>
</ds:datastoreItem>
</file>

<file path=customXml/itemProps3.xml><?xml version="1.0" encoding="utf-8"?>
<ds:datastoreItem xmlns:ds="http://schemas.openxmlformats.org/officeDocument/2006/customXml" ds:itemID="{4DC1E061-9A6B-4D0F-A8CF-F63C8F437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9df27e40-797b-464d-9cc4-2f4a127c61c1"/>
    <ds:schemaRef ds:uri="d885b6b3-7e0d-487d-aa42-3e32d91b08c9"/>
    <ds:schemaRef ds:uri="eee8146e-0147-4410-8144-b4e30f0526ab"/>
    <ds:schemaRef ds:uri="58a0eaec-5c6c-4b3b-8518-559881a1a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F02545-919C-4C30-8B1F-B8958E9F0D05}">
  <ds:schemaRefs>
    <ds:schemaRef ds:uri="http://schemas.microsoft.com/office/2006/metadata/properties"/>
    <ds:schemaRef ds:uri="http://schemas.microsoft.com/office/infopath/2007/PartnerControls"/>
    <ds:schemaRef ds:uri="9df27e40-797b-464d-9cc4-2f4a127c61c1"/>
    <ds:schemaRef ds:uri="eee8146e-0147-4410-8144-b4e30f0526ab"/>
    <ds:schemaRef ds:uri="58a0eaec-5c6c-4b3b-8518-559881a1a600"/>
  </ds:schemaRefs>
</ds:datastoreItem>
</file>

<file path=customXml/itemProps5.xml><?xml version="1.0" encoding="utf-8"?>
<ds:datastoreItem xmlns:ds="http://schemas.openxmlformats.org/officeDocument/2006/customXml" ds:itemID="{CD69A9AC-983C-4152-BC8B-E245A8DF90D6}">
  <ds:schemaRefs>
    <ds:schemaRef ds:uri="http://schemas.microsoft.com/sharepoint/events"/>
  </ds:schemaRefs>
</ds:datastoreItem>
</file>

<file path=customXml/itemProps6.xml><?xml version="1.0" encoding="utf-8"?>
<ds:datastoreItem xmlns:ds="http://schemas.openxmlformats.org/officeDocument/2006/customXml" ds:itemID="{F5C2FAC6-4290-4746-B7E1-4704603E28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17</Pages>
  <Words>3955</Words>
  <Characters>22943</Characters>
  <Application>Microsoft Office Word</Application>
  <DocSecurity>0</DocSecurity>
  <Lines>521</Lines>
  <Paragraphs>340</Paragraphs>
  <ScaleCrop>false</ScaleCrop>
  <HeadingPairs>
    <vt:vector size="2" baseType="variant">
      <vt:variant>
        <vt:lpstr>Title</vt:lpstr>
      </vt:variant>
      <vt:variant>
        <vt:i4>1</vt:i4>
      </vt:variant>
    </vt:vector>
  </HeadingPairs>
  <TitlesOfParts>
    <vt:vector size="1" baseType="lpstr">
      <vt:lpstr>Attachment 1 - Forestry Business Support Package Guidelines - July 2024 - marked up.docx</vt:lpstr>
    </vt:vector>
  </TitlesOfParts>
  <Manager/>
  <Company/>
  <LinksUpToDate>false</LinksUpToDate>
  <CharactersWithSpaces>26558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Forestry Transition Program – Transition Fund Round 2 Application Guidelines</dc:title>
  <dc:subject/>
  <dc:creator/>
  <cp:keywords/>
  <dc:description/>
  <cp:lastModifiedBy>Andrea Wilcock (DEECA)</cp:lastModifiedBy>
  <cp:revision>14</cp:revision>
  <dcterms:created xsi:type="dcterms:W3CDTF">2024-08-01T23:42:00Z</dcterms:created>
  <dcterms:modified xsi:type="dcterms:W3CDTF">2024-10-30T00:47:00Z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y fmtid="{D5CDD505-2E9C-101B-9397-08002B2CF9AE}" pid="9" name="ContentTypeId">
    <vt:lpwstr>0x01010033AE3FB3D766BA4DBBC4F1DDAEE4273E</vt:lpwstr>
  </property>
  <property fmtid="{D5CDD505-2E9C-101B-9397-08002B2CF9AE}" pid="10" name="MediaServiceImageTags">
    <vt:lpwstr/>
  </property>
  <property fmtid="{D5CDD505-2E9C-101B-9397-08002B2CF9AE}" pid="11" name="_ExtendedDescription">
    <vt:lpwstr/>
  </property>
</Properties>
</file>