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32"/>
          <w:szCs w:val="32"/>
        </w:rPr>
        <w:id w:val="-1908137081"/>
        <w:docPartObj>
          <w:docPartGallery w:val="Cover Pages"/>
          <w:docPartUnique/>
        </w:docPartObj>
      </w:sdtPr>
      <w:sdtEndPr/>
      <w:sdtContent>
        <w:bookmarkStart w:id="0" w:name="_GoBack" w:displacedByCustomXml="prev"/>
        <w:bookmarkEnd w:id="0" w:displacedByCustomXml="prev"/>
        <w:p w14:paraId="673939A6" w14:textId="58CAFEA2" w:rsidR="00835396" w:rsidRDefault="000F0905" w:rsidP="003D420F">
          <w:pPr>
            <w:pStyle w:val="Cover"/>
            <w:rPr>
              <w:sz w:val="32"/>
              <w:szCs w:val="32"/>
            </w:rPr>
          </w:pPr>
          <w:r w:rsidRPr="00695FC5">
            <w:rPr>
              <w:noProof/>
              <w:lang w:val="en-AU" w:eastAsia="en-AU"/>
            </w:rPr>
            <mc:AlternateContent>
              <mc:Choice Requires="wps">
                <w:drawing>
                  <wp:anchor distT="0" distB="0" distL="114300" distR="114300" simplePos="0" relativeHeight="251658242" behindDoc="0" locked="0" layoutInCell="0" allowOverlap="1" wp14:anchorId="4AF6C732" wp14:editId="7844AB8B">
                    <wp:simplePos x="0" y="0"/>
                    <wp:positionH relativeFrom="margin">
                      <wp:align>right</wp:align>
                    </wp:positionH>
                    <wp:positionV relativeFrom="topMargin">
                      <wp:posOffset>825500</wp:posOffset>
                    </wp:positionV>
                    <wp:extent cx="4400550" cy="1670050"/>
                    <wp:effectExtent l="0" t="0" r="0" b="0"/>
                    <wp:wrapNone/>
                    <wp:docPr id="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00550" cy="1670050"/>
                            </a:xfrm>
                            <a:prstGeom prst="rect">
                              <a:avLst/>
                            </a:prstGeom>
                            <a:noFill/>
                          </wps:spPr>
                          <wps:txbx>
                            <w:txbxContent>
                              <w:p w14:paraId="415E5619" w14:textId="77777777" w:rsidR="002F279D" w:rsidRDefault="002F279D" w:rsidP="00657AD8">
                                <w:r>
                                  <w:rPr>
                                    <w:noProof/>
                                    <w:lang w:val="en-AU" w:eastAsia="en-AU"/>
                                  </w:rPr>
                                  <w:drawing>
                                    <wp:inline distT="0" distB="0" distL="0" distR="0" wp14:anchorId="1FC63D42" wp14:editId="1328C45A">
                                      <wp:extent cx="950595" cy="96329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yOfMelbourneSquare.jpg"/>
                                              <pic:cNvPicPr/>
                                            </pic:nvPicPr>
                                            <pic:blipFill>
                                              <a:blip r:embed="rId15">
                                                <a:extLst>
                                                  <a:ext uri="{28A0092B-C50C-407E-A947-70E740481C1C}">
                                                    <a14:useLocalDpi xmlns:a14="http://schemas.microsoft.com/office/drawing/2010/main" val="0"/>
                                                  </a:ext>
                                                </a:extLst>
                                              </a:blip>
                                              <a:stretch>
                                                <a:fillRect/>
                                              </a:stretch>
                                            </pic:blipFill>
                                            <pic:spPr>
                                              <a:xfrm>
                                                <a:off x="0" y="0"/>
                                                <a:ext cx="950595" cy="963295"/>
                                              </a:xfrm>
                                              <a:prstGeom prst="rect">
                                                <a:avLst/>
                                              </a:prstGeom>
                                            </pic:spPr>
                                          </pic:pic>
                                        </a:graphicData>
                                      </a:graphic>
                                    </wp:inline>
                                  </w:drawing>
                                </w:r>
                                <w:r>
                                  <w:rPr>
                                    <w:noProof/>
                                    <w:lang w:val="en-AU" w:eastAsia="en-AU"/>
                                  </w:rPr>
                                  <w:t xml:space="preserve">     </w:t>
                                </w:r>
                                <w:r>
                                  <w:rPr>
                                    <w:noProof/>
                                    <w:lang w:val="en-AU" w:eastAsia="en-AU"/>
                                  </w:rPr>
                                  <w:drawing>
                                    <wp:inline distT="0" distB="0" distL="0" distR="0" wp14:anchorId="1E016D17" wp14:editId="37C2CE44">
                                      <wp:extent cx="2689860" cy="859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9860" cy="859155"/>
                                              </a:xfrm>
                                              <a:prstGeom prst="rect">
                                                <a:avLst/>
                                              </a:prstGeom>
                                            </pic:spPr>
                                          </pic:pic>
                                        </a:graphicData>
                                      </a:graphic>
                                    </wp:inline>
                                  </w:drawing>
                                </w: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6C732" id="Rectangle 42" o:spid="_x0000_s1026" style="position:absolute;margin-left:295.3pt;margin-top:65pt;width:346.5pt;height:131.5pt;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" o:allowincell="f" filled="f" stroked="f">
                    <v:textbox inset="18pt,0,18pt,0">
                      <w:txbxContent>
                        <w:p w14:paraId="415E5619" w14:textId="77777777" w:rsidR="002F279D" w:rsidRDefault="002F279D" w:rsidP="00657AD8">
                          <w:r>
                            <w:rPr>
                              <w:noProof/>
                              <w:lang w:val="en-AU" w:eastAsia="en-AU"/>
                            </w:rPr>
                            <w:drawing>
                              <wp:inline distT="0" distB="0" distL="0" distR="0" wp14:anchorId="1FC63D42" wp14:editId="1328C45A">
                                <wp:extent cx="950595" cy="96329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yOfMelbourneSquare.jpg"/>
                                        <pic:cNvPicPr/>
                                      </pic:nvPicPr>
                                      <pic:blipFill>
                                        <a:blip r:embed="rId17">
                                          <a:extLst>
                                            <a:ext uri="{28A0092B-C50C-407E-A947-70E740481C1C}">
                                              <a14:useLocalDpi xmlns:a14="http://schemas.microsoft.com/office/drawing/2010/main" val="0"/>
                                            </a:ext>
                                          </a:extLst>
                                        </a:blip>
                                        <a:stretch>
                                          <a:fillRect/>
                                        </a:stretch>
                                      </pic:blipFill>
                                      <pic:spPr>
                                        <a:xfrm>
                                          <a:off x="0" y="0"/>
                                          <a:ext cx="950595" cy="963295"/>
                                        </a:xfrm>
                                        <a:prstGeom prst="rect">
                                          <a:avLst/>
                                        </a:prstGeom>
                                      </pic:spPr>
                                    </pic:pic>
                                  </a:graphicData>
                                </a:graphic>
                              </wp:inline>
                            </w:drawing>
                          </w:r>
                          <w:r>
                            <w:rPr>
                              <w:noProof/>
                              <w:lang w:val="en-AU" w:eastAsia="en-AU"/>
                            </w:rPr>
                            <w:t xml:space="preserve">     </w:t>
                          </w:r>
                          <w:r>
                            <w:rPr>
                              <w:noProof/>
                              <w:lang w:val="en-AU" w:eastAsia="en-AU"/>
                            </w:rPr>
                            <w:drawing>
                              <wp:inline distT="0" distB="0" distL="0" distR="0" wp14:anchorId="1E016D17" wp14:editId="37C2CE44">
                                <wp:extent cx="2689860" cy="859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9860" cy="859155"/>
                                        </a:xfrm>
                                        <a:prstGeom prst="rect">
                                          <a:avLst/>
                                        </a:prstGeom>
                                      </pic:spPr>
                                    </pic:pic>
                                  </a:graphicData>
                                </a:graphic>
                              </wp:inline>
                            </w:drawing>
                          </w:r>
                        </w:p>
                      </w:txbxContent>
                    </v:textbox>
                    <w10:wrap anchorx="margin" anchory="margin"/>
                  </v:rect>
                </w:pict>
              </mc:Fallback>
            </mc:AlternateContent>
          </w:r>
        </w:p>
        <w:p w14:paraId="196577D7" w14:textId="77777777" w:rsidR="00835396" w:rsidRDefault="00835396" w:rsidP="003D420F">
          <w:pPr>
            <w:pStyle w:val="Cover"/>
          </w:pPr>
        </w:p>
        <w:p w14:paraId="64B3211C" w14:textId="7E977FCA" w:rsidR="00400BAD" w:rsidRPr="003D420F" w:rsidRDefault="006E518E" w:rsidP="003D420F">
          <w:pPr>
            <w:pStyle w:val="Cover"/>
          </w:pPr>
          <w:r>
            <w:rPr>
              <w:noProof/>
              <w:lang w:val="en-AU" w:eastAsia="en-AU"/>
            </w:rPr>
            <w:drawing>
              <wp:anchor distT="0" distB="0" distL="114300" distR="114300" simplePos="0" relativeHeight="251658241" behindDoc="0" locked="0" layoutInCell="1" allowOverlap="1" wp14:anchorId="7D75E04A" wp14:editId="2E2A6D32">
                <wp:simplePos x="0" y="0"/>
                <wp:positionH relativeFrom="page">
                  <wp:align>left</wp:align>
                </wp:positionH>
                <wp:positionV relativeFrom="paragraph">
                  <wp:posOffset>355517</wp:posOffset>
                </wp:positionV>
                <wp:extent cx="7539927" cy="3395988"/>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lvanReservoir_Forest.jpg"/>
                        <pic:cNvPicPr/>
                      </pic:nvPicPr>
                      <pic:blipFill rotWithShape="1">
                        <a:blip r:embed="rId19" cstate="print">
                          <a:extLst>
                            <a:ext uri="{28A0092B-C50C-407E-A947-70E740481C1C}">
                              <a14:useLocalDpi xmlns:a14="http://schemas.microsoft.com/office/drawing/2010/main" val="0"/>
                            </a:ext>
                          </a:extLst>
                        </a:blip>
                        <a:srcRect l="10370" r="3833"/>
                        <a:stretch/>
                      </pic:blipFill>
                      <pic:spPr bwMode="auto">
                        <a:xfrm>
                          <a:off x="0" y="0"/>
                          <a:ext cx="7539927" cy="3395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A1D3E" w14:textId="77777777" w:rsidR="00400BAD" w:rsidRDefault="00400BAD" w:rsidP="003D420F">
          <w:pPr>
            <w:pStyle w:val="Cover"/>
          </w:pPr>
        </w:p>
        <w:p w14:paraId="6A10A6D7" w14:textId="77777777" w:rsidR="007D72B5" w:rsidRDefault="007D72B5" w:rsidP="007D72B5">
          <w:pPr>
            <w:pStyle w:val="Cover"/>
          </w:pPr>
        </w:p>
        <w:p w14:paraId="1BDD85B6" w14:textId="77777777" w:rsidR="007D72B5" w:rsidRDefault="007D72B5" w:rsidP="007D72B5">
          <w:pPr>
            <w:pStyle w:val="Cover"/>
          </w:pPr>
        </w:p>
        <w:p w14:paraId="1C5F5768" w14:textId="77777777" w:rsidR="007D72B5" w:rsidRDefault="007D72B5" w:rsidP="007D72B5">
          <w:pPr>
            <w:pStyle w:val="Cover"/>
          </w:pPr>
        </w:p>
        <w:p w14:paraId="10A904C7" w14:textId="77777777" w:rsidR="007D72B5" w:rsidRDefault="007D72B5" w:rsidP="007D72B5">
          <w:pPr>
            <w:pStyle w:val="Cover"/>
          </w:pPr>
        </w:p>
        <w:p w14:paraId="3F291185" w14:textId="77777777" w:rsidR="007D72B5" w:rsidRDefault="007D72B5" w:rsidP="007D72B5">
          <w:pPr>
            <w:pStyle w:val="Cover"/>
          </w:pPr>
        </w:p>
        <w:p w14:paraId="2592033E" w14:textId="77777777" w:rsidR="007D72B5" w:rsidRDefault="007D72B5" w:rsidP="007D72B5">
          <w:pPr>
            <w:pStyle w:val="Cover"/>
          </w:pPr>
        </w:p>
        <w:p w14:paraId="6D9338E3" w14:textId="77777777" w:rsidR="007D72B5" w:rsidRDefault="007D72B5" w:rsidP="007D72B5">
          <w:pPr>
            <w:pStyle w:val="Cover"/>
          </w:pPr>
        </w:p>
        <w:p w14:paraId="43FA54BA" w14:textId="77777777" w:rsidR="007D72B5" w:rsidRDefault="007D72B5" w:rsidP="007D72B5">
          <w:pPr>
            <w:pStyle w:val="Cover"/>
          </w:pPr>
        </w:p>
        <w:p w14:paraId="75912B93" w14:textId="77777777" w:rsidR="007D72B5" w:rsidRDefault="007D72B5" w:rsidP="007D72B5">
          <w:pPr>
            <w:pStyle w:val="Cover"/>
          </w:pPr>
        </w:p>
        <w:p w14:paraId="3814D757" w14:textId="4BF97FAC" w:rsidR="00400BAD" w:rsidRPr="00DA04ED" w:rsidRDefault="008F649D" w:rsidP="00835396">
          <w:pPr>
            <w:pStyle w:val="Coverprojectname"/>
            <w:spacing w:before="360"/>
            <w:ind w:hanging="709"/>
            <w:rPr>
              <w:color w:val="365F91" w:themeColor="accent1" w:themeShade="BF"/>
            </w:rPr>
          </w:pPr>
          <w:r w:rsidRPr="00DA04ED">
            <w:rPr>
              <w:color w:val="365F91" w:themeColor="accent1" w:themeShade="BF"/>
            </w:rPr>
            <w:fldChar w:fldCharType="begin"/>
          </w:r>
          <w:r w:rsidRPr="00DA04ED">
            <w:rPr>
              <w:color w:val="365F91" w:themeColor="accent1" w:themeShade="BF"/>
            </w:rPr>
            <w:instrText xml:space="preserve"> DOCPROPERTY  "Project name"  \* MERGEFORMAT </w:instrText>
          </w:r>
          <w:r w:rsidRPr="00DA04ED">
            <w:rPr>
              <w:color w:val="365F91" w:themeColor="accent1" w:themeShade="BF"/>
            </w:rPr>
            <w:fldChar w:fldCharType="separate"/>
          </w:r>
          <w:r w:rsidR="00BC42C8">
            <w:rPr>
              <w:color w:val="365F91" w:themeColor="accent1" w:themeShade="BF"/>
            </w:rPr>
            <w:t xml:space="preserve">ERP25 </w:t>
          </w:r>
          <w:r w:rsidR="00B23337">
            <w:rPr>
              <w:rFonts w:cs="Arial"/>
              <w:color w:val="365F91" w:themeColor="accent1" w:themeShade="BF"/>
            </w:rPr>
            <w:t>–</w:t>
          </w:r>
          <w:r w:rsidR="00BC42C8">
            <w:rPr>
              <w:color w:val="365F91" w:themeColor="accent1" w:themeShade="BF"/>
            </w:rPr>
            <w:t xml:space="preserve"> Review of 2008 Wood and Water Study</w:t>
          </w:r>
          <w:r w:rsidRPr="00DA04ED">
            <w:rPr>
              <w:color w:val="365F91" w:themeColor="accent1" w:themeShade="BF"/>
            </w:rPr>
            <w:fldChar w:fldCharType="end"/>
          </w:r>
        </w:p>
        <w:p w14:paraId="5B453D79" w14:textId="36D8C522" w:rsidR="0008526D" w:rsidRPr="00DA04ED" w:rsidRDefault="0008526D" w:rsidP="0008526D">
          <w:pPr>
            <w:pStyle w:val="Coverprojectname"/>
            <w:spacing w:before="360"/>
            <w:ind w:hanging="709"/>
            <w:rPr>
              <w:color w:val="365F91" w:themeColor="accent1" w:themeShade="BF"/>
            </w:rPr>
          </w:pPr>
          <w:r w:rsidRPr="00DA04ED">
            <w:rPr>
              <w:color w:val="365F91" w:themeColor="accent1" w:themeShade="BF"/>
            </w:rPr>
            <w:fldChar w:fldCharType="begin"/>
          </w:r>
          <w:r w:rsidRPr="00DA04ED">
            <w:rPr>
              <w:color w:val="365F91" w:themeColor="accent1" w:themeShade="BF"/>
            </w:rPr>
            <w:instrText xml:space="preserve"> DOCPROPERTY  Author  \* MERGEFORMAT </w:instrText>
          </w:r>
          <w:r w:rsidRPr="00DA04ED">
            <w:rPr>
              <w:color w:val="365F91" w:themeColor="accent1" w:themeShade="BF"/>
            </w:rPr>
            <w:fldChar w:fldCharType="separate"/>
          </w:r>
          <w:r w:rsidR="00BC42C8">
            <w:rPr>
              <w:color w:val="365F91" w:themeColor="accent1" w:themeShade="BF"/>
            </w:rPr>
            <w:t>Phillip Jordan, Rory Nathan, Richard Benyon, Benjamin Henley, Trent Penman and Peter Hill</w:t>
          </w:r>
          <w:r w:rsidRPr="00DA04ED">
            <w:rPr>
              <w:color w:val="365F91" w:themeColor="accent1" w:themeShade="BF"/>
            </w:rPr>
            <w:fldChar w:fldCharType="end"/>
          </w:r>
        </w:p>
        <w:p w14:paraId="1295E665" w14:textId="307071BB" w:rsidR="00400BAD" w:rsidRPr="003D420F" w:rsidRDefault="00BF1007" w:rsidP="003D420F">
          <w:pPr>
            <w:pStyle w:val="Coverreporttitle"/>
          </w:pPr>
          <w:r>
            <w:fldChar w:fldCharType="begin"/>
          </w:r>
          <w:r>
            <w:instrText xml:space="preserve"> DOCPROPERTY  "Report name"  \* MERGEFORMAT </w:instrText>
          </w:r>
          <w:r>
            <w:fldChar w:fldCharType="separate"/>
          </w:r>
          <w:r w:rsidR="00BC42C8">
            <w:t>Report</w:t>
          </w:r>
          <w:r>
            <w:fldChar w:fldCharType="end"/>
          </w:r>
        </w:p>
        <w:p w14:paraId="1BB4769A" w14:textId="28ECFEEF" w:rsidR="00400BAD" w:rsidRPr="0042091F" w:rsidRDefault="00BF1007" w:rsidP="003D420F">
          <w:pPr>
            <w:pStyle w:val="Coverversion"/>
          </w:pPr>
          <w:r>
            <w:fldChar w:fldCharType="begin"/>
          </w:r>
          <w:r>
            <w:instrText xml:space="preserve"> DOCPROPERTY  Version  \* MERGEFORMAT </w:instrText>
          </w:r>
          <w:r>
            <w:fldChar w:fldCharType="separate"/>
          </w:r>
          <w:r w:rsidR="00BC42C8">
            <w:t>Version 1</w:t>
          </w:r>
          <w:r>
            <w:fldChar w:fldCharType="end"/>
          </w:r>
        </w:p>
        <w:p w14:paraId="7536B77A" w14:textId="26FCE846" w:rsidR="00AE73CA" w:rsidRPr="003D420F" w:rsidRDefault="00BF1007" w:rsidP="003D420F">
          <w:pPr>
            <w:pStyle w:val="Coverversion"/>
          </w:pPr>
          <w:r>
            <w:fldChar w:fldCharType="begin"/>
          </w:r>
          <w:r>
            <w:instrText xml:space="preserve"> DOCPROPERTY  "Date completed"  \* MERGEFORMAT </w:instrText>
          </w:r>
          <w:r>
            <w:fldChar w:fldCharType="separate"/>
          </w:r>
          <w:r w:rsidR="00BC42C8">
            <w:t>25 March 2020</w:t>
          </w:r>
          <w:r>
            <w:fldChar w:fldCharType="end"/>
          </w:r>
          <w:r w:rsidR="00992BAA" w:rsidRPr="003D420F">
            <w:rPr>
              <w:noProof/>
              <w:lang w:val="en-AU" w:eastAsia="en-AU"/>
            </w:rPr>
            <w:drawing>
              <wp:anchor distT="0" distB="0" distL="114300" distR="114300" simplePos="0" relativeHeight="251658240" behindDoc="1" locked="0" layoutInCell="1" allowOverlap="1" wp14:anchorId="2CABE9D0" wp14:editId="5A359173">
                <wp:simplePos x="0" y="0"/>
                <wp:positionH relativeFrom="page">
                  <wp:posOffset>788035</wp:posOffset>
                </wp:positionH>
                <wp:positionV relativeFrom="page">
                  <wp:posOffset>961236</wp:posOffset>
                </wp:positionV>
                <wp:extent cx="1891665" cy="857250"/>
                <wp:effectExtent l="0" t="0" r="0" b="0"/>
                <wp:wrapNone/>
                <wp:docPr id="353"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1665" cy="857250"/>
                        </a:xfrm>
                        <a:prstGeom prst="rect">
                          <a:avLst/>
                        </a:prstGeom>
                      </pic:spPr>
                    </pic:pic>
                  </a:graphicData>
                </a:graphic>
                <wp14:sizeRelH relativeFrom="margin">
                  <wp14:pctWidth>0</wp14:pctWidth>
                </wp14:sizeRelH>
                <wp14:sizeRelV relativeFrom="margin">
                  <wp14:pctHeight>0</wp14:pctHeight>
                </wp14:sizeRelV>
              </wp:anchor>
            </w:drawing>
          </w:r>
        </w:p>
      </w:sdtContent>
    </w:sdt>
    <w:p w14:paraId="4F29B2BD" w14:textId="77777777" w:rsidR="0019611D" w:rsidRPr="00400BAD" w:rsidRDefault="0019611D" w:rsidP="003D420F">
      <w:pPr>
        <w:pStyle w:val="Coverversion"/>
        <w:sectPr w:rsidR="0019611D" w:rsidRPr="00400BAD" w:rsidSect="007D72B5">
          <w:headerReference w:type="even" r:id="rId21"/>
          <w:headerReference w:type="default" r:id="rId22"/>
          <w:footerReference w:type="even" r:id="rId23"/>
          <w:footerReference w:type="default" r:id="rId24"/>
          <w:headerReference w:type="first" r:id="rId25"/>
          <w:footerReference w:type="first" r:id="rId26"/>
          <w:pgSz w:w="11907" w:h="16840" w:code="9"/>
          <w:pgMar w:top="3686" w:right="567" w:bottom="426" w:left="1276" w:header="680" w:footer="302" w:gutter="0"/>
          <w:pgNumType w:start="0"/>
          <w:cols w:space="720"/>
          <w:formProt w:val="0"/>
          <w:docGrid w:linePitch="299"/>
        </w:sectPr>
      </w:pPr>
    </w:p>
    <w:p w14:paraId="6C82627B" w14:textId="77777777" w:rsidR="000727DA" w:rsidRDefault="000727DA" w:rsidP="003D420F">
      <w:pPr>
        <w:pStyle w:val="Head4manual"/>
        <w:rPr>
          <w:noProof/>
        </w:rPr>
      </w:pPr>
      <w:r>
        <w:rPr>
          <w:noProof/>
        </w:rPr>
        <w:lastRenderedPageBreak/>
        <w:t>Document status</w:t>
      </w:r>
    </w:p>
    <w:tbl>
      <w:tblPr>
        <w:tblW w:w="5165" w:type="pct"/>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CellMar>
          <w:left w:w="113" w:type="dxa"/>
          <w:right w:w="113" w:type="dxa"/>
        </w:tblCellMar>
        <w:tblLook w:val="0000" w:firstRow="0" w:lastRow="0" w:firstColumn="0" w:lastColumn="0" w:noHBand="0" w:noVBand="0"/>
      </w:tblPr>
      <w:tblGrid>
        <w:gridCol w:w="1839"/>
        <w:gridCol w:w="7229"/>
      </w:tblGrid>
      <w:tr w:rsidR="00B95AFD" w14:paraId="73D689B5" w14:textId="77777777" w:rsidTr="00615145">
        <w:trPr>
          <w:trHeight w:val="260"/>
        </w:trPr>
        <w:tc>
          <w:tcPr>
            <w:tcW w:w="1014" w:type="pct"/>
            <w:shd w:val="clear" w:color="auto" w:fill="959595"/>
            <w:vAlign w:val="center"/>
          </w:tcPr>
          <w:p w14:paraId="6108EAEA" w14:textId="77777777" w:rsidR="00B95AFD" w:rsidRPr="00CE4D2B" w:rsidRDefault="00B95AFD" w:rsidP="00CE4D2B">
            <w:pPr>
              <w:pStyle w:val="DocStatusH"/>
            </w:pPr>
            <w:r w:rsidRPr="00CE4D2B">
              <w:t>Client</w:t>
            </w:r>
          </w:p>
        </w:tc>
        <w:tc>
          <w:tcPr>
            <w:tcW w:w="3986" w:type="pct"/>
            <w:shd w:val="clear" w:color="auto" w:fill="FFFFFF" w:themeFill="background1"/>
            <w:vAlign w:val="center"/>
          </w:tcPr>
          <w:p w14:paraId="2E28F1F2" w14:textId="5E12973D" w:rsidR="00B95AFD" w:rsidRPr="00423F85" w:rsidRDefault="00BF1007" w:rsidP="00423F85">
            <w:pPr>
              <w:pStyle w:val="DocStatus"/>
            </w:pPr>
            <w:r>
              <w:fldChar w:fldCharType="begin"/>
            </w:r>
            <w:r>
              <w:instrText xml:space="preserve"> DOCPROPERTY  Client  \* MERGEFORMAT </w:instrText>
            </w:r>
            <w:r>
              <w:fldChar w:fldCharType="separate"/>
            </w:r>
            <w:r w:rsidR="00BC42C8">
              <w:t>Bushfire and Natural Hazards Cooperative Research Centre</w:t>
            </w:r>
            <w:r>
              <w:fldChar w:fldCharType="end"/>
            </w:r>
          </w:p>
        </w:tc>
      </w:tr>
      <w:tr w:rsidR="00B95AFD" w14:paraId="69650FD1" w14:textId="77777777" w:rsidTr="00615145">
        <w:tc>
          <w:tcPr>
            <w:tcW w:w="1014" w:type="pct"/>
            <w:shd w:val="clear" w:color="auto" w:fill="959595"/>
            <w:vAlign w:val="center"/>
          </w:tcPr>
          <w:p w14:paraId="086DD8D2" w14:textId="77777777" w:rsidR="00B95AFD" w:rsidRPr="00CE4D2B" w:rsidRDefault="00B95AFD" w:rsidP="00CE4D2B">
            <w:pPr>
              <w:pStyle w:val="DocStatusH"/>
            </w:pPr>
            <w:r w:rsidRPr="00CE4D2B">
              <w:t>Project</w:t>
            </w:r>
          </w:p>
        </w:tc>
        <w:tc>
          <w:tcPr>
            <w:tcW w:w="3986" w:type="pct"/>
            <w:shd w:val="clear" w:color="auto" w:fill="FFFFFF" w:themeFill="background1"/>
            <w:vAlign w:val="center"/>
          </w:tcPr>
          <w:p w14:paraId="7923B1B3" w14:textId="3DA3D8C1" w:rsidR="00B95AFD" w:rsidRPr="00B31AF3" w:rsidRDefault="00BF1007" w:rsidP="00CE4D2B">
            <w:pPr>
              <w:pStyle w:val="DocStatus"/>
            </w:pPr>
            <w:r>
              <w:fldChar w:fldCharType="begin"/>
            </w:r>
            <w:r>
              <w:instrText xml:space="preserve"> DOCPROPERTY  "Project name"  \* MERGEFORMAT </w:instrText>
            </w:r>
            <w:r>
              <w:fldChar w:fldCharType="separate"/>
            </w:r>
            <w:r w:rsidR="00BC42C8">
              <w:t xml:space="preserve">ERP25 </w:t>
            </w:r>
            <w:r w:rsidR="000E5D84">
              <w:rPr>
                <w:rFonts w:cs="Arial"/>
              </w:rPr>
              <w:t>–</w:t>
            </w:r>
            <w:r w:rsidR="00BC42C8">
              <w:t xml:space="preserve"> Review of 2008 Wood and Water Study</w:t>
            </w:r>
            <w:r>
              <w:fldChar w:fldCharType="end"/>
            </w:r>
          </w:p>
        </w:tc>
      </w:tr>
      <w:tr w:rsidR="00B95AFD" w14:paraId="68AD5858" w14:textId="77777777" w:rsidTr="00615145">
        <w:tc>
          <w:tcPr>
            <w:tcW w:w="1014" w:type="pct"/>
            <w:shd w:val="clear" w:color="auto" w:fill="959595"/>
            <w:vAlign w:val="center"/>
          </w:tcPr>
          <w:p w14:paraId="651CC56D" w14:textId="77777777" w:rsidR="00B95AFD" w:rsidRPr="00CE4D2B" w:rsidRDefault="00B95AFD" w:rsidP="00CE4D2B">
            <w:pPr>
              <w:pStyle w:val="DocStatusH"/>
            </w:pPr>
            <w:r w:rsidRPr="00CE4D2B">
              <w:t>Document</w:t>
            </w:r>
          </w:p>
        </w:tc>
        <w:tc>
          <w:tcPr>
            <w:tcW w:w="3986" w:type="pct"/>
            <w:shd w:val="clear" w:color="auto" w:fill="FFFFFF" w:themeFill="background1"/>
            <w:vAlign w:val="center"/>
          </w:tcPr>
          <w:p w14:paraId="1BCED425" w14:textId="51BF33D6" w:rsidR="00B95AFD" w:rsidRPr="00B31AF3" w:rsidRDefault="00835396" w:rsidP="00CE4D2B">
            <w:pPr>
              <w:pStyle w:val="DocStatus"/>
            </w:pPr>
            <w:r>
              <w:rPr>
                <w:noProof/>
              </w:rPr>
              <w:fldChar w:fldCharType="begin"/>
            </w:r>
            <w:r w:rsidRPr="00F1202A">
              <w:rPr>
                <w:noProof/>
              </w:rPr>
              <w:instrText xml:space="preserve"> FILENAME   \* MERGEFORMAT </w:instrText>
            </w:r>
            <w:r>
              <w:rPr>
                <w:noProof/>
              </w:rPr>
              <w:fldChar w:fldCharType="separate"/>
            </w:r>
            <w:r w:rsidR="00F1202A">
              <w:rPr>
                <w:noProof/>
              </w:rPr>
              <w:t>VIC00055_RP_WoodAndWaterReview_v2.docx</w:t>
            </w:r>
            <w:r>
              <w:rPr>
                <w:noProof/>
              </w:rPr>
              <w:fldChar w:fldCharType="end"/>
            </w:r>
          </w:p>
        </w:tc>
      </w:tr>
      <w:tr w:rsidR="00B95AFD" w14:paraId="18C9BC2F" w14:textId="77777777" w:rsidTr="00615145">
        <w:tc>
          <w:tcPr>
            <w:tcW w:w="1014" w:type="pct"/>
            <w:shd w:val="clear" w:color="auto" w:fill="959595"/>
            <w:vAlign w:val="center"/>
          </w:tcPr>
          <w:p w14:paraId="5D231E0E" w14:textId="77777777" w:rsidR="00B95AFD" w:rsidRPr="00CE4D2B" w:rsidRDefault="00B95AFD" w:rsidP="00CE4D2B">
            <w:pPr>
              <w:pStyle w:val="DocStatusH"/>
            </w:pPr>
            <w:r w:rsidRPr="00CE4D2B">
              <w:t>This version</w:t>
            </w:r>
          </w:p>
        </w:tc>
        <w:tc>
          <w:tcPr>
            <w:tcW w:w="3986" w:type="pct"/>
            <w:shd w:val="clear" w:color="auto" w:fill="FFFFFF" w:themeFill="background1"/>
            <w:vAlign w:val="center"/>
          </w:tcPr>
          <w:p w14:paraId="2744E31E" w14:textId="374C6E07" w:rsidR="00B95AFD" w:rsidRPr="00B31AF3" w:rsidRDefault="00BF1007" w:rsidP="00CE4D2B">
            <w:pPr>
              <w:pStyle w:val="DocStatus"/>
            </w:pPr>
            <w:r>
              <w:fldChar w:fldCharType="begin"/>
            </w:r>
            <w:r>
              <w:instrText xml:space="preserve"> DOCPROPERTY  Version  \* MERGEFORMAT </w:instrText>
            </w:r>
            <w:r>
              <w:fldChar w:fldCharType="separate"/>
            </w:r>
            <w:r w:rsidR="00BC42C8">
              <w:t>Version 1</w:t>
            </w:r>
            <w:r>
              <w:fldChar w:fldCharType="end"/>
            </w:r>
          </w:p>
        </w:tc>
      </w:tr>
      <w:tr w:rsidR="00B95AFD" w14:paraId="34632D5F" w14:textId="77777777" w:rsidTr="00615145">
        <w:tc>
          <w:tcPr>
            <w:tcW w:w="1014" w:type="pct"/>
            <w:shd w:val="clear" w:color="auto" w:fill="959595"/>
            <w:vAlign w:val="center"/>
          </w:tcPr>
          <w:p w14:paraId="0E451917" w14:textId="77777777" w:rsidR="00B95AFD" w:rsidRPr="00CE4D2B" w:rsidRDefault="00B95AFD" w:rsidP="00CE4D2B">
            <w:pPr>
              <w:pStyle w:val="DocStatusH"/>
            </w:pPr>
            <w:r w:rsidRPr="00CE4D2B">
              <w:t>Authors</w:t>
            </w:r>
          </w:p>
        </w:tc>
        <w:tc>
          <w:tcPr>
            <w:tcW w:w="3986" w:type="pct"/>
            <w:shd w:val="clear" w:color="auto" w:fill="FFFFFF" w:themeFill="background1"/>
            <w:vAlign w:val="center"/>
          </w:tcPr>
          <w:p w14:paraId="0BE03BCF" w14:textId="665A2433" w:rsidR="00B95AFD" w:rsidRPr="00B31AF3" w:rsidRDefault="00BF1007" w:rsidP="00374680">
            <w:pPr>
              <w:pStyle w:val="DocStatus"/>
            </w:pPr>
            <w:r>
              <w:fldChar w:fldCharType="begin"/>
            </w:r>
            <w:r>
              <w:instrText xml:space="preserve"> DOCPROPERTY  Author  \* MERGEFORMAT </w:instrText>
            </w:r>
            <w:r>
              <w:fldChar w:fldCharType="separate"/>
            </w:r>
            <w:r w:rsidR="00BC42C8">
              <w:t>Phillip Jordan, Rory Nathan, Richard Benyon, Benjamin Henley, Trent Penman and Peter Hill</w:t>
            </w:r>
            <w:r>
              <w:fldChar w:fldCharType="end"/>
            </w:r>
          </w:p>
        </w:tc>
      </w:tr>
      <w:tr w:rsidR="00B95AFD" w14:paraId="1D5AF964" w14:textId="77777777" w:rsidTr="00615145">
        <w:tc>
          <w:tcPr>
            <w:tcW w:w="1014" w:type="pct"/>
            <w:shd w:val="clear" w:color="auto" w:fill="959595"/>
            <w:vAlign w:val="center"/>
          </w:tcPr>
          <w:p w14:paraId="5BD05FB0" w14:textId="77777777" w:rsidR="00B95AFD" w:rsidRPr="00CE4D2B" w:rsidRDefault="00B95AFD" w:rsidP="00CE4D2B">
            <w:pPr>
              <w:pStyle w:val="DocStatusH"/>
            </w:pPr>
            <w:r w:rsidRPr="00CE4D2B">
              <w:t>Project manager</w:t>
            </w:r>
          </w:p>
        </w:tc>
        <w:tc>
          <w:tcPr>
            <w:tcW w:w="3986" w:type="pct"/>
            <w:shd w:val="clear" w:color="auto" w:fill="FFFFFF" w:themeFill="background1"/>
            <w:vAlign w:val="center"/>
          </w:tcPr>
          <w:p w14:paraId="63F3DC65" w14:textId="429DA62E" w:rsidR="00B95AFD" w:rsidRPr="00B31AF3" w:rsidRDefault="008F649D" w:rsidP="00CE4D2B">
            <w:pPr>
              <w:pStyle w:val="DocStatus"/>
            </w:pPr>
            <w:r>
              <w:rPr>
                <w:noProof/>
              </w:rPr>
              <w:fldChar w:fldCharType="begin"/>
            </w:r>
            <w:r>
              <w:rPr>
                <w:noProof/>
              </w:rPr>
              <w:instrText xml:space="preserve"> AUTHOR   \* MERGEFORMAT </w:instrText>
            </w:r>
            <w:r>
              <w:rPr>
                <w:noProof/>
              </w:rPr>
              <w:fldChar w:fldCharType="separate"/>
            </w:r>
            <w:r w:rsidR="00BC42C8">
              <w:rPr>
                <w:noProof/>
              </w:rPr>
              <w:t>Phillip Jordan</w:t>
            </w:r>
            <w:r>
              <w:rPr>
                <w:noProof/>
              </w:rPr>
              <w:fldChar w:fldCharType="end"/>
            </w:r>
          </w:p>
        </w:tc>
      </w:tr>
      <w:tr w:rsidR="00B95AFD" w14:paraId="5CC883E1" w14:textId="77777777" w:rsidTr="00615145">
        <w:tc>
          <w:tcPr>
            <w:tcW w:w="1014" w:type="pct"/>
            <w:shd w:val="clear" w:color="auto" w:fill="959595"/>
            <w:vAlign w:val="center"/>
          </w:tcPr>
          <w:p w14:paraId="461E3DFB" w14:textId="77777777" w:rsidR="00B95AFD" w:rsidRPr="00CE4D2B" w:rsidRDefault="00B95AFD" w:rsidP="00CE4D2B">
            <w:pPr>
              <w:pStyle w:val="DocStatusH"/>
            </w:pPr>
            <w:r w:rsidRPr="00CE4D2B">
              <w:t>File name</w:t>
            </w:r>
          </w:p>
        </w:tc>
        <w:tc>
          <w:tcPr>
            <w:tcW w:w="3986" w:type="pct"/>
            <w:shd w:val="clear" w:color="auto" w:fill="FFFFFF" w:themeFill="background1"/>
            <w:vAlign w:val="center"/>
          </w:tcPr>
          <w:p w14:paraId="113C990F" w14:textId="0A25C622" w:rsidR="00B95AFD" w:rsidRPr="00B31AF3" w:rsidRDefault="008F649D" w:rsidP="00CE4D2B">
            <w:pPr>
              <w:pStyle w:val="DocStatus"/>
            </w:pPr>
            <w:r>
              <w:rPr>
                <w:noProof/>
              </w:rPr>
              <w:fldChar w:fldCharType="begin"/>
            </w:r>
            <w:r>
              <w:rPr>
                <w:noProof/>
              </w:rPr>
              <w:instrText xml:space="preserve"> FILENAME  \p  \* MERGEFORMAT </w:instrText>
            </w:r>
            <w:r>
              <w:rPr>
                <w:noProof/>
              </w:rPr>
              <w:fldChar w:fldCharType="separate"/>
            </w:r>
            <w:r w:rsidR="00BD05E2">
              <w:rPr>
                <w:noProof/>
              </w:rPr>
              <w:t>S:\3_Projects\VIC00055\6_Deliverables\FinalReport\VIC00055_RP_WoodAndWaterReview_v1.docx</w:t>
            </w:r>
            <w:r>
              <w:rPr>
                <w:noProof/>
              </w:rPr>
              <w:fldChar w:fldCharType="end"/>
            </w:r>
          </w:p>
        </w:tc>
      </w:tr>
      <w:tr w:rsidR="00B95AFD" w14:paraId="42872048" w14:textId="77777777" w:rsidTr="00615145">
        <w:tc>
          <w:tcPr>
            <w:tcW w:w="1014" w:type="pct"/>
            <w:shd w:val="clear" w:color="auto" w:fill="959595"/>
            <w:vAlign w:val="center"/>
          </w:tcPr>
          <w:p w14:paraId="137827C2" w14:textId="77777777" w:rsidR="00B95AFD" w:rsidRPr="00CE4D2B" w:rsidRDefault="00B95AFD" w:rsidP="00CE4D2B">
            <w:pPr>
              <w:pStyle w:val="DocStatusH"/>
            </w:pPr>
            <w:r w:rsidRPr="00CE4D2B">
              <w:t>Project number</w:t>
            </w:r>
          </w:p>
        </w:tc>
        <w:tc>
          <w:tcPr>
            <w:tcW w:w="3986" w:type="pct"/>
            <w:shd w:val="clear" w:color="auto" w:fill="FFFFFF" w:themeFill="background1"/>
            <w:vAlign w:val="center"/>
          </w:tcPr>
          <w:p w14:paraId="0399E8DD" w14:textId="77777777" w:rsidR="00B95AFD" w:rsidRPr="00B31AF3" w:rsidRDefault="00C132E6" w:rsidP="00CE4D2B">
            <w:pPr>
              <w:pStyle w:val="DocStatus"/>
            </w:pPr>
            <w:r>
              <w:t>VIC00055</w:t>
            </w:r>
          </w:p>
        </w:tc>
      </w:tr>
    </w:tbl>
    <w:p w14:paraId="54EE3442" w14:textId="77777777" w:rsidR="00B95AFD" w:rsidRDefault="00B95AFD" w:rsidP="00B95AFD"/>
    <w:p w14:paraId="004A27E5" w14:textId="10974376" w:rsidR="009E4B8D" w:rsidRPr="00B95AFD" w:rsidRDefault="009E4B8D" w:rsidP="009E4B8D">
      <w:pPr>
        <w:pStyle w:val="Head4manual"/>
        <w:pageBreakBefore w:val="0"/>
        <w:rPr>
          <w:noProof/>
        </w:rPr>
      </w:pPr>
      <w:r>
        <w:rPr>
          <w:noProof/>
        </w:rPr>
        <w:t>Acknowle</w:t>
      </w:r>
      <w:r w:rsidR="00B23337">
        <w:rPr>
          <w:noProof/>
        </w:rPr>
        <w:t>d</w:t>
      </w:r>
      <w:r>
        <w:rPr>
          <w:noProof/>
        </w:rPr>
        <w:t>gements</w:t>
      </w:r>
    </w:p>
    <w:p w14:paraId="70EB31C2" w14:textId="1A2DC5FF" w:rsidR="00F467AA" w:rsidRPr="00297D90" w:rsidRDefault="009E4B8D" w:rsidP="00297D90">
      <w:pPr>
        <w:pStyle w:val="Para0"/>
        <w:spacing w:before="120" w:after="120"/>
        <w:rPr>
          <w:noProof/>
          <w:szCs w:val="16"/>
        </w:rPr>
      </w:pPr>
      <w:r w:rsidRPr="00297D90">
        <w:rPr>
          <w:noProof/>
          <w:szCs w:val="16"/>
        </w:rPr>
        <w:t xml:space="preserve">Copyediting and proofreading of this report </w:t>
      </w:r>
      <w:r w:rsidR="00B11489" w:rsidRPr="00297D90">
        <w:rPr>
          <w:noProof/>
          <w:szCs w:val="16"/>
        </w:rPr>
        <w:t>w</w:t>
      </w:r>
      <w:r w:rsidR="00B11489">
        <w:rPr>
          <w:noProof/>
          <w:szCs w:val="16"/>
        </w:rPr>
        <w:t>ere</w:t>
      </w:r>
      <w:r w:rsidR="00B11489" w:rsidRPr="00297D90">
        <w:rPr>
          <w:noProof/>
          <w:szCs w:val="16"/>
        </w:rPr>
        <w:t xml:space="preserve"> </w:t>
      </w:r>
      <w:r w:rsidRPr="00297D90">
        <w:rPr>
          <w:noProof/>
          <w:szCs w:val="16"/>
        </w:rPr>
        <w:t xml:space="preserve">undertaken by Ann Milligan. </w:t>
      </w:r>
    </w:p>
    <w:p w14:paraId="2051DCF3" w14:textId="25EF8044" w:rsidR="00F467AA" w:rsidRPr="00297D90" w:rsidRDefault="009E4B8D" w:rsidP="00297D90">
      <w:pPr>
        <w:pStyle w:val="Para0"/>
        <w:spacing w:before="120" w:after="120"/>
        <w:rPr>
          <w:noProof/>
          <w:szCs w:val="16"/>
        </w:rPr>
      </w:pPr>
      <w:r w:rsidRPr="00297D90">
        <w:rPr>
          <w:noProof/>
          <w:szCs w:val="16"/>
        </w:rPr>
        <w:t>Rocianne Bortolazzo Pinto and Katherine Szabo provided assistance with prep</w:t>
      </w:r>
      <w:r w:rsidR="00B23337">
        <w:rPr>
          <w:noProof/>
          <w:szCs w:val="16"/>
        </w:rPr>
        <w:t>a</w:t>
      </w:r>
      <w:r w:rsidRPr="00297D90">
        <w:rPr>
          <w:noProof/>
          <w:szCs w:val="16"/>
        </w:rPr>
        <w:t>ration of maps, figures and data tables included in this report.</w:t>
      </w:r>
    </w:p>
    <w:p w14:paraId="36354F91" w14:textId="69117C16" w:rsidR="00F467AA" w:rsidRPr="00297D90" w:rsidRDefault="00594248" w:rsidP="00297D90">
      <w:pPr>
        <w:pStyle w:val="Para0"/>
        <w:spacing w:before="120" w:after="120"/>
        <w:rPr>
          <w:noProof/>
          <w:szCs w:val="16"/>
        </w:rPr>
      </w:pPr>
      <w:r w:rsidRPr="00297D90">
        <w:rPr>
          <w:noProof/>
          <w:szCs w:val="16"/>
        </w:rPr>
        <w:t>Project management support was provided by Loriana Bethune and Kelsey Tarabinin from the Bushfire and Natural Hazards Cooperative Research Centre.</w:t>
      </w:r>
      <w:r w:rsidR="009E4B8D" w:rsidRPr="00297D90">
        <w:rPr>
          <w:noProof/>
          <w:szCs w:val="16"/>
        </w:rPr>
        <w:t xml:space="preserve"> </w:t>
      </w:r>
    </w:p>
    <w:p w14:paraId="6788E37C" w14:textId="5ED23786" w:rsidR="009E4B8D" w:rsidRDefault="009E4B8D" w:rsidP="00297D90">
      <w:pPr>
        <w:pStyle w:val="Para0"/>
        <w:spacing w:before="120" w:after="120"/>
        <w:rPr>
          <w:noProof/>
          <w:szCs w:val="16"/>
        </w:rPr>
      </w:pPr>
      <w:r w:rsidRPr="00297D90">
        <w:rPr>
          <w:noProof/>
          <w:szCs w:val="16"/>
        </w:rPr>
        <w:t xml:space="preserve">Melbourne Water provided monthly streamflow data on inflows to Thomson, Upper Yarra, O’Shannassy and Maroondah </w:t>
      </w:r>
      <w:r w:rsidR="00B11489">
        <w:rPr>
          <w:noProof/>
          <w:szCs w:val="16"/>
        </w:rPr>
        <w:t>reservoirs</w:t>
      </w:r>
      <w:r w:rsidRPr="00297D90">
        <w:rPr>
          <w:noProof/>
          <w:szCs w:val="16"/>
        </w:rPr>
        <w:t>.</w:t>
      </w:r>
    </w:p>
    <w:p w14:paraId="251710DA" w14:textId="77777777" w:rsidR="007407B1" w:rsidRPr="00297D90" w:rsidRDefault="007407B1" w:rsidP="00297D90">
      <w:pPr>
        <w:pStyle w:val="Para0"/>
        <w:spacing w:before="120" w:after="120"/>
        <w:rPr>
          <w:noProof/>
          <w:szCs w:val="16"/>
        </w:rPr>
      </w:pPr>
    </w:p>
    <w:p w14:paraId="5157BA77" w14:textId="77777777" w:rsidR="00B95AFD" w:rsidRPr="00B95AFD" w:rsidRDefault="00B95AFD" w:rsidP="00295ADE">
      <w:pPr>
        <w:pStyle w:val="Head4manual"/>
        <w:pageBreakBefore w:val="0"/>
        <w:rPr>
          <w:noProof/>
        </w:rPr>
      </w:pPr>
      <w:r w:rsidRPr="00B95AFD">
        <w:rPr>
          <w:noProof/>
        </w:rPr>
        <w:t>Document history</w:t>
      </w:r>
    </w:p>
    <w:tbl>
      <w:tblPr>
        <w:tblW w:w="5165" w:type="pct"/>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CellMar>
          <w:left w:w="113" w:type="dxa"/>
          <w:right w:w="113" w:type="dxa"/>
        </w:tblCellMar>
        <w:tblLook w:val="0000" w:firstRow="0" w:lastRow="0" w:firstColumn="0" w:lastColumn="0" w:noHBand="0" w:noVBand="0"/>
      </w:tblPr>
      <w:tblGrid>
        <w:gridCol w:w="989"/>
        <w:gridCol w:w="1274"/>
        <w:gridCol w:w="1564"/>
        <w:gridCol w:w="1416"/>
        <w:gridCol w:w="1701"/>
        <w:gridCol w:w="2124"/>
      </w:tblGrid>
      <w:tr w:rsidR="000727DA" w14:paraId="6D017E74" w14:textId="77777777" w:rsidTr="007407B1">
        <w:trPr>
          <w:trHeight w:val="260"/>
        </w:trPr>
        <w:tc>
          <w:tcPr>
            <w:tcW w:w="545" w:type="pct"/>
            <w:shd w:val="clear" w:color="000000" w:fill="959595"/>
            <w:vAlign w:val="center"/>
          </w:tcPr>
          <w:p w14:paraId="2D99560D" w14:textId="77777777" w:rsidR="000727DA" w:rsidRPr="00B31AF3" w:rsidRDefault="00B95AFD" w:rsidP="00B31AF3">
            <w:pPr>
              <w:pStyle w:val="DocStatusH"/>
              <w:rPr>
                <w:szCs w:val="18"/>
              </w:rPr>
            </w:pPr>
            <w:r>
              <w:rPr>
                <w:szCs w:val="18"/>
              </w:rPr>
              <w:t>Version</w:t>
            </w:r>
          </w:p>
        </w:tc>
        <w:tc>
          <w:tcPr>
            <w:tcW w:w="702" w:type="pct"/>
            <w:shd w:val="clear" w:color="000000" w:fill="959595"/>
            <w:vAlign w:val="center"/>
          </w:tcPr>
          <w:p w14:paraId="6E86FCFF" w14:textId="77777777" w:rsidR="000727DA" w:rsidRPr="00B31AF3" w:rsidRDefault="000727DA" w:rsidP="00B31AF3">
            <w:pPr>
              <w:pStyle w:val="DocStatusH"/>
              <w:rPr>
                <w:szCs w:val="18"/>
              </w:rPr>
            </w:pPr>
            <w:r w:rsidRPr="00B31AF3">
              <w:rPr>
                <w:szCs w:val="18"/>
              </w:rPr>
              <w:t>Date issued</w:t>
            </w:r>
          </w:p>
        </w:tc>
        <w:tc>
          <w:tcPr>
            <w:tcW w:w="862" w:type="pct"/>
            <w:shd w:val="clear" w:color="000000" w:fill="959595"/>
            <w:vAlign w:val="center"/>
          </w:tcPr>
          <w:p w14:paraId="4BA4BF64" w14:textId="77777777" w:rsidR="000727DA" w:rsidRPr="00B31AF3" w:rsidRDefault="000727DA" w:rsidP="00B31AF3">
            <w:pPr>
              <w:pStyle w:val="DocStatusH"/>
              <w:rPr>
                <w:szCs w:val="18"/>
              </w:rPr>
            </w:pPr>
            <w:r w:rsidRPr="00B31AF3">
              <w:rPr>
                <w:szCs w:val="18"/>
              </w:rPr>
              <w:t>Reviewed by</w:t>
            </w:r>
          </w:p>
        </w:tc>
        <w:tc>
          <w:tcPr>
            <w:tcW w:w="781" w:type="pct"/>
            <w:shd w:val="clear" w:color="000000" w:fill="959595"/>
            <w:vAlign w:val="center"/>
          </w:tcPr>
          <w:p w14:paraId="0A4F49CE" w14:textId="77777777" w:rsidR="000727DA" w:rsidRPr="00B31AF3" w:rsidRDefault="000727DA" w:rsidP="00B31AF3">
            <w:pPr>
              <w:pStyle w:val="DocStatusH"/>
              <w:rPr>
                <w:szCs w:val="18"/>
              </w:rPr>
            </w:pPr>
            <w:r w:rsidRPr="00B31AF3">
              <w:rPr>
                <w:szCs w:val="18"/>
              </w:rPr>
              <w:t>Approved by</w:t>
            </w:r>
          </w:p>
        </w:tc>
        <w:tc>
          <w:tcPr>
            <w:tcW w:w="938" w:type="pct"/>
            <w:shd w:val="clear" w:color="000000" w:fill="959595"/>
            <w:vAlign w:val="center"/>
          </w:tcPr>
          <w:p w14:paraId="1ECF1B96" w14:textId="77777777" w:rsidR="000727DA" w:rsidRPr="00B31AF3" w:rsidRDefault="001B1506" w:rsidP="00B31AF3">
            <w:pPr>
              <w:pStyle w:val="DocStatusH"/>
              <w:rPr>
                <w:szCs w:val="18"/>
              </w:rPr>
            </w:pPr>
            <w:r w:rsidRPr="00B31AF3">
              <w:rPr>
                <w:szCs w:val="18"/>
              </w:rPr>
              <w:t>Sent to</w:t>
            </w:r>
          </w:p>
        </w:tc>
        <w:tc>
          <w:tcPr>
            <w:tcW w:w="1171" w:type="pct"/>
            <w:shd w:val="clear" w:color="000000" w:fill="959595"/>
            <w:vAlign w:val="center"/>
          </w:tcPr>
          <w:p w14:paraId="0A62025E" w14:textId="77777777" w:rsidR="000727DA" w:rsidRPr="00B31AF3" w:rsidRDefault="001B1506" w:rsidP="00B31AF3">
            <w:pPr>
              <w:pStyle w:val="DocStatusH"/>
              <w:rPr>
                <w:szCs w:val="18"/>
              </w:rPr>
            </w:pPr>
            <w:r w:rsidRPr="00B31AF3">
              <w:rPr>
                <w:szCs w:val="18"/>
              </w:rPr>
              <w:t>Comment</w:t>
            </w:r>
          </w:p>
        </w:tc>
      </w:tr>
      <w:tr w:rsidR="00540E6D" w14:paraId="467BD81D" w14:textId="77777777" w:rsidTr="007407B1">
        <w:tc>
          <w:tcPr>
            <w:tcW w:w="545" w:type="pct"/>
            <w:vAlign w:val="center"/>
          </w:tcPr>
          <w:p w14:paraId="6D5D0BB8" w14:textId="56BFC1EB" w:rsidR="00540E6D" w:rsidRPr="00166BA6" w:rsidRDefault="00212C5C" w:rsidP="00CE4D2B">
            <w:pPr>
              <w:pStyle w:val="DocStatus"/>
              <w:rPr>
                <w:sz w:val="16"/>
                <w:szCs w:val="18"/>
              </w:rPr>
            </w:pPr>
            <w:r w:rsidRPr="00166BA6">
              <w:rPr>
                <w:sz w:val="16"/>
                <w:szCs w:val="18"/>
              </w:rPr>
              <w:t>Draft</w:t>
            </w:r>
            <w:r w:rsidR="00756C70" w:rsidRPr="00166BA6">
              <w:rPr>
                <w:sz w:val="16"/>
                <w:szCs w:val="18"/>
              </w:rPr>
              <w:t xml:space="preserve"> A</w:t>
            </w:r>
          </w:p>
        </w:tc>
        <w:tc>
          <w:tcPr>
            <w:tcW w:w="702" w:type="pct"/>
            <w:vAlign w:val="center"/>
          </w:tcPr>
          <w:p w14:paraId="25977B1F" w14:textId="766ACE65" w:rsidR="00540E6D" w:rsidRPr="00166BA6" w:rsidRDefault="00753E5E" w:rsidP="00CE4D2B">
            <w:pPr>
              <w:pStyle w:val="DocStatus"/>
              <w:rPr>
                <w:sz w:val="16"/>
                <w:szCs w:val="18"/>
              </w:rPr>
            </w:pPr>
            <w:r w:rsidRPr="00166BA6">
              <w:rPr>
                <w:sz w:val="16"/>
                <w:szCs w:val="18"/>
              </w:rPr>
              <w:t>19</w:t>
            </w:r>
            <w:r w:rsidR="00212C5C" w:rsidRPr="00166BA6">
              <w:rPr>
                <w:sz w:val="16"/>
                <w:szCs w:val="18"/>
              </w:rPr>
              <w:t>/11/2019</w:t>
            </w:r>
          </w:p>
        </w:tc>
        <w:tc>
          <w:tcPr>
            <w:tcW w:w="862" w:type="pct"/>
            <w:vAlign w:val="center"/>
          </w:tcPr>
          <w:p w14:paraId="3F5B0FAE" w14:textId="4A0667CE" w:rsidR="00540E6D" w:rsidRPr="00166BA6" w:rsidRDefault="00212C5C" w:rsidP="00CE4D2B">
            <w:pPr>
              <w:pStyle w:val="DocStatus"/>
              <w:rPr>
                <w:sz w:val="16"/>
                <w:szCs w:val="18"/>
              </w:rPr>
            </w:pPr>
            <w:r w:rsidRPr="00166BA6">
              <w:rPr>
                <w:sz w:val="16"/>
                <w:szCs w:val="18"/>
              </w:rPr>
              <w:t>R.J.</w:t>
            </w:r>
            <w:r w:rsidR="00B23337">
              <w:rPr>
                <w:sz w:val="16"/>
                <w:szCs w:val="18"/>
              </w:rPr>
              <w:t xml:space="preserve"> </w:t>
            </w:r>
            <w:r w:rsidRPr="00166BA6">
              <w:rPr>
                <w:sz w:val="16"/>
                <w:szCs w:val="18"/>
              </w:rPr>
              <w:t>Nathan</w:t>
            </w:r>
          </w:p>
        </w:tc>
        <w:tc>
          <w:tcPr>
            <w:tcW w:w="781" w:type="pct"/>
            <w:vAlign w:val="center"/>
          </w:tcPr>
          <w:p w14:paraId="237561A0" w14:textId="298CF3F8" w:rsidR="00540E6D" w:rsidRPr="00166BA6" w:rsidRDefault="00212C5C" w:rsidP="00CE4D2B">
            <w:pPr>
              <w:pStyle w:val="DocStatus"/>
              <w:rPr>
                <w:sz w:val="16"/>
                <w:szCs w:val="18"/>
              </w:rPr>
            </w:pPr>
            <w:r w:rsidRPr="00166BA6">
              <w:rPr>
                <w:sz w:val="16"/>
                <w:szCs w:val="18"/>
              </w:rPr>
              <w:t>P.I.</w:t>
            </w:r>
            <w:r w:rsidR="00B23337">
              <w:rPr>
                <w:sz w:val="16"/>
                <w:szCs w:val="18"/>
              </w:rPr>
              <w:t xml:space="preserve"> </w:t>
            </w:r>
            <w:r w:rsidRPr="00166BA6">
              <w:rPr>
                <w:sz w:val="16"/>
                <w:szCs w:val="18"/>
              </w:rPr>
              <w:t>Hill</w:t>
            </w:r>
          </w:p>
        </w:tc>
        <w:tc>
          <w:tcPr>
            <w:tcW w:w="938" w:type="pct"/>
            <w:vAlign w:val="center"/>
          </w:tcPr>
          <w:p w14:paraId="692F01AD" w14:textId="41A90039" w:rsidR="00540E6D" w:rsidRPr="00166BA6" w:rsidRDefault="00753E5E" w:rsidP="00753E5E">
            <w:pPr>
              <w:pStyle w:val="DocStatus"/>
              <w:rPr>
                <w:sz w:val="16"/>
                <w:szCs w:val="18"/>
              </w:rPr>
            </w:pPr>
            <w:r w:rsidRPr="00166BA6">
              <w:rPr>
                <w:sz w:val="16"/>
                <w:szCs w:val="18"/>
              </w:rPr>
              <w:t>CRC &amp; DELWP</w:t>
            </w:r>
          </w:p>
        </w:tc>
        <w:tc>
          <w:tcPr>
            <w:tcW w:w="1171" w:type="pct"/>
            <w:vAlign w:val="center"/>
          </w:tcPr>
          <w:p w14:paraId="4B603FC9" w14:textId="66C1BE5F" w:rsidR="00540E6D" w:rsidRPr="00166BA6" w:rsidRDefault="00753E5E" w:rsidP="00CE4D2B">
            <w:pPr>
              <w:pStyle w:val="DocStatus"/>
              <w:rPr>
                <w:sz w:val="16"/>
                <w:szCs w:val="18"/>
              </w:rPr>
            </w:pPr>
            <w:r w:rsidRPr="00166BA6">
              <w:rPr>
                <w:sz w:val="16"/>
                <w:szCs w:val="18"/>
              </w:rPr>
              <w:t>Draft</w:t>
            </w:r>
          </w:p>
        </w:tc>
      </w:tr>
      <w:tr w:rsidR="004C312A" w14:paraId="5BE2544C" w14:textId="77777777" w:rsidTr="007407B1">
        <w:tc>
          <w:tcPr>
            <w:tcW w:w="545" w:type="pct"/>
            <w:vAlign w:val="center"/>
          </w:tcPr>
          <w:p w14:paraId="181E9F10" w14:textId="25A21DF3" w:rsidR="004C312A" w:rsidRPr="00166BA6" w:rsidRDefault="00594248" w:rsidP="00CE4D2B">
            <w:pPr>
              <w:pStyle w:val="DocStatus"/>
              <w:rPr>
                <w:sz w:val="16"/>
                <w:szCs w:val="18"/>
              </w:rPr>
            </w:pPr>
            <w:r w:rsidRPr="00166BA6">
              <w:rPr>
                <w:sz w:val="16"/>
                <w:szCs w:val="18"/>
              </w:rPr>
              <w:t>Draft B</w:t>
            </w:r>
          </w:p>
        </w:tc>
        <w:tc>
          <w:tcPr>
            <w:tcW w:w="702" w:type="pct"/>
            <w:vAlign w:val="center"/>
          </w:tcPr>
          <w:p w14:paraId="69C8EA13" w14:textId="5763AEC5" w:rsidR="004C312A" w:rsidRPr="00166BA6" w:rsidRDefault="00594248" w:rsidP="00CE4D2B">
            <w:pPr>
              <w:pStyle w:val="DocStatus"/>
              <w:rPr>
                <w:sz w:val="16"/>
                <w:szCs w:val="18"/>
              </w:rPr>
            </w:pPr>
            <w:r w:rsidRPr="00166BA6">
              <w:rPr>
                <w:sz w:val="16"/>
                <w:szCs w:val="18"/>
              </w:rPr>
              <w:t>21/11/2019</w:t>
            </w:r>
          </w:p>
        </w:tc>
        <w:tc>
          <w:tcPr>
            <w:tcW w:w="862" w:type="pct"/>
            <w:vAlign w:val="center"/>
          </w:tcPr>
          <w:p w14:paraId="5BC8BCC2" w14:textId="4B9C39B6" w:rsidR="004C312A" w:rsidRPr="00166BA6" w:rsidRDefault="00594248" w:rsidP="00CE4D2B">
            <w:pPr>
              <w:pStyle w:val="DocStatus"/>
              <w:rPr>
                <w:sz w:val="16"/>
                <w:szCs w:val="18"/>
              </w:rPr>
            </w:pPr>
            <w:r w:rsidRPr="00166BA6">
              <w:rPr>
                <w:sz w:val="16"/>
                <w:szCs w:val="18"/>
              </w:rPr>
              <w:t>CRC &amp; DELWP</w:t>
            </w:r>
          </w:p>
        </w:tc>
        <w:tc>
          <w:tcPr>
            <w:tcW w:w="781" w:type="pct"/>
            <w:vAlign w:val="center"/>
          </w:tcPr>
          <w:p w14:paraId="3EFE40DC" w14:textId="1F783F8C" w:rsidR="004C312A" w:rsidRPr="00166BA6" w:rsidRDefault="00594248" w:rsidP="00CE4D2B">
            <w:pPr>
              <w:pStyle w:val="DocStatus"/>
              <w:rPr>
                <w:sz w:val="16"/>
                <w:szCs w:val="18"/>
              </w:rPr>
            </w:pPr>
            <w:r w:rsidRPr="00166BA6">
              <w:rPr>
                <w:sz w:val="16"/>
                <w:szCs w:val="18"/>
              </w:rPr>
              <w:t>P.I.</w:t>
            </w:r>
            <w:r w:rsidR="00B23337">
              <w:rPr>
                <w:sz w:val="16"/>
                <w:szCs w:val="18"/>
              </w:rPr>
              <w:t xml:space="preserve"> </w:t>
            </w:r>
            <w:r w:rsidRPr="00166BA6">
              <w:rPr>
                <w:sz w:val="16"/>
                <w:szCs w:val="18"/>
              </w:rPr>
              <w:t>Hill</w:t>
            </w:r>
          </w:p>
        </w:tc>
        <w:tc>
          <w:tcPr>
            <w:tcW w:w="938" w:type="pct"/>
            <w:vAlign w:val="center"/>
          </w:tcPr>
          <w:p w14:paraId="3B0AFE5B" w14:textId="0B7A5DCE" w:rsidR="004C312A" w:rsidRPr="00166BA6" w:rsidRDefault="00594248" w:rsidP="00CE4D2B">
            <w:pPr>
              <w:pStyle w:val="DocStatus"/>
              <w:rPr>
                <w:sz w:val="16"/>
                <w:szCs w:val="18"/>
              </w:rPr>
            </w:pPr>
            <w:r w:rsidRPr="00166BA6">
              <w:rPr>
                <w:sz w:val="16"/>
                <w:szCs w:val="18"/>
              </w:rPr>
              <w:t xml:space="preserve">Executive summary sent to </w:t>
            </w:r>
            <w:r w:rsidR="00B23337">
              <w:rPr>
                <w:sz w:val="16"/>
                <w:szCs w:val="18"/>
              </w:rPr>
              <w:t>s</w:t>
            </w:r>
            <w:r w:rsidRPr="00166BA6">
              <w:rPr>
                <w:sz w:val="16"/>
                <w:szCs w:val="18"/>
              </w:rPr>
              <w:t>takeholders</w:t>
            </w:r>
          </w:p>
        </w:tc>
        <w:tc>
          <w:tcPr>
            <w:tcW w:w="1171" w:type="pct"/>
            <w:vAlign w:val="center"/>
          </w:tcPr>
          <w:p w14:paraId="2FCCB902" w14:textId="0DFF08AC" w:rsidR="004C312A" w:rsidRPr="00166BA6" w:rsidRDefault="00594248" w:rsidP="00CE4D2B">
            <w:pPr>
              <w:pStyle w:val="DocStatus"/>
              <w:rPr>
                <w:sz w:val="16"/>
                <w:szCs w:val="18"/>
              </w:rPr>
            </w:pPr>
            <w:r w:rsidRPr="00166BA6">
              <w:rPr>
                <w:sz w:val="16"/>
                <w:szCs w:val="18"/>
              </w:rPr>
              <w:t>Draft prior to presentations</w:t>
            </w:r>
          </w:p>
        </w:tc>
      </w:tr>
      <w:tr w:rsidR="004C312A" w14:paraId="3FE5A3DA" w14:textId="77777777" w:rsidTr="007407B1">
        <w:tc>
          <w:tcPr>
            <w:tcW w:w="545" w:type="pct"/>
            <w:vAlign w:val="center"/>
          </w:tcPr>
          <w:p w14:paraId="14C8C7E5" w14:textId="5609F74F" w:rsidR="004C312A" w:rsidRPr="00166BA6" w:rsidRDefault="00D14E64" w:rsidP="00CE4D2B">
            <w:pPr>
              <w:pStyle w:val="DocStatus"/>
              <w:rPr>
                <w:sz w:val="16"/>
                <w:szCs w:val="18"/>
              </w:rPr>
            </w:pPr>
            <w:r w:rsidRPr="00166BA6">
              <w:rPr>
                <w:sz w:val="16"/>
                <w:szCs w:val="18"/>
              </w:rPr>
              <w:t>Draft C</w:t>
            </w:r>
          </w:p>
        </w:tc>
        <w:tc>
          <w:tcPr>
            <w:tcW w:w="702" w:type="pct"/>
            <w:vAlign w:val="center"/>
          </w:tcPr>
          <w:p w14:paraId="75A95F53" w14:textId="57617D25" w:rsidR="004C312A" w:rsidRPr="00166BA6" w:rsidRDefault="00D14E64" w:rsidP="00CE4D2B">
            <w:pPr>
              <w:pStyle w:val="DocStatus"/>
              <w:rPr>
                <w:sz w:val="16"/>
                <w:szCs w:val="18"/>
              </w:rPr>
            </w:pPr>
            <w:r w:rsidRPr="00166BA6">
              <w:rPr>
                <w:sz w:val="16"/>
                <w:szCs w:val="18"/>
              </w:rPr>
              <w:t>27/11/2019</w:t>
            </w:r>
          </w:p>
        </w:tc>
        <w:tc>
          <w:tcPr>
            <w:tcW w:w="862" w:type="pct"/>
            <w:vAlign w:val="center"/>
          </w:tcPr>
          <w:p w14:paraId="7DBAE9C3" w14:textId="72C92492" w:rsidR="004C312A" w:rsidRPr="00166BA6" w:rsidRDefault="0079659E" w:rsidP="00CE4D2B">
            <w:pPr>
              <w:pStyle w:val="DocStatus"/>
              <w:rPr>
                <w:sz w:val="16"/>
                <w:szCs w:val="18"/>
              </w:rPr>
            </w:pPr>
            <w:r w:rsidRPr="00166BA6">
              <w:rPr>
                <w:sz w:val="16"/>
                <w:szCs w:val="18"/>
              </w:rPr>
              <w:t>P.I.</w:t>
            </w:r>
            <w:r w:rsidR="00B23337">
              <w:rPr>
                <w:sz w:val="16"/>
                <w:szCs w:val="18"/>
              </w:rPr>
              <w:t xml:space="preserve"> </w:t>
            </w:r>
            <w:r w:rsidRPr="00166BA6">
              <w:rPr>
                <w:sz w:val="16"/>
                <w:szCs w:val="18"/>
              </w:rPr>
              <w:t>Hill</w:t>
            </w:r>
          </w:p>
        </w:tc>
        <w:tc>
          <w:tcPr>
            <w:tcW w:w="781" w:type="pct"/>
            <w:vAlign w:val="center"/>
          </w:tcPr>
          <w:p w14:paraId="06A6CC5D" w14:textId="632A9827" w:rsidR="004C312A" w:rsidRPr="00166BA6" w:rsidRDefault="00F94370" w:rsidP="00CE4D2B">
            <w:pPr>
              <w:pStyle w:val="DocStatus"/>
              <w:rPr>
                <w:sz w:val="16"/>
                <w:szCs w:val="18"/>
              </w:rPr>
            </w:pPr>
            <w:r w:rsidRPr="00166BA6">
              <w:rPr>
                <w:sz w:val="16"/>
                <w:szCs w:val="18"/>
              </w:rPr>
              <w:t>P.I.</w:t>
            </w:r>
            <w:r w:rsidR="00B23337">
              <w:rPr>
                <w:sz w:val="16"/>
                <w:szCs w:val="18"/>
              </w:rPr>
              <w:t xml:space="preserve"> </w:t>
            </w:r>
            <w:r w:rsidRPr="00166BA6">
              <w:rPr>
                <w:sz w:val="16"/>
                <w:szCs w:val="18"/>
              </w:rPr>
              <w:t>Hill</w:t>
            </w:r>
          </w:p>
        </w:tc>
        <w:tc>
          <w:tcPr>
            <w:tcW w:w="938" w:type="pct"/>
            <w:vAlign w:val="center"/>
          </w:tcPr>
          <w:p w14:paraId="47FABC43" w14:textId="44E1A5DC" w:rsidR="004C312A" w:rsidRPr="00166BA6" w:rsidRDefault="00F94370" w:rsidP="00CE4D2B">
            <w:pPr>
              <w:pStyle w:val="DocStatus"/>
              <w:rPr>
                <w:sz w:val="16"/>
                <w:szCs w:val="18"/>
              </w:rPr>
            </w:pPr>
            <w:r w:rsidRPr="00166BA6">
              <w:rPr>
                <w:sz w:val="16"/>
                <w:szCs w:val="18"/>
              </w:rPr>
              <w:t>CRC &amp; DELWP</w:t>
            </w:r>
          </w:p>
        </w:tc>
        <w:tc>
          <w:tcPr>
            <w:tcW w:w="1171" w:type="pct"/>
            <w:vAlign w:val="center"/>
          </w:tcPr>
          <w:p w14:paraId="7915442E" w14:textId="520AE06A" w:rsidR="004C312A" w:rsidRPr="00166BA6" w:rsidRDefault="00D14E64" w:rsidP="00CE4D2B">
            <w:pPr>
              <w:pStyle w:val="DocStatus"/>
              <w:rPr>
                <w:sz w:val="16"/>
                <w:szCs w:val="18"/>
              </w:rPr>
            </w:pPr>
            <w:r w:rsidRPr="00166BA6">
              <w:rPr>
                <w:sz w:val="16"/>
                <w:szCs w:val="18"/>
              </w:rPr>
              <w:t>Response to initial comments by DELWP and Melbourne Water</w:t>
            </w:r>
          </w:p>
        </w:tc>
      </w:tr>
      <w:tr w:rsidR="004C312A" w14:paraId="2AFE2D67" w14:textId="77777777" w:rsidTr="007407B1">
        <w:tc>
          <w:tcPr>
            <w:tcW w:w="545" w:type="pct"/>
            <w:vAlign w:val="center"/>
          </w:tcPr>
          <w:p w14:paraId="67CBC7DF" w14:textId="242C7817" w:rsidR="004C312A" w:rsidRPr="00166BA6" w:rsidRDefault="00230468" w:rsidP="00CE4D2B">
            <w:pPr>
              <w:pStyle w:val="DocStatus"/>
              <w:rPr>
                <w:sz w:val="16"/>
                <w:szCs w:val="18"/>
              </w:rPr>
            </w:pPr>
            <w:r w:rsidRPr="00166BA6">
              <w:rPr>
                <w:sz w:val="16"/>
                <w:szCs w:val="18"/>
              </w:rPr>
              <w:t>Draft D</w:t>
            </w:r>
          </w:p>
        </w:tc>
        <w:tc>
          <w:tcPr>
            <w:tcW w:w="702" w:type="pct"/>
            <w:vAlign w:val="center"/>
          </w:tcPr>
          <w:p w14:paraId="0FBFA283" w14:textId="7AA036F4" w:rsidR="004C312A" w:rsidRPr="00166BA6" w:rsidRDefault="000F76D5" w:rsidP="00CE4D2B">
            <w:pPr>
              <w:pStyle w:val="DocStatus"/>
              <w:rPr>
                <w:sz w:val="16"/>
                <w:szCs w:val="18"/>
              </w:rPr>
            </w:pPr>
            <w:r w:rsidRPr="00166BA6">
              <w:rPr>
                <w:sz w:val="16"/>
                <w:szCs w:val="18"/>
              </w:rPr>
              <w:t>9/12/2019</w:t>
            </w:r>
          </w:p>
        </w:tc>
        <w:tc>
          <w:tcPr>
            <w:tcW w:w="862" w:type="pct"/>
            <w:vAlign w:val="center"/>
          </w:tcPr>
          <w:p w14:paraId="45CA2FAA" w14:textId="53C3293C" w:rsidR="004C312A" w:rsidRPr="00166BA6" w:rsidRDefault="000F76D5" w:rsidP="00CE4D2B">
            <w:pPr>
              <w:pStyle w:val="DocStatus"/>
              <w:rPr>
                <w:sz w:val="16"/>
                <w:szCs w:val="18"/>
              </w:rPr>
            </w:pPr>
            <w:r w:rsidRPr="00166BA6">
              <w:rPr>
                <w:sz w:val="16"/>
                <w:szCs w:val="18"/>
              </w:rPr>
              <w:t>R.J. Nathan</w:t>
            </w:r>
          </w:p>
        </w:tc>
        <w:tc>
          <w:tcPr>
            <w:tcW w:w="781" w:type="pct"/>
            <w:vAlign w:val="center"/>
          </w:tcPr>
          <w:p w14:paraId="78936FCF" w14:textId="741BF624" w:rsidR="004C312A" w:rsidRPr="00166BA6" w:rsidRDefault="000F76D5" w:rsidP="00CE4D2B">
            <w:pPr>
              <w:pStyle w:val="DocStatus"/>
              <w:rPr>
                <w:sz w:val="16"/>
                <w:szCs w:val="18"/>
              </w:rPr>
            </w:pPr>
            <w:r w:rsidRPr="00166BA6">
              <w:rPr>
                <w:sz w:val="16"/>
                <w:szCs w:val="18"/>
              </w:rPr>
              <w:t>P.I.</w:t>
            </w:r>
            <w:r w:rsidR="00B23337">
              <w:rPr>
                <w:sz w:val="16"/>
                <w:szCs w:val="18"/>
              </w:rPr>
              <w:t xml:space="preserve"> </w:t>
            </w:r>
            <w:r w:rsidRPr="00166BA6">
              <w:rPr>
                <w:sz w:val="16"/>
                <w:szCs w:val="18"/>
              </w:rPr>
              <w:t>Hill</w:t>
            </w:r>
          </w:p>
        </w:tc>
        <w:tc>
          <w:tcPr>
            <w:tcW w:w="938" w:type="pct"/>
            <w:vAlign w:val="center"/>
          </w:tcPr>
          <w:p w14:paraId="4B355D59" w14:textId="29E4EE52" w:rsidR="004C312A" w:rsidRPr="00166BA6" w:rsidRDefault="000F76D5" w:rsidP="00CE4D2B">
            <w:pPr>
              <w:pStyle w:val="DocStatus"/>
              <w:rPr>
                <w:sz w:val="16"/>
                <w:szCs w:val="18"/>
              </w:rPr>
            </w:pPr>
            <w:r w:rsidRPr="00166BA6">
              <w:rPr>
                <w:sz w:val="16"/>
                <w:szCs w:val="18"/>
              </w:rPr>
              <w:t>CRC &amp; DELWP</w:t>
            </w:r>
          </w:p>
        </w:tc>
        <w:tc>
          <w:tcPr>
            <w:tcW w:w="1171" w:type="pct"/>
            <w:vAlign w:val="center"/>
          </w:tcPr>
          <w:p w14:paraId="594AF0A1" w14:textId="38894A35" w:rsidR="004C312A" w:rsidRPr="00166BA6" w:rsidRDefault="0079659E" w:rsidP="00CE4D2B">
            <w:pPr>
              <w:pStyle w:val="DocStatus"/>
              <w:rPr>
                <w:sz w:val="16"/>
                <w:szCs w:val="18"/>
              </w:rPr>
            </w:pPr>
            <w:r w:rsidRPr="00166BA6">
              <w:rPr>
                <w:sz w:val="16"/>
                <w:szCs w:val="18"/>
              </w:rPr>
              <w:t>Response to comments from Melbourne Water</w:t>
            </w:r>
          </w:p>
        </w:tc>
      </w:tr>
      <w:tr w:rsidR="00166BA6" w14:paraId="009DF2E3" w14:textId="77777777" w:rsidTr="007407B1">
        <w:tc>
          <w:tcPr>
            <w:tcW w:w="545" w:type="pct"/>
            <w:vAlign w:val="center"/>
          </w:tcPr>
          <w:p w14:paraId="742084E2" w14:textId="52255193" w:rsidR="00166BA6" w:rsidRPr="00166BA6" w:rsidRDefault="00166BA6" w:rsidP="00166BA6">
            <w:pPr>
              <w:pStyle w:val="DocStatus"/>
              <w:rPr>
                <w:sz w:val="16"/>
                <w:szCs w:val="18"/>
              </w:rPr>
            </w:pPr>
            <w:r w:rsidRPr="00166BA6">
              <w:rPr>
                <w:sz w:val="16"/>
                <w:szCs w:val="18"/>
              </w:rPr>
              <w:t>Draft E</w:t>
            </w:r>
          </w:p>
        </w:tc>
        <w:tc>
          <w:tcPr>
            <w:tcW w:w="702" w:type="pct"/>
            <w:vAlign w:val="center"/>
          </w:tcPr>
          <w:p w14:paraId="1E96C259" w14:textId="15DEB305" w:rsidR="00166BA6" w:rsidRPr="00166BA6" w:rsidRDefault="00166BA6" w:rsidP="00166BA6">
            <w:pPr>
              <w:pStyle w:val="DocStatus"/>
              <w:rPr>
                <w:sz w:val="16"/>
                <w:szCs w:val="18"/>
              </w:rPr>
            </w:pPr>
            <w:r w:rsidRPr="00166BA6">
              <w:rPr>
                <w:sz w:val="16"/>
                <w:szCs w:val="18"/>
              </w:rPr>
              <w:t>16/12/2019</w:t>
            </w:r>
          </w:p>
        </w:tc>
        <w:tc>
          <w:tcPr>
            <w:tcW w:w="862" w:type="pct"/>
            <w:vAlign w:val="center"/>
          </w:tcPr>
          <w:p w14:paraId="18AA87B5" w14:textId="035AFE7C" w:rsidR="00166BA6" w:rsidRPr="00166BA6" w:rsidRDefault="00166BA6" w:rsidP="00166BA6">
            <w:pPr>
              <w:pStyle w:val="DocStatus"/>
              <w:rPr>
                <w:sz w:val="16"/>
                <w:szCs w:val="18"/>
              </w:rPr>
            </w:pPr>
            <w:r w:rsidRPr="00166BA6">
              <w:rPr>
                <w:sz w:val="16"/>
                <w:szCs w:val="18"/>
              </w:rPr>
              <w:t>R.J. Nathan</w:t>
            </w:r>
          </w:p>
        </w:tc>
        <w:tc>
          <w:tcPr>
            <w:tcW w:w="781" w:type="pct"/>
            <w:vAlign w:val="center"/>
          </w:tcPr>
          <w:p w14:paraId="6124E725" w14:textId="6FBECB72" w:rsidR="00166BA6" w:rsidRPr="00166BA6" w:rsidRDefault="00166BA6" w:rsidP="00166BA6">
            <w:pPr>
              <w:pStyle w:val="DocStatus"/>
              <w:rPr>
                <w:sz w:val="16"/>
                <w:szCs w:val="18"/>
              </w:rPr>
            </w:pPr>
            <w:r w:rsidRPr="00166BA6">
              <w:rPr>
                <w:sz w:val="16"/>
                <w:szCs w:val="18"/>
              </w:rPr>
              <w:t>P.I.</w:t>
            </w:r>
            <w:r w:rsidR="00B23337">
              <w:rPr>
                <w:sz w:val="16"/>
                <w:szCs w:val="18"/>
              </w:rPr>
              <w:t xml:space="preserve"> </w:t>
            </w:r>
            <w:r w:rsidRPr="00166BA6">
              <w:rPr>
                <w:sz w:val="16"/>
                <w:szCs w:val="18"/>
              </w:rPr>
              <w:t>Hill</w:t>
            </w:r>
          </w:p>
        </w:tc>
        <w:tc>
          <w:tcPr>
            <w:tcW w:w="938" w:type="pct"/>
            <w:vAlign w:val="center"/>
          </w:tcPr>
          <w:p w14:paraId="5FC45FB7" w14:textId="62C9F59A" w:rsidR="00166BA6" w:rsidRPr="00166BA6" w:rsidRDefault="00826B62" w:rsidP="00166BA6">
            <w:pPr>
              <w:pStyle w:val="DocStatus"/>
              <w:rPr>
                <w:sz w:val="16"/>
                <w:szCs w:val="18"/>
              </w:rPr>
            </w:pPr>
            <w:r>
              <w:rPr>
                <w:sz w:val="16"/>
                <w:szCs w:val="18"/>
              </w:rPr>
              <w:t>NGO and Industry stakeholders</w:t>
            </w:r>
          </w:p>
        </w:tc>
        <w:tc>
          <w:tcPr>
            <w:tcW w:w="1171" w:type="pct"/>
            <w:vAlign w:val="center"/>
          </w:tcPr>
          <w:p w14:paraId="0B98D131" w14:textId="77777777" w:rsidR="00166BA6" w:rsidRPr="00166BA6" w:rsidRDefault="00166BA6" w:rsidP="00166BA6">
            <w:pPr>
              <w:pStyle w:val="DocStatus"/>
              <w:rPr>
                <w:sz w:val="16"/>
                <w:szCs w:val="18"/>
              </w:rPr>
            </w:pPr>
          </w:p>
        </w:tc>
      </w:tr>
      <w:tr w:rsidR="00DB7991" w14:paraId="4FE86F43" w14:textId="77777777" w:rsidTr="007407B1">
        <w:tc>
          <w:tcPr>
            <w:tcW w:w="545" w:type="pct"/>
            <w:vAlign w:val="center"/>
          </w:tcPr>
          <w:p w14:paraId="7F3FBC64" w14:textId="23012F50" w:rsidR="00DB7991" w:rsidRPr="00166BA6" w:rsidRDefault="00DB7991" w:rsidP="00166BA6">
            <w:pPr>
              <w:pStyle w:val="DocStatus"/>
              <w:rPr>
                <w:sz w:val="16"/>
                <w:szCs w:val="18"/>
              </w:rPr>
            </w:pPr>
            <w:r>
              <w:rPr>
                <w:sz w:val="16"/>
                <w:szCs w:val="18"/>
              </w:rPr>
              <w:t>Draft F</w:t>
            </w:r>
          </w:p>
        </w:tc>
        <w:tc>
          <w:tcPr>
            <w:tcW w:w="702" w:type="pct"/>
            <w:vAlign w:val="center"/>
          </w:tcPr>
          <w:p w14:paraId="4B2B4FE0" w14:textId="2041FFCF" w:rsidR="00DB7991" w:rsidRPr="00166BA6" w:rsidRDefault="00524990" w:rsidP="00166BA6">
            <w:pPr>
              <w:pStyle w:val="DocStatus"/>
              <w:rPr>
                <w:sz w:val="16"/>
                <w:szCs w:val="18"/>
              </w:rPr>
            </w:pPr>
            <w:r>
              <w:rPr>
                <w:sz w:val="16"/>
                <w:szCs w:val="18"/>
              </w:rPr>
              <w:t>13</w:t>
            </w:r>
            <w:r w:rsidR="009942DA">
              <w:rPr>
                <w:sz w:val="16"/>
                <w:szCs w:val="18"/>
              </w:rPr>
              <w:t>/02</w:t>
            </w:r>
            <w:r w:rsidR="00DB7991">
              <w:rPr>
                <w:sz w:val="16"/>
                <w:szCs w:val="18"/>
              </w:rPr>
              <w:t>/2020</w:t>
            </w:r>
          </w:p>
        </w:tc>
        <w:tc>
          <w:tcPr>
            <w:tcW w:w="862" w:type="pct"/>
            <w:vAlign w:val="center"/>
          </w:tcPr>
          <w:p w14:paraId="57A40E7A" w14:textId="7D1A7B02" w:rsidR="00DB7991" w:rsidRPr="00166BA6" w:rsidRDefault="00DB7991" w:rsidP="00166BA6">
            <w:pPr>
              <w:pStyle w:val="DocStatus"/>
              <w:rPr>
                <w:sz w:val="16"/>
                <w:szCs w:val="18"/>
              </w:rPr>
            </w:pPr>
          </w:p>
        </w:tc>
        <w:tc>
          <w:tcPr>
            <w:tcW w:w="781" w:type="pct"/>
            <w:vAlign w:val="center"/>
          </w:tcPr>
          <w:p w14:paraId="4BCC50CF" w14:textId="22DFC1CC" w:rsidR="00DB7991" w:rsidRPr="00166BA6" w:rsidRDefault="00DB7991" w:rsidP="00166BA6">
            <w:pPr>
              <w:pStyle w:val="DocStatus"/>
              <w:rPr>
                <w:sz w:val="16"/>
                <w:szCs w:val="18"/>
              </w:rPr>
            </w:pPr>
          </w:p>
        </w:tc>
        <w:tc>
          <w:tcPr>
            <w:tcW w:w="938" w:type="pct"/>
            <w:vAlign w:val="center"/>
          </w:tcPr>
          <w:p w14:paraId="78450404" w14:textId="7BEDFC00" w:rsidR="00DB7991" w:rsidRDefault="00524990" w:rsidP="00166BA6">
            <w:pPr>
              <w:pStyle w:val="DocStatus"/>
              <w:rPr>
                <w:sz w:val="16"/>
                <w:szCs w:val="18"/>
              </w:rPr>
            </w:pPr>
            <w:r>
              <w:rPr>
                <w:sz w:val="16"/>
                <w:szCs w:val="18"/>
              </w:rPr>
              <w:t>Ann Milligan</w:t>
            </w:r>
          </w:p>
        </w:tc>
        <w:tc>
          <w:tcPr>
            <w:tcW w:w="1171" w:type="pct"/>
            <w:vAlign w:val="center"/>
          </w:tcPr>
          <w:p w14:paraId="0AB80019" w14:textId="706D6C2B" w:rsidR="00DB7991" w:rsidRPr="00166BA6" w:rsidRDefault="00524990" w:rsidP="00166BA6">
            <w:pPr>
              <w:pStyle w:val="DocStatus"/>
              <w:rPr>
                <w:sz w:val="16"/>
                <w:szCs w:val="18"/>
              </w:rPr>
            </w:pPr>
            <w:r>
              <w:rPr>
                <w:sz w:val="16"/>
                <w:szCs w:val="18"/>
              </w:rPr>
              <w:t>Reference check and copyediting</w:t>
            </w:r>
          </w:p>
        </w:tc>
      </w:tr>
      <w:tr w:rsidR="007407B1" w14:paraId="4291F2C1" w14:textId="77777777" w:rsidTr="007407B1">
        <w:tc>
          <w:tcPr>
            <w:tcW w:w="545" w:type="pct"/>
            <w:vAlign w:val="center"/>
          </w:tcPr>
          <w:p w14:paraId="62585F01" w14:textId="741ABEEF" w:rsidR="007407B1" w:rsidRDefault="007407B1" w:rsidP="007407B1">
            <w:pPr>
              <w:pStyle w:val="DocStatus"/>
              <w:rPr>
                <w:sz w:val="16"/>
                <w:szCs w:val="18"/>
              </w:rPr>
            </w:pPr>
            <w:r>
              <w:rPr>
                <w:sz w:val="16"/>
                <w:szCs w:val="18"/>
              </w:rPr>
              <w:t>Version 1</w:t>
            </w:r>
          </w:p>
        </w:tc>
        <w:tc>
          <w:tcPr>
            <w:tcW w:w="702" w:type="pct"/>
            <w:vAlign w:val="center"/>
          </w:tcPr>
          <w:p w14:paraId="734195EE" w14:textId="4DBEF0BF" w:rsidR="007407B1" w:rsidRDefault="007407B1" w:rsidP="007407B1">
            <w:pPr>
              <w:pStyle w:val="DocStatus"/>
              <w:rPr>
                <w:sz w:val="16"/>
                <w:szCs w:val="18"/>
              </w:rPr>
            </w:pPr>
            <w:r>
              <w:rPr>
                <w:sz w:val="16"/>
                <w:szCs w:val="18"/>
              </w:rPr>
              <w:t>25/03/2020</w:t>
            </w:r>
          </w:p>
        </w:tc>
        <w:tc>
          <w:tcPr>
            <w:tcW w:w="862" w:type="pct"/>
            <w:vAlign w:val="center"/>
          </w:tcPr>
          <w:p w14:paraId="53A899D6" w14:textId="77777777" w:rsidR="007407B1" w:rsidRDefault="007407B1" w:rsidP="007407B1">
            <w:pPr>
              <w:pStyle w:val="DocStatus"/>
              <w:rPr>
                <w:sz w:val="16"/>
                <w:szCs w:val="18"/>
              </w:rPr>
            </w:pPr>
            <w:r w:rsidRPr="00166BA6">
              <w:rPr>
                <w:sz w:val="16"/>
                <w:szCs w:val="18"/>
              </w:rPr>
              <w:t>R.J. Nathan</w:t>
            </w:r>
          </w:p>
          <w:p w14:paraId="3621D33B" w14:textId="06228814" w:rsidR="003D2C3C" w:rsidRPr="00166BA6" w:rsidRDefault="003D2C3C" w:rsidP="007407B1">
            <w:pPr>
              <w:pStyle w:val="DocStatus"/>
              <w:rPr>
                <w:sz w:val="16"/>
                <w:szCs w:val="18"/>
              </w:rPr>
            </w:pPr>
            <w:r>
              <w:rPr>
                <w:sz w:val="16"/>
                <w:szCs w:val="18"/>
              </w:rPr>
              <w:t>A. Milligan</w:t>
            </w:r>
          </w:p>
        </w:tc>
        <w:tc>
          <w:tcPr>
            <w:tcW w:w="781" w:type="pct"/>
            <w:vAlign w:val="center"/>
          </w:tcPr>
          <w:p w14:paraId="4AB15D5E" w14:textId="058FC4BC" w:rsidR="007407B1" w:rsidRPr="00166BA6" w:rsidRDefault="007407B1" w:rsidP="007407B1">
            <w:pPr>
              <w:pStyle w:val="DocStatus"/>
              <w:rPr>
                <w:sz w:val="16"/>
                <w:szCs w:val="18"/>
              </w:rPr>
            </w:pPr>
            <w:r w:rsidRPr="00166BA6">
              <w:rPr>
                <w:sz w:val="16"/>
                <w:szCs w:val="18"/>
              </w:rPr>
              <w:t>P.I.</w:t>
            </w:r>
            <w:r w:rsidR="00B23337">
              <w:rPr>
                <w:sz w:val="16"/>
                <w:szCs w:val="18"/>
              </w:rPr>
              <w:t xml:space="preserve"> </w:t>
            </w:r>
            <w:r w:rsidRPr="00166BA6">
              <w:rPr>
                <w:sz w:val="16"/>
                <w:szCs w:val="18"/>
              </w:rPr>
              <w:t>Hill</w:t>
            </w:r>
          </w:p>
        </w:tc>
        <w:tc>
          <w:tcPr>
            <w:tcW w:w="938" w:type="pct"/>
            <w:vAlign w:val="center"/>
          </w:tcPr>
          <w:p w14:paraId="1157BE4F" w14:textId="1D37FBD5" w:rsidR="007407B1" w:rsidRDefault="007407B1" w:rsidP="007407B1">
            <w:pPr>
              <w:pStyle w:val="DocStatus"/>
              <w:rPr>
                <w:sz w:val="16"/>
                <w:szCs w:val="18"/>
              </w:rPr>
            </w:pPr>
            <w:r>
              <w:rPr>
                <w:sz w:val="16"/>
                <w:szCs w:val="18"/>
              </w:rPr>
              <w:t>CRC</w:t>
            </w:r>
          </w:p>
        </w:tc>
        <w:tc>
          <w:tcPr>
            <w:tcW w:w="1171" w:type="pct"/>
            <w:vAlign w:val="center"/>
          </w:tcPr>
          <w:p w14:paraId="6E2CAA66" w14:textId="5B47FD52" w:rsidR="007407B1" w:rsidRDefault="003D2C3C" w:rsidP="00154E76">
            <w:pPr>
              <w:pStyle w:val="DocStatus"/>
              <w:rPr>
                <w:sz w:val="16"/>
                <w:szCs w:val="18"/>
              </w:rPr>
            </w:pPr>
            <w:r>
              <w:rPr>
                <w:sz w:val="16"/>
                <w:szCs w:val="18"/>
              </w:rPr>
              <w:t xml:space="preserve">Final </w:t>
            </w:r>
            <w:r w:rsidR="00154E76">
              <w:rPr>
                <w:sz w:val="16"/>
                <w:szCs w:val="18"/>
              </w:rPr>
              <w:t xml:space="preserve">review and </w:t>
            </w:r>
            <w:r>
              <w:rPr>
                <w:sz w:val="16"/>
                <w:szCs w:val="18"/>
              </w:rPr>
              <w:t>copyediting</w:t>
            </w:r>
          </w:p>
        </w:tc>
      </w:tr>
    </w:tbl>
    <w:p w14:paraId="26BFDAB8" w14:textId="77777777" w:rsidR="00B95AFD" w:rsidRDefault="00B95AFD" w:rsidP="00B95AFD">
      <w:pPr>
        <w:rPr>
          <w:noProof/>
        </w:rPr>
      </w:pPr>
    </w:p>
    <w:p w14:paraId="293692EC" w14:textId="77777777" w:rsidR="00BC18F8" w:rsidRPr="00B95AFD" w:rsidRDefault="00BC18F8" w:rsidP="007407B1">
      <w:pPr>
        <w:pStyle w:val="Head4manual"/>
        <w:rPr>
          <w:noProof/>
        </w:rPr>
      </w:pPr>
      <w:r>
        <w:rPr>
          <w:noProof/>
        </w:rPr>
        <w:lastRenderedPageBreak/>
        <w:t>Copyright and Limitation</w:t>
      </w:r>
    </w:p>
    <w:p w14:paraId="2DAF258D" w14:textId="67B6C226" w:rsidR="00E812E9" w:rsidRPr="00E812E9" w:rsidRDefault="00E812E9" w:rsidP="00CE4D2B">
      <w:pPr>
        <w:pStyle w:val="Copyright"/>
        <w:rPr>
          <w:noProof/>
        </w:rPr>
      </w:pPr>
      <w:r w:rsidRPr="00E812E9">
        <w:rPr>
          <w:noProof/>
        </w:rPr>
        <w:t xml:space="preserve">This report has been produced by Hydrology and Risk Consulting Pty Ltd </w:t>
      </w:r>
      <w:r w:rsidR="007C6B8B">
        <w:rPr>
          <w:noProof/>
        </w:rPr>
        <w:t xml:space="preserve">ACN 603 391 993 (“HARC”) </w:t>
      </w:r>
      <w:r w:rsidRPr="00E812E9">
        <w:rPr>
          <w:noProof/>
        </w:rPr>
        <w:t xml:space="preserve">for </w:t>
      </w:r>
      <w:r w:rsidR="000E5D84">
        <w:rPr>
          <w:noProof/>
        </w:rPr>
        <w:t xml:space="preserve">the </w:t>
      </w:r>
      <w:r>
        <w:rPr>
          <w:noProof/>
        </w:rPr>
        <w:fldChar w:fldCharType="begin"/>
      </w:r>
      <w:r>
        <w:rPr>
          <w:noProof/>
        </w:rPr>
        <w:instrText xml:space="preserve"> DOCPROPERTY  Client  \* MERGEFORMAT </w:instrText>
      </w:r>
      <w:r>
        <w:rPr>
          <w:noProof/>
        </w:rPr>
        <w:fldChar w:fldCharType="separate"/>
      </w:r>
      <w:r w:rsidR="00BC42C8">
        <w:rPr>
          <w:noProof/>
        </w:rPr>
        <w:t>Bushfire and Natural Hazards Cooperative Research Centre</w:t>
      </w:r>
      <w:r>
        <w:rPr>
          <w:noProof/>
        </w:rPr>
        <w:fldChar w:fldCharType="end"/>
      </w:r>
      <w:r w:rsidRPr="00E812E9">
        <w:rPr>
          <w:noProof/>
        </w:rPr>
        <w:t>.</w:t>
      </w:r>
      <w:r w:rsidR="00D8099A">
        <w:rPr>
          <w:noProof/>
        </w:rPr>
        <w:t xml:space="preserve"> </w:t>
      </w:r>
      <w:r w:rsidR="007C6B8B">
        <w:rPr>
          <w:noProof/>
        </w:rPr>
        <w:t>Unless otherwise indicated, t</w:t>
      </w:r>
      <w:r w:rsidRPr="00E812E9">
        <w:rPr>
          <w:noProof/>
        </w:rPr>
        <w:t>he concepts</w:t>
      </w:r>
      <w:r w:rsidR="007C6B8B">
        <w:rPr>
          <w:noProof/>
        </w:rPr>
        <w:t>, techniques, methods</w:t>
      </w:r>
      <w:r w:rsidRPr="00E812E9">
        <w:rPr>
          <w:noProof/>
        </w:rPr>
        <w:t xml:space="preserve"> and information contained within the report </w:t>
      </w:r>
      <w:r w:rsidR="007C6B8B">
        <w:rPr>
          <w:noProof/>
        </w:rPr>
        <w:t>are the</w:t>
      </w:r>
      <w:r w:rsidRPr="00E812E9">
        <w:rPr>
          <w:noProof/>
        </w:rPr>
        <w:t xml:space="preserve"> intellectual property of </w:t>
      </w:r>
      <w:r w:rsidR="004A3957">
        <w:rPr>
          <w:noProof/>
        </w:rPr>
        <w:t>the State of Victoria</w:t>
      </w:r>
      <w:r w:rsidRPr="00E812E9">
        <w:rPr>
          <w:noProof/>
        </w:rPr>
        <w:t xml:space="preserve"> and may not be reproduced </w:t>
      </w:r>
      <w:r w:rsidR="000E5D84">
        <w:rPr>
          <w:noProof/>
        </w:rPr>
        <w:t>n</w:t>
      </w:r>
      <w:r w:rsidRPr="00E812E9">
        <w:rPr>
          <w:noProof/>
        </w:rPr>
        <w:t xml:space="preserve">or used in any form by third parties without the express written </w:t>
      </w:r>
      <w:r w:rsidR="007C6B8B">
        <w:rPr>
          <w:noProof/>
        </w:rPr>
        <w:t>consent</w:t>
      </w:r>
      <w:r w:rsidRPr="00E812E9">
        <w:rPr>
          <w:noProof/>
        </w:rPr>
        <w:t xml:space="preserve"> of </w:t>
      </w:r>
      <w:r w:rsidR="004A3957">
        <w:rPr>
          <w:noProof/>
        </w:rPr>
        <w:t>the State Government of Victoria</w:t>
      </w:r>
      <w:r w:rsidR="00297D90">
        <w:rPr>
          <w:noProof/>
        </w:rPr>
        <w:t>,</w:t>
      </w:r>
      <w:r w:rsidR="004A3957">
        <w:rPr>
          <w:noProof/>
        </w:rPr>
        <w:t xml:space="preserve"> Department of Environment</w:t>
      </w:r>
      <w:r w:rsidR="000E5D84">
        <w:rPr>
          <w:noProof/>
        </w:rPr>
        <w:t>,</w:t>
      </w:r>
      <w:r w:rsidR="004A3957">
        <w:rPr>
          <w:noProof/>
        </w:rPr>
        <w:t xml:space="preserve"> </w:t>
      </w:r>
      <w:r w:rsidR="000E5D84">
        <w:rPr>
          <w:noProof/>
        </w:rPr>
        <w:t xml:space="preserve">Land, </w:t>
      </w:r>
      <w:r w:rsidR="004A3957">
        <w:rPr>
          <w:noProof/>
        </w:rPr>
        <w:t>Water and Planning</w:t>
      </w:r>
      <w:r w:rsidRPr="00E812E9">
        <w:rPr>
          <w:noProof/>
        </w:rPr>
        <w:t>.</w:t>
      </w:r>
    </w:p>
    <w:p w14:paraId="33406671" w14:textId="0AE263C2" w:rsidR="00B95AFD" w:rsidRDefault="00E812E9" w:rsidP="00CE4D2B">
      <w:pPr>
        <w:pStyle w:val="Copyright"/>
        <w:rPr>
          <w:noProof/>
        </w:rPr>
      </w:pPr>
      <w:r w:rsidRPr="00E812E9">
        <w:rPr>
          <w:noProof/>
        </w:rPr>
        <w:t xml:space="preserve">The report has been prepared based on the information </w:t>
      </w:r>
      <w:r w:rsidR="007C6B8B">
        <w:rPr>
          <w:noProof/>
        </w:rPr>
        <w:t xml:space="preserve">and specifications </w:t>
      </w:r>
      <w:r w:rsidRPr="00E812E9">
        <w:rPr>
          <w:noProof/>
        </w:rPr>
        <w:t xml:space="preserve">provided to </w:t>
      </w:r>
      <w:r w:rsidR="007C6B8B">
        <w:rPr>
          <w:noProof/>
        </w:rPr>
        <w:t>HARC</w:t>
      </w:r>
      <w:r w:rsidR="004A3957">
        <w:rPr>
          <w:noProof/>
        </w:rPr>
        <w:t xml:space="preserve"> and the University of Melbourne</w:t>
      </w:r>
      <w:r w:rsidRPr="00E812E9">
        <w:rPr>
          <w:noProof/>
        </w:rPr>
        <w:t xml:space="preserve"> by</w:t>
      </w:r>
      <w:r w:rsidR="000E5D84">
        <w:rPr>
          <w:noProof/>
        </w:rPr>
        <w:t xml:space="preserve"> the</w:t>
      </w:r>
      <w:r w:rsidRPr="00E812E9">
        <w:rPr>
          <w:noProof/>
        </w:rPr>
        <w:t xml:space="preserve"> </w:t>
      </w:r>
      <w:r>
        <w:rPr>
          <w:noProof/>
        </w:rPr>
        <w:fldChar w:fldCharType="begin"/>
      </w:r>
      <w:r>
        <w:rPr>
          <w:noProof/>
        </w:rPr>
        <w:instrText xml:space="preserve"> DOCPROPERTY  Client  \* MERGEFORMAT </w:instrText>
      </w:r>
      <w:r>
        <w:rPr>
          <w:noProof/>
        </w:rPr>
        <w:fldChar w:fldCharType="separate"/>
      </w:r>
      <w:r w:rsidR="00BC42C8">
        <w:rPr>
          <w:noProof/>
        </w:rPr>
        <w:t>Bushfire and Natural Hazards Cooperative Research Centre</w:t>
      </w:r>
      <w:r>
        <w:rPr>
          <w:noProof/>
        </w:rPr>
        <w:fldChar w:fldCharType="end"/>
      </w:r>
      <w:r w:rsidRPr="00E812E9">
        <w:rPr>
          <w:noProof/>
        </w:rPr>
        <w:t>.</w:t>
      </w:r>
      <w:r w:rsidR="00D8099A">
        <w:rPr>
          <w:noProof/>
        </w:rPr>
        <w:t xml:space="preserve"> </w:t>
      </w:r>
      <w:r w:rsidR="007C6B8B">
        <w:rPr>
          <w:noProof/>
        </w:rPr>
        <w:t>HARC</w:t>
      </w:r>
      <w:r w:rsidRPr="00E812E9">
        <w:rPr>
          <w:noProof/>
        </w:rPr>
        <w:t xml:space="preserve"> does not warrant this document as being </w:t>
      </w:r>
      <w:r w:rsidR="007C6B8B">
        <w:rPr>
          <w:noProof/>
        </w:rPr>
        <w:t xml:space="preserve">complete, current or </w:t>
      </w:r>
      <w:r w:rsidRPr="00E812E9">
        <w:rPr>
          <w:noProof/>
        </w:rPr>
        <w:t>free from error</w:t>
      </w:r>
      <w:r w:rsidR="000E5D84">
        <w:rPr>
          <w:noProof/>
        </w:rPr>
        <w:t>,</w:t>
      </w:r>
      <w:r w:rsidRPr="00E812E9">
        <w:rPr>
          <w:noProof/>
        </w:rPr>
        <w:t xml:space="preserve"> and </w:t>
      </w:r>
      <w:r w:rsidR="007C6B8B">
        <w:rPr>
          <w:noProof/>
        </w:rPr>
        <w:t>disclaims all</w:t>
      </w:r>
      <w:r w:rsidRPr="00E812E9">
        <w:rPr>
          <w:noProof/>
        </w:rPr>
        <w:t xml:space="preserve"> liability for any loss</w:t>
      </w:r>
      <w:r w:rsidR="007C6B8B">
        <w:rPr>
          <w:noProof/>
        </w:rPr>
        <w:t>,</w:t>
      </w:r>
      <w:r w:rsidRPr="00E812E9">
        <w:rPr>
          <w:noProof/>
        </w:rPr>
        <w:t xml:space="preserve"> damage</w:t>
      </w:r>
      <w:r w:rsidR="007C6B8B">
        <w:rPr>
          <w:noProof/>
        </w:rPr>
        <w:t>, costs or expenses (including consequential losses)</w:t>
      </w:r>
      <w:r w:rsidRPr="00E812E9">
        <w:rPr>
          <w:noProof/>
        </w:rPr>
        <w:t xml:space="preserve"> </w:t>
      </w:r>
      <w:r w:rsidR="007C6B8B">
        <w:rPr>
          <w:noProof/>
        </w:rPr>
        <w:t>re</w:t>
      </w:r>
      <w:r w:rsidR="00E80142">
        <w:rPr>
          <w:noProof/>
        </w:rPr>
        <w:t>su</w:t>
      </w:r>
      <w:r w:rsidR="000E5D84">
        <w:rPr>
          <w:noProof/>
        </w:rPr>
        <w:t>l</w:t>
      </w:r>
      <w:r w:rsidR="007C6B8B">
        <w:rPr>
          <w:noProof/>
        </w:rPr>
        <w:t xml:space="preserve">ting from </w:t>
      </w:r>
      <w:r w:rsidR="00E80142">
        <w:rPr>
          <w:noProof/>
        </w:rPr>
        <w:t xml:space="preserve">use of </w:t>
      </w:r>
      <w:r w:rsidR="007C6B8B">
        <w:rPr>
          <w:noProof/>
        </w:rPr>
        <w:t>this report</w:t>
      </w:r>
      <w:r w:rsidR="00B95AFD" w:rsidRPr="00B95AFD">
        <w:rPr>
          <w:noProof/>
        </w:rPr>
        <w:t>.</w:t>
      </w:r>
    </w:p>
    <w:p w14:paraId="48A6DD2F" w14:textId="5EB5D254" w:rsidR="007C6B8B" w:rsidRDefault="007C6B8B" w:rsidP="007C6B8B">
      <w:pPr>
        <w:pStyle w:val="Copyright"/>
        <w:rPr>
          <w:noProof/>
        </w:rPr>
      </w:pPr>
      <w:r>
        <w:rPr>
          <w:noProof/>
        </w:rPr>
        <w:t xml:space="preserve">Copyright </w:t>
      </w:r>
      <w:r>
        <w:rPr>
          <w:rFonts w:cs="Arial"/>
          <w:noProof/>
        </w:rPr>
        <w:t>©</w:t>
      </w:r>
      <w:r w:rsidR="004A3957">
        <w:rPr>
          <w:rFonts w:cs="Arial"/>
          <w:noProof/>
        </w:rPr>
        <w:t xml:space="preserve"> State of </w:t>
      </w:r>
      <w:r w:rsidR="004A3957" w:rsidRPr="00F1202A">
        <w:rPr>
          <w:rFonts w:cs="Arial"/>
          <w:noProof/>
        </w:rPr>
        <w:t>Victoria</w:t>
      </w:r>
      <w:r w:rsidR="00A4218A" w:rsidRPr="00F1202A">
        <w:rPr>
          <w:rFonts w:cs="Arial"/>
          <w:noProof/>
        </w:rPr>
        <w:t xml:space="preserve"> 2020</w:t>
      </w:r>
      <w:r w:rsidRPr="00F1202A">
        <w:rPr>
          <w:noProof/>
        </w:rPr>
        <w:t>.</w:t>
      </w:r>
      <w:r w:rsidR="00D8099A" w:rsidRPr="00F1202A">
        <w:rPr>
          <w:noProof/>
        </w:rPr>
        <w:t xml:space="preserve"> </w:t>
      </w:r>
      <w:r w:rsidRPr="00F1202A">
        <w:rPr>
          <w:noProof/>
        </w:rPr>
        <w:t>All rights reserved.</w:t>
      </w:r>
    </w:p>
    <w:p w14:paraId="44802FA3" w14:textId="77777777" w:rsidR="000727DA" w:rsidRDefault="000727DA" w:rsidP="00166BA6">
      <w:pPr>
        <w:pStyle w:val="Para0"/>
        <w:spacing w:before="0" w:line="240" w:lineRule="auto"/>
        <w:rPr>
          <w:lang w:val="en-AU"/>
        </w:rPr>
      </w:pPr>
    </w:p>
    <w:p w14:paraId="04B058B6" w14:textId="77777777" w:rsidR="000727DA" w:rsidRDefault="000727DA" w:rsidP="00166BA6">
      <w:pPr>
        <w:pStyle w:val="Para0"/>
        <w:spacing w:before="0" w:line="240" w:lineRule="auto"/>
        <w:sectPr w:rsidR="000727DA" w:rsidSect="002317D5">
          <w:headerReference w:type="even" r:id="rId27"/>
          <w:headerReference w:type="default" r:id="rId28"/>
          <w:footerReference w:type="even" r:id="rId29"/>
          <w:footerReference w:type="default" r:id="rId30"/>
          <w:headerReference w:type="first" r:id="rId31"/>
          <w:footerReference w:type="first" r:id="rId32"/>
          <w:pgSz w:w="11907" w:h="16840" w:code="9"/>
          <w:pgMar w:top="2835" w:right="851" w:bottom="1701" w:left="2268" w:header="680" w:footer="238" w:gutter="0"/>
          <w:pgNumType w:fmt="lowerRoman" w:start="1"/>
          <w:cols w:space="720"/>
          <w:formProt w:val="0"/>
          <w:docGrid w:linePitch="299"/>
        </w:sectPr>
      </w:pPr>
    </w:p>
    <w:p w14:paraId="40937385" w14:textId="615072C3" w:rsidR="007B791C" w:rsidRDefault="007B791C" w:rsidP="007B791C">
      <w:pPr>
        <w:pStyle w:val="Head1manual"/>
      </w:pPr>
      <w:r>
        <w:lastRenderedPageBreak/>
        <w:t xml:space="preserve">Executive </w:t>
      </w:r>
      <w:r w:rsidR="002143C4">
        <w:t>s</w:t>
      </w:r>
      <w:r>
        <w:t>ummary</w:t>
      </w:r>
    </w:p>
    <w:p w14:paraId="1A2EB7D4" w14:textId="77777777" w:rsidR="00986786" w:rsidRPr="00986786" w:rsidRDefault="00986786" w:rsidP="00986786">
      <w:pPr>
        <w:keepNext/>
        <w:spacing w:before="120" w:after="40" w:line="240" w:lineRule="auto"/>
        <w:rPr>
          <w:b/>
          <w:color w:val="2F5496"/>
          <w:sz w:val="22"/>
        </w:rPr>
      </w:pPr>
      <w:r w:rsidRPr="00986786">
        <w:rPr>
          <w:b/>
          <w:color w:val="2F5496"/>
          <w:sz w:val="22"/>
        </w:rPr>
        <w:t>Introduction and context</w:t>
      </w:r>
      <w:r w:rsidRPr="00986786" w:rsidDel="005756CD">
        <w:rPr>
          <w:b/>
          <w:color w:val="2F5496"/>
          <w:sz w:val="22"/>
        </w:rPr>
        <w:t xml:space="preserve"> </w:t>
      </w:r>
    </w:p>
    <w:p w14:paraId="0D4EF5F8" w14:textId="66191731" w:rsidR="00986786" w:rsidRPr="00986786" w:rsidRDefault="00986786" w:rsidP="00986786">
      <w:pPr>
        <w:spacing w:before="240" w:after="0"/>
      </w:pPr>
      <w:r w:rsidRPr="00986786">
        <w:t xml:space="preserve">The </w:t>
      </w:r>
      <w:r w:rsidRPr="00986786">
        <w:rPr>
          <w:i/>
        </w:rPr>
        <w:t>Wood and Water Study</w:t>
      </w:r>
      <w:r w:rsidRPr="00986786">
        <w:t xml:space="preserve"> (2008), hereafter referred to as WWS2008, comprised a group of studies that were undertaken by a team of researchers </w:t>
      </w:r>
      <w:r w:rsidR="00704E8E">
        <w:t xml:space="preserve">between 2006 </w:t>
      </w:r>
      <w:r w:rsidRPr="00986786">
        <w:t xml:space="preserve">and 2008. </w:t>
      </w:r>
      <w:r w:rsidR="00406BF3" w:rsidRPr="00406BF3">
        <w:t>The purpose of WWS2008 was to</w:t>
      </w:r>
      <w:r w:rsidR="00406BF3">
        <w:t xml:space="preserve"> </w:t>
      </w:r>
      <w:r w:rsidR="00406BF3" w:rsidRPr="00406BF3">
        <w:t>estimate the impacts of different timb</w:t>
      </w:r>
      <w:r w:rsidR="00422C8C">
        <w:t xml:space="preserve">er management regimes, </w:t>
      </w:r>
      <w:r w:rsidR="002143C4">
        <w:t xml:space="preserve">as well as </w:t>
      </w:r>
      <w:r w:rsidR="00422C8C">
        <w:t>bushfire</w:t>
      </w:r>
      <w:r w:rsidR="00406BF3" w:rsidRPr="00406BF3">
        <w:t xml:space="preserve"> and climate change</w:t>
      </w:r>
      <w:r w:rsidR="002143C4">
        <w:t>,</w:t>
      </w:r>
      <w:r w:rsidR="00406BF3" w:rsidRPr="00406BF3">
        <w:t xml:space="preserve"> on </w:t>
      </w:r>
      <w:r w:rsidR="00F94370">
        <w:t xml:space="preserve">catchment </w:t>
      </w:r>
      <w:r w:rsidR="00406BF3" w:rsidRPr="00406BF3">
        <w:t xml:space="preserve">water yield </w:t>
      </w:r>
      <w:r w:rsidR="002B5A2B">
        <w:t>(i</w:t>
      </w:r>
      <w:r w:rsidR="00422C8C">
        <w:t>.</w:t>
      </w:r>
      <w:r w:rsidR="002B5A2B">
        <w:t>e</w:t>
      </w:r>
      <w:r w:rsidR="00422C8C">
        <w:t>.</w:t>
      </w:r>
      <w:r w:rsidR="002B5A2B">
        <w:t xml:space="preserve"> streamflows) </w:t>
      </w:r>
      <w:r w:rsidR="00406BF3" w:rsidRPr="00406BF3">
        <w:t>in Melbo</w:t>
      </w:r>
      <w:r w:rsidR="00BD0907">
        <w:t xml:space="preserve">urne’s water supply catchments and to demonstrate how </w:t>
      </w:r>
      <w:r w:rsidR="00753E5E">
        <w:t>the different timber management</w:t>
      </w:r>
      <w:r w:rsidR="00BD0907">
        <w:t xml:space="preserve"> </w:t>
      </w:r>
      <w:r w:rsidR="00406BF3" w:rsidRPr="00406BF3">
        <w:t>regimes</w:t>
      </w:r>
      <w:r w:rsidR="00753E5E">
        <w:t xml:space="preserve"> would</w:t>
      </w:r>
      <w:r w:rsidR="00406BF3" w:rsidRPr="00406BF3">
        <w:t xml:space="preserve"> impact on timber yield from the associated Forest Management Areas. </w:t>
      </w:r>
      <w:r w:rsidR="00406BF3">
        <w:t>T</w:t>
      </w:r>
      <w:r w:rsidR="00406BF3" w:rsidRPr="00406BF3">
        <w:t xml:space="preserve">he study was documented in six reports (Mein, 2008; Feikema </w:t>
      </w:r>
      <w:r w:rsidR="001C1F9A" w:rsidRPr="001C1F9A">
        <w:rPr>
          <w:i/>
        </w:rPr>
        <w:t>et al.</w:t>
      </w:r>
      <w:r w:rsidR="00406BF3" w:rsidRPr="00406BF3">
        <w:t xml:space="preserve">, 2006, 2008; Walker, 2008; Battad </w:t>
      </w:r>
      <w:r w:rsidR="001C1F9A" w:rsidRPr="001C1F9A">
        <w:rPr>
          <w:i/>
        </w:rPr>
        <w:t>et al.</w:t>
      </w:r>
      <w:r w:rsidR="00406BF3" w:rsidRPr="00406BF3">
        <w:t>, 2007; Salkin, 2008)</w:t>
      </w:r>
      <w:r w:rsidR="00406BF3">
        <w:t>, and r</w:t>
      </w:r>
      <w:r w:rsidR="00406BF3" w:rsidRPr="00406BF3">
        <w:t>ecommendations for future work were made in two of these</w:t>
      </w:r>
      <w:r w:rsidR="00406BF3">
        <w:t xml:space="preserve"> (</w:t>
      </w:r>
      <w:r w:rsidR="00406BF3" w:rsidRPr="00406BF3">
        <w:t>Mein, 2008</w:t>
      </w:r>
      <w:r w:rsidR="00406BF3">
        <w:t xml:space="preserve">; </w:t>
      </w:r>
      <w:r w:rsidR="00406BF3" w:rsidRPr="00406BF3">
        <w:t xml:space="preserve">Feikema </w:t>
      </w:r>
      <w:r w:rsidR="001C1F9A" w:rsidRPr="001C1F9A">
        <w:rPr>
          <w:i/>
        </w:rPr>
        <w:t>et al.</w:t>
      </w:r>
      <w:r w:rsidR="00406BF3" w:rsidRPr="00406BF3">
        <w:t>, 2008).</w:t>
      </w:r>
    </w:p>
    <w:p w14:paraId="45DDBE54" w14:textId="136625C4" w:rsidR="0084186F" w:rsidRDefault="00986786" w:rsidP="0084186F">
      <w:pPr>
        <w:spacing w:before="240" w:after="0"/>
      </w:pPr>
      <w:r w:rsidRPr="00986786">
        <w:t xml:space="preserve">Hydrology and Risk Consulting (HARC) and the University of Melbourne (UoM) were engaged by the Bushfire and Natural Hazards Cooperative Research Centre on 1 October 2019 to review WWS2008 and its supporting reports, and the relevant </w:t>
      </w:r>
      <w:r w:rsidR="00704E8E">
        <w:t>documents</w:t>
      </w:r>
      <w:r w:rsidR="00704E8E" w:rsidRPr="00986786">
        <w:t xml:space="preserve"> </w:t>
      </w:r>
      <w:r w:rsidRPr="00986786">
        <w:t xml:space="preserve">or data that have been published since the study </w:t>
      </w:r>
      <w:r w:rsidR="00704E8E">
        <w:t>was completed in 2008</w:t>
      </w:r>
      <w:r w:rsidRPr="00986786">
        <w:t xml:space="preserve">. </w:t>
      </w:r>
      <w:r w:rsidR="00704E8E">
        <w:t>This review focus</w:t>
      </w:r>
      <w:r w:rsidR="002143C4">
        <w:t>s</w:t>
      </w:r>
      <w:r w:rsidR="00704E8E">
        <w:t xml:space="preserve">es only on aspects relevant to </w:t>
      </w:r>
      <w:r w:rsidR="00F94370">
        <w:t xml:space="preserve">catchment </w:t>
      </w:r>
      <w:r w:rsidR="00704E8E">
        <w:t>water yields</w:t>
      </w:r>
      <w:r w:rsidR="002143C4">
        <w:t>,</w:t>
      </w:r>
      <w:r w:rsidR="00704E8E">
        <w:t xml:space="preserve"> and not on timber production. </w:t>
      </w:r>
      <w:r w:rsidR="0084186F" w:rsidRPr="00986786">
        <w:t>The review has drawn upon existing published research on bushfires</w:t>
      </w:r>
      <w:r w:rsidR="00F94370">
        <w:t xml:space="preserve"> and</w:t>
      </w:r>
      <w:r w:rsidR="0084186F" w:rsidRPr="00986786">
        <w:t xml:space="preserve"> </w:t>
      </w:r>
      <w:r w:rsidR="00F94370">
        <w:t xml:space="preserve">catchment </w:t>
      </w:r>
      <w:r w:rsidR="0084186F" w:rsidRPr="00986786">
        <w:t xml:space="preserve">water yield in forested catchments of Victoria and other parts of Australia, as well as other analyses and modelling available up to September 2019. </w:t>
      </w:r>
      <w:r w:rsidR="0084186F">
        <w:t>No new modelling was undertaken as part of this review</w:t>
      </w:r>
      <w:r w:rsidR="0084186F" w:rsidRPr="00406BF3">
        <w:t>.</w:t>
      </w:r>
    </w:p>
    <w:p w14:paraId="6AAB6731" w14:textId="6CCD5BD0" w:rsidR="00986786" w:rsidRPr="00986786" w:rsidRDefault="00986786" w:rsidP="00986786">
      <w:pPr>
        <w:spacing w:before="240" w:after="0"/>
      </w:pPr>
      <w:r w:rsidRPr="00986786">
        <w:t xml:space="preserve">This review has considered whether previous modelling of the </w:t>
      </w:r>
      <w:r w:rsidR="00F94370">
        <w:t xml:space="preserve">catchment </w:t>
      </w:r>
      <w:r w:rsidRPr="00986786">
        <w:t xml:space="preserve">water yield impacts in Melbourne’s catchments remains current in light of: </w:t>
      </w:r>
    </w:p>
    <w:p w14:paraId="4CA2C3C0" w14:textId="77777777" w:rsidR="00986786" w:rsidRPr="00986786" w:rsidRDefault="00986786" w:rsidP="00F1202A">
      <w:pPr>
        <w:numPr>
          <w:ilvl w:val="0"/>
          <w:numId w:val="14"/>
        </w:numPr>
        <w:spacing w:before="60" w:after="60"/>
        <w:ind w:left="284" w:hanging="284"/>
      </w:pPr>
      <w:r w:rsidRPr="00986786">
        <w:t xml:space="preserve">fire, logging and other disturbance events since 2008 </w:t>
      </w:r>
    </w:p>
    <w:p w14:paraId="1B3C8DBF" w14:textId="50C37A16" w:rsidR="00986786" w:rsidRPr="00986786" w:rsidRDefault="00986786" w:rsidP="00F1202A">
      <w:pPr>
        <w:numPr>
          <w:ilvl w:val="0"/>
          <w:numId w:val="14"/>
        </w:numPr>
        <w:spacing w:before="60" w:after="60"/>
        <w:ind w:left="284" w:hanging="284"/>
      </w:pPr>
      <w:r w:rsidRPr="00986786">
        <w:t xml:space="preserve">rainfall conditions, including potential climate change impacts on future rainfall </w:t>
      </w:r>
    </w:p>
    <w:p w14:paraId="7D168890" w14:textId="77777777" w:rsidR="00986786" w:rsidRPr="00986786" w:rsidRDefault="00986786" w:rsidP="00F1202A">
      <w:pPr>
        <w:numPr>
          <w:ilvl w:val="0"/>
          <w:numId w:val="14"/>
        </w:numPr>
        <w:spacing w:before="60" w:after="60"/>
        <w:ind w:left="284" w:hanging="284"/>
      </w:pPr>
      <w:r w:rsidRPr="00986786">
        <w:t xml:space="preserve">expected changes to fire behaviour under climate change, taking into consideration the likelihood of more frequent and severe days of extreme fire weather </w:t>
      </w:r>
    </w:p>
    <w:p w14:paraId="6481F4A5" w14:textId="16C10601" w:rsidR="00986786" w:rsidRDefault="00986786" w:rsidP="00F1202A">
      <w:pPr>
        <w:numPr>
          <w:ilvl w:val="0"/>
          <w:numId w:val="14"/>
        </w:numPr>
        <w:spacing w:before="60" w:after="60"/>
        <w:ind w:left="284" w:hanging="284"/>
      </w:pPr>
      <w:r w:rsidRPr="00986786">
        <w:t xml:space="preserve">any other factors considered likely to have a material impact on </w:t>
      </w:r>
      <w:r w:rsidR="00F94370">
        <w:t xml:space="preserve">catchment </w:t>
      </w:r>
      <w:r w:rsidRPr="00986786">
        <w:t xml:space="preserve">water yield.  </w:t>
      </w:r>
    </w:p>
    <w:p w14:paraId="3B3B79FA" w14:textId="276549B3" w:rsidR="000D266A" w:rsidRPr="000D266A" w:rsidRDefault="000D266A" w:rsidP="00C0145D">
      <w:pPr>
        <w:pStyle w:val="Para0"/>
      </w:pPr>
      <w:r w:rsidRPr="000D266A">
        <w:t xml:space="preserve">Mein (2008) focussed exclusively on the impact of these factors on </w:t>
      </w:r>
      <w:r w:rsidR="00F94370">
        <w:t xml:space="preserve">catchment </w:t>
      </w:r>
      <w:r w:rsidRPr="000D266A">
        <w:t>water yield</w:t>
      </w:r>
      <w:r w:rsidR="002143C4">
        <w:t>,</w:t>
      </w:r>
      <w:r w:rsidRPr="000D266A">
        <w:t xml:space="preserve"> and excluded any discussion of impacts on water quality.</w:t>
      </w:r>
      <w:r>
        <w:t xml:space="preserve"> This review has therefore focussed on </w:t>
      </w:r>
      <w:r w:rsidR="00F94370">
        <w:t xml:space="preserve">catchment </w:t>
      </w:r>
      <w:r>
        <w:t>water yield from Melbourne’s catchments, without specific commentary on water quality.</w:t>
      </w:r>
    </w:p>
    <w:p w14:paraId="59480BA7" w14:textId="3DC9FC93" w:rsidR="00406BF3" w:rsidRPr="00846769" w:rsidRDefault="00406BF3" w:rsidP="00846769">
      <w:pPr>
        <w:keepNext/>
        <w:spacing w:before="120" w:after="40" w:line="240" w:lineRule="auto"/>
        <w:rPr>
          <w:b/>
          <w:color w:val="2F5496"/>
          <w:sz w:val="22"/>
        </w:rPr>
      </w:pPr>
      <w:r w:rsidRPr="00846769">
        <w:rPr>
          <w:b/>
          <w:color w:val="2F5496"/>
          <w:sz w:val="22"/>
        </w:rPr>
        <w:t>Factors emerging since 2008</w:t>
      </w:r>
    </w:p>
    <w:p w14:paraId="163EE86A" w14:textId="6E7B0684" w:rsidR="000229C5" w:rsidRPr="00406BF3" w:rsidRDefault="00406BF3" w:rsidP="00406BF3">
      <w:pPr>
        <w:spacing w:before="240" w:after="0"/>
      </w:pPr>
      <w:r w:rsidRPr="00406BF3">
        <w:t xml:space="preserve">The Regional Forest Agreements (RFAs) for Victoria are due to expire on 31 March 2020. A Memorandum of Understanding (MoU) was signed on 27 March 2018 committing Victoria and the Commonwealth </w:t>
      </w:r>
      <w:r w:rsidR="00472AE0">
        <w:t xml:space="preserve">of Australia </w:t>
      </w:r>
      <w:r w:rsidRPr="00406BF3">
        <w:t>to work towards 20-year extensions to the RFAs, which co</w:t>
      </w:r>
      <w:r w:rsidR="000229C5">
        <w:t xml:space="preserve">me into effect from March 2020. </w:t>
      </w:r>
      <w:r w:rsidR="000229C5" w:rsidRPr="000229C5">
        <w:t xml:space="preserve">On 7 November 2019, the Victorian Government announced a plan to </w:t>
      </w:r>
      <w:r w:rsidR="000229C5" w:rsidRPr="000229C5">
        <w:lastRenderedPageBreak/>
        <w:t>immediately cease all logging in old growth forests, with all logging in native forests across the state to stop by 2030.</w:t>
      </w:r>
    </w:p>
    <w:p w14:paraId="17565E71" w14:textId="77777777" w:rsidR="00406BF3" w:rsidRPr="00406BF3" w:rsidRDefault="00406BF3" w:rsidP="00406BF3">
      <w:pPr>
        <w:spacing w:before="240" w:after="0"/>
      </w:pPr>
      <w:r w:rsidRPr="00406BF3">
        <w:t>Significant changes to government policy, governance of the Yarra River catchment and the Melbourne water supply system since the completion of WWS2008, may have changed the economic, social, environmental and cultural benefits and costs of the options that were considered in WWS2008.</w:t>
      </w:r>
    </w:p>
    <w:p w14:paraId="108EA0BB" w14:textId="12AFCF2B" w:rsidR="00406BF3" w:rsidRPr="00406BF3" w:rsidRDefault="00406BF3" w:rsidP="00406BF3">
      <w:pPr>
        <w:spacing w:before="240" w:after="0"/>
      </w:pPr>
      <w:r w:rsidRPr="00406BF3">
        <w:t>Demands for water will be influenced by climate variability and change</w:t>
      </w:r>
      <w:r w:rsidR="00D91FD5">
        <w:t>,</w:t>
      </w:r>
      <w:r w:rsidRPr="00406BF3">
        <w:t xml:space="preserve"> and </w:t>
      </w:r>
      <w:r w:rsidR="00D91FD5">
        <w:t xml:space="preserve">by </w:t>
      </w:r>
      <w:r w:rsidRPr="00406BF3">
        <w:t>population growth. Per-capita, and hence total, demand for water will be moderated by integrated water management options. And, as has been demonstrated in recent years (including in early 2019), bushfires can have appreciable impacts on water quality in the reservoirs, which will affect Melbourne Water’s options for satisfying Melbourne’s water demand.</w:t>
      </w:r>
    </w:p>
    <w:p w14:paraId="4AB8D0CB" w14:textId="762F8C6F" w:rsidR="00406BF3" w:rsidRPr="00406BF3" w:rsidRDefault="00406BF3" w:rsidP="00406BF3">
      <w:pPr>
        <w:spacing w:before="240" w:after="0"/>
      </w:pPr>
      <w:r w:rsidRPr="00406BF3">
        <w:t xml:space="preserve">All these factors combine to influence the current and future </w:t>
      </w:r>
      <w:r w:rsidR="00A15474">
        <w:t xml:space="preserve">water </w:t>
      </w:r>
      <w:r w:rsidRPr="00406BF3">
        <w:t xml:space="preserve">supply </w:t>
      </w:r>
      <w:r w:rsidR="00A15474">
        <w:t xml:space="preserve">and demand for </w:t>
      </w:r>
      <w:r w:rsidRPr="00406BF3">
        <w:t xml:space="preserve">Melbourne, and hence the </w:t>
      </w:r>
      <w:r w:rsidR="00A15474">
        <w:t>water resources system strategy and management</w:t>
      </w:r>
      <w:r w:rsidRPr="00406BF3">
        <w:t>.</w:t>
      </w:r>
    </w:p>
    <w:p w14:paraId="76F195BC" w14:textId="77777777" w:rsidR="00986786" w:rsidRPr="00986786" w:rsidRDefault="00986786" w:rsidP="00986786">
      <w:pPr>
        <w:keepNext/>
        <w:spacing w:before="120" w:after="40" w:line="240" w:lineRule="auto"/>
        <w:rPr>
          <w:b/>
          <w:color w:val="2F5496"/>
          <w:sz w:val="22"/>
        </w:rPr>
      </w:pPr>
      <w:r w:rsidRPr="00986786">
        <w:rPr>
          <w:b/>
          <w:color w:val="2F5496"/>
          <w:sz w:val="22"/>
        </w:rPr>
        <w:t>Assessment of the conclusions of WWS2008</w:t>
      </w:r>
    </w:p>
    <w:p w14:paraId="2D0A38AC" w14:textId="510B9544" w:rsidR="00986786" w:rsidRPr="003D2C3C" w:rsidRDefault="00F144A3" w:rsidP="00986786">
      <w:pPr>
        <w:spacing w:before="240" w:after="0"/>
        <w:rPr>
          <w:color w:val="auto"/>
        </w:rPr>
      </w:pPr>
      <w:r w:rsidRPr="003D2C3C">
        <w:rPr>
          <w:color w:val="auto"/>
        </w:rPr>
        <w:t xml:space="preserve">This report presents a detailed review of WWS2008, in light of </w:t>
      </w:r>
      <w:r w:rsidR="00986786" w:rsidRPr="003D2C3C">
        <w:rPr>
          <w:color w:val="auto"/>
        </w:rPr>
        <w:t>developments over the last 11 years and the current state of knowledge about Melbourne’s forested catchments</w:t>
      </w:r>
      <w:r w:rsidRPr="003D2C3C">
        <w:rPr>
          <w:color w:val="auto"/>
        </w:rPr>
        <w:t xml:space="preserve">. Section 6 of this report presents our </w:t>
      </w:r>
      <w:r w:rsidR="00986786" w:rsidRPr="003D2C3C">
        <w:rPr>
          <w:color w:val="auto"/>
        </w:rPr>
        <w:t xml:space="preserve">assessment of </w:t>
      </w:r>
      <w:r w:rsidRPr="003D2C3C">
        <w:rPr>
          <w:color w:val="auto"/>
        </w:rPr>
        <w:t xml:space="preserve">the </w:t>
      </w:r>
      <w:r w:rsidR="00986786" w:rsidRPr="003D2C3C">
        <w:rPr>
          <w:color w:val="auto"/>
        </w:rPr>
        <w:t>four broad conclusions</w:t>
      </w:r>
      <w:r w:rsidR="004657D6" w:rsidRPr="003D2C3C">
        <w:rPr>
          <w:color w:val="auto"/>
        </w:rPr>
        <w:t xml:space="preserve"> </w:t>
      </w:r>
      <w:r w:rsidRPr="003D2C3C">
        <w:rPr>
          <w:color w:val="auto"/>
        </w:rPr>
        <w:t>of the WWS2008 Summary Report (Mein, 2008)</w:t>
      </w:r>
      <w:r w:rsidR="00A62532" w:rsidRPr="003D2C3C">
        <w:rPr>
          <w:color w:val="auto"/>
        </w:rPr>
        <w:t xml:space="preserve"> resulting from this review</w:t>
      </w:r>
      <w:r w:rsidRPr="003D2C3C">
        <w:rPr>
          <w:color w:val="auto"/>
        </w:rPr>
        <w:t>,</w:t>
      </w:r>
      <w:r w:rsidR="00986786" w:rsidRPr="003D2C3C">
        <w:rPr>
          <w:color w:val="auto"/>
        </w:rPr>
        <w:t xml:space="preserve"> </w:t>
      </w:r>
      <w:r w:rsidRPr="003D2C3C">
        <w:rPr>
          <w:color w:val="auto"/>
        </w:rPr>
        <w:t xml:space="preserve">together with our </w:t>
      </w:r>
      <w:r w:rsidR="002319AF" w:rsidRPr="003D2C3C">
        <w:rPr>
          <w:color w:val="auto"/>
        </w:rPr>
        <w:t>recommendations</w:t>
      </w:r>
      <w:r w:rsidRPr="003D2C3C">
        <w:rPr>
          <w:color w:val="auto"/>
        </w:rPr>
        <w:t xml:space="preserve">. </w:t>
      </w:r>
      <w:r w:rsidR="000F1D69" w:rsidRPr="003D2C3C">
        <w:rPr>
          <w:color w:val="auto"/>
        </w:rPr>
        <w:t>Our</w:t>
      </w:r>
      <w:r w:rsidR="002319AF" w:rsidRPr="003D2C3C">
        <w:rPr>
          <w:color w:val="auto"/>
        </w:rPr>
        <w:t xml:space="preserve"> assessment and recommendations </w:t>
      </w:r>
      <w:r w:rsidRPr="003D2C3C">
        <w:rPr>
          <w:color w:val="auto"/>
        </w:rPr>
        <w:t xml:space="preserve">are </w:t>
      </w:r>
      <w:r w:rsidR="002319AF" w:rsidRPr="003D2C3C">
        <w:rPr>
          <w:color w:val="auto"/>
        </w:rPr>
        <w:t>restate</w:t>
      </w:r>
      <w:r w:rsidRPr="003D2C3C">
        <w:rPr>
          <w:color w:val="auto"/>
        </w:rPr>
        <w:t xml:space="preserve">d here. </w:t>
      </w:r>
    </w:p>
    <w:p w14:paraId="7C2CDD32" w14:textId="77777777" w:rsidR="00986786" w:rsidRPr="00986786" w:rsidRDefault="00986786" w:rsidP="00986786">
      <w:pPr>
        <w:numPr>
          <w:ilvl w:val="0"/>
          <w:numId w:val="13"/>
        </w:numPr>
        <w:spacing w:before="240" w:after="60" w:line="240" w:lineRule="auto"/>
        <w:ind w:left="993" w:hanging="142"/>
        <w:rPr>
          <w:i/>
        </w:rPr>
      </w:pPr>
      <w:bookmarkStart w:id="1" w:name="_Hlk41577617"/>
      <w:r w:rsidRPr="00986786">
        <w:rPr>
          <w:i/>
        </w:rPr>
        <w:t>The expected yield of the water supply catchments is increasing, due to the continued aging of the forest after the 1939 bushfires.</w:t>
      </w:r>
    </w:p>
    <w:p w14:paraId="0C62757C" w14:textId="43CC0D3B" w:rsidR="0064244C" w:rsidRPr="00986786" w:rsidRDefault="006B59B5" w:rsidP="00986786">
      <w:pPr>
        <w:spacing w:before="240" w:after="0"/>
        <w:ind w:left="993"/>
      </w:pPr>
      <w:r>
        <w:t>Inflows to Melbourne’s reservoirs over the 1997</w:t>
      </w:r>
      <w:r w:rsidR="004657D6">
        <w:rPr>
          <w:rFonts w:cs="Arial"/>
        </w:rPr>
        <w:t>–</w:t>
      </w:r>
      <w:r>
        <w:t>2018 period were 31% below the long</w:t>
      </w:r>
      <w:r w:rsidR="00D61F2C">
        <w:t>-</w:t>
      </w:r>
      <w:r>
        <w:t>term mean due to mean annual rainfall being about 11% below average.</w:t>
      </w:r>
      <w:r w:rsidR="00DC5F5B">
        <w:t xml:space="preserve"> Some of Melbourne’s forested catchments were affected by high</w:t>
      </w:r>
      <w:r w:rsidR="007055A8">
        <w:t xml:space="preserve"> </w:t>
      </w:r>
      <w:r w:rsidR="00DC5F5B">
        <w:t>severity fires in 2009.</w:t>
      </w:r>
      <w:r>
        <w:t xml:space="preserve"> Had rainfall been </w:t>
      </w:r>
      <w:r w:rsidR="003E3C3E">
        <w:t>at the long-term mean</w:t>
      </w:r>
      <w:r w:rsidR="00DC5F5B">
        <w:t xml:space="preserve"> and </w:t>
      </w:r>
      <w:r w:rsidR="004657D6">
        <w:t xml:space="preserve">had </w:t>
      </w:r>
      <w:r w:rsidR="00DC5F5B">
        <w:t>there been no bushfires</w:t>
      </w:r>
      <w:r w:rsidR="003E3C3E">
        <w:t xml:space="preserve">, </w:t>
      </w:r>
      <w:r w:rsidR="00986786" w:rsidRPr="00986786">
        <w:t xml:space="preserve">conclusion </w:t>
      </w:r>
      <w:r w:rsidR="004657D6">
        <w:t xml:space="preserve">(i) </w:t>
      </w:r>
      <w:r w:rsidR="003E3C3E">
        <w:t xml:space="preserve">would have </w:t>
      </w:r>
      <w:r w:rsidR="00986786" w:rsidRPr="00986786">
        <w:t>remain</w:t>
      </w:r>
      <w:r w:rsidR="003E3C3E">
        <w:t>ed</w:t>
      </w:r>
      <w:r w:rsidR="00986786" w:rsidRPr="00986786">
        <w:t xml:space="preserve"> valid</w:t>
      </w:r>
      <w:r w:rsidR="00DC5F5B">
        <w:t xml:space="preserve">. However, future catchment water yields will depend upon future climatic conditions and bushfires. </w:t>
      </w:r>
      <w:r w:rsidR="00986786" w:rsidRPr="00986786">
        <w:fldChar w:fldCharType="begin" w:fldLock="1"/>
      </w:r>
      <w:r w:rsidR="00544257">
        <w:instrText>ADDIN CSL_CITATION {"citationItems":[{"id":"ITEM-1","itemData":{"DOI":"10.1016/j.jhydrol.2013.02.001","ISSN":"00221694","abstract":"In February 2009, wildfire affected nine catchments, or approximately 28% of forested catchment area that supplies water to the city of Melbourne, Australia. This has potential to significantly affect the long term water use of these Eucalyptus forests and the consequential water yield because of the ecohydrologic response of some eucalypt species. Approximately 11% of the catchment area was severely burnt by intense fire, where vegetation mortality is higher. Catchment scale models using a physically-based approach were developed for the fire-affected water supply catchments. Different inputs of climate and forest mortality after fire were used to examine the relative contributions of rainfall, fire severity, forest type and forest age on post-fire streamflow. Simulations show the effect of fire on long term streamflow is likely to depend on a number of factors, the relative influence of which changes as rainfall becomes more limiting. Under average rainfall conditions, total reduction in post-fire streamflow after 100 years estimated to be between 1.4% (~12 GL year-1) and 2.8% (~24 GL year-1) are an order of magnitude lower than reductions in total catchment inflow during the period of low rainfall between 1997 and 2009, in which reservoir inflow was reduced by nearly 37%. The main reasons for the lower than expected changes in water yield are that a lower proportion of the catchments were affected by severe fire, and so mortality within the fire area was relatively low, and that the average age of the forest canopy (93 years) is younger than what is generally considered old growth forest. This means that the baseline (no-fire) streamflow used for reference is lower than would be expected with older, mature forest. The greatest post-fire affect on total water yield was predicted for the O'Shannassy catchment. This is due to the average forest age, which is the oldest of any of the catchments, that it has the highest average rainfall (1680 mm year-1), and that it contains the largest proportion of ash-type forest severely burnt (38.7%). Under wetter than average conditions, change in post-fire water yield is largely explained by changes in average age of the forest. The rates of ET are largely determined by the conductance and interception of the forest canopy. Under lower than average rainfall conditions, when water becomes limiting, annual rainfall is the best predictor of post-fire change in water yield. Under conditions of low rainfall and low soil…","author":[{"dropping-particle":"","family":"Feikema","given":"Paul M.","non-dropping-particle":"","parse-names":false,"suffix":""},{"dropping-particle":"","family":"Sherwin","given":"Christopher B.","non-dropping-particle":"","parse-names":false,"suffix":""},{"dropping-particle":"","family":"Lane","given":"Patrick N.J.","non-dropping-particle":"","parse-names":false,"suffix":""}],"container-title":"Journal of Hydrology","id":"ITEM-1","issued":{"date-parts":[["2013"]]},"page":"1-16","publisher":"Elsevier B.V.","title":"Influence of climate, fire severity and forest mortality on predictions of long term streamflow: Potential effect of the 2009 wildfire on Melbourne's water supply catchments","type":"article-journal","volume":"488"},"uris":["http://www.mendeley.com/documents/?uuid=b8b6f6f1-35bf-4145-b4d6-974245f2e21b"]}],"mendeley":{"formattedCitation":"(Feikema &lt;i&gt;et al.&lt;/i&gt;, 2013)","manualFormatting":"Feikema et al. (2013)","plainTextFormattedCitation":"(Feikema et al., 2013)","previouslyFormattedCitation":"(Feikema &lt;i&gt;et al.&lt;/i&gt;, 2013)"},"properties":{"noteIndex":0},"schema":"https://github.com/citation-style-language/schema/raw/master/csl-citation.json"}</w:instrText>
      </w:r>
      <w:r w:rsidR="00986786" w:rsidRPr="00986786">
        <w:fldChar w:fldCharType="separate"/>
      </w:r>
      <w:r w:rsidR="00986786" w:rsidRPr="00986786">
        <w:rPr>
          <w:noProof/>
        </w:rPr>
        <w:t xml:space="preserve">Feikema </w:t>
      </w:r>
      <w:r w:rsidR="001C1F9A" w:rsidRPr="001C1F9A">
        <w:rPr>
          <w:i/>
          <w:iCs/>
          <w:noProof/>
        </w:rPr>
        <w:t>et al.</w:t>
      </w:r>
      <w:r w:rsidR="00986786" w:rsidRPr="00986786">
        <w:rPr>
          <w:noProof/>
        </w:rPr>
        <w:t xml:space="preserve"> (2013)</w:t>
      </w:r>
      <w:r w:rsidR="00986786" w:rsidRPr="00986786">
        <w:fldChar w:fldCharType="end"/>
      </w:r>
      <w:r w:rsidR="00986786" w:rsidRPr="00986786">
        <w:t xml:space="preserve"> provides reasonable projections of </w:t>
      </w:r>
      <w:r w:rsidR="00F94370">
        <w:t xml:space="preserve">catchment </w:t>
      </w:r>
      <w:r w:rsidR="00986786" w:rsidRPr="00986786">
        <w:t>water yield from those catchments that were severely affected by the 2009 bushfires</w:t>
      </w:r>
      <w:r w:rsidR="009E642C">
        <w:t xml:space="preserve">, estimating that the total reduction in </w:t>
      </w:r>
      <w:r w:rsidR="00F94370">
        <w:t xml:space="preserve">catchment </w:t>
      </w:r>
      <w:r w:rsidR="009E642C">
        <w:t>water yield</w:t>
      </w:r>
      <w:r w:rsidR="00D14E64">
        <w:t xml:space="preserve"> for all of Melbourne’s catchments</w:t>
      </w:r>
      <w:r w:rsidR="00B022D8">
        <w:t xml:space="preserve">, over coming decades, </w:t>
      </w:r>
      <w:r w:rsidR="009E642C">
        <w:t>is projected to be between 12 and 24 GL/year</w:t>
      </w:r>
      <w:r w:rsidR="00D14E64">
        <w:t>.</w:t>
      </w:r>
    </w:p>
    <w:p w14:paraId="7DD4109E" w14:textId="062472E5" w:rsidR="00986786" w:rsidRPr="00986786" w:rsidRDefault="00986786" w:rsidP="00986786">
      <w:pPr>
        <w:numPr>
          <w:ilvl w:val="0"/>
          <w:numId w:val="13"/>
        </w:numPr>
        <w:spacing w:before="240" w:after="60" w:line="240" w:lineRule="auto"/>
        <w:ind w:left="993" w:hanging="142"/>
        <w:rPr>
          <w:i/>
        </w:rPr>
      </w:pPr>
      <w:r w:rsidRPr="00986786">
        <w:rPr>
          <w:i/>
        </w:rPr>
        <w:t xml:space="preserve">The impacts of changing timber management regimes on cumulative water yield are relatively small, modelled here as being all within </w:t>
      </w:r>
      <w:r w:rsidR="007055A8">
        <w:rPr>
          <w:rFonts w:cs="Arial"/>
          <w:i/>
        </w:rPr>
        <w:t>–</w:t>
      </w:r>
      <w:r w:rsidRPr="00986786">
        <w:rPr>
          <w:i/>
        </w:rPr>
        <w:t>1.5% of the cease-logging regime.</w:t>
      </w:r>
    </w:p>
    <w:p w14:paraId="4B8E83D2" w14:textId="589EEAAA" w:rsidR="00986786" w:rsidRPr="00986786" w:rsidRDefault="00986786" w:rsidP="00986786">
      <w:pPr>
        <w:spacing w:before="240" w:after="0"/>
        <w:ind w:left="993"/>
      </w:pPr>
      <w:r w:rsidRPr="00986786">
        <w:t xml:space="preserve">WWS2008 considered climate change, timber harvesting and bushfires in isolation. The WWS2008 Summary Report (Mein, 2008) recommended that a </w:t>
      </w:r>
      <w:r w:rsidR="004E3101">
        <w:t>Monte Carlo</w:t>
      </w:r>
      <w:r w:rsidRPr="00986786">
        <w:t xml:space="preserve"> approach should be undertaken to assess the combined effects of bushfires and climate change </w:t>
      </w:r>
      <w:r w:rsidRPr="00986786">
        <w:lastRenderedPageBreak/>
        <w:t xml:space="preserve">on </w:t>
      </w:r>
      <w:r w:rsidR="00F94370">
        <w:t xml:space="preserve">catchment </w:t>
      </w:r>
      <w:r w:rsidRPr="00986786">
        <w:t xml:space="preserve">water yield to Melbourne’s reservoirs. Until </w:t>
      </w:r>
      <w:r w:rsidR="009633DE">
        <w:t xml:space="preserve">such </w:t>
      </w:r>
      <w:r w:rsidRPr="00986786">
        <w:t xml:space="preserve">modelling is undertaken, WWS2008 </w:t>
      </w:r>
      <w:r w:rsidR="009633DE">
        <w:t xml:space="preserve">still </w:t>
      </w:r>
      <w:r w:rsidR="00E251AD">
        <w:t>represents</w:t>
      </w:r>
      <w:r w:rsidR="00E251AD" w:rsidRPr="00986786">
        <w:t xml:space="preserve"> </w:t>
      </w:r>
      <w:r w:rsidRPr="00986786">
        <w:t>the most reliable projections of changes in</w:t>
      </w:r>
      <w:r w:rsidR="00F94370">
        <w:t xml:space="preserve"> catchment</w:t>
      </w:r>
      <w:r w:rsidRPr="00986786">
        <w:t xml:space="preserve"> water yield from Melbourne’s forested catchments between the current timber harvesting regime and scenarios for cessation of logging across the catchments.</w:t>
      </w:r>
      <w:r w:rsidR="003E3C3E">
        <w:t xml:space="preserve"> </w:t>
      </w:r>
      <w:r w:rsidR="003E3C3E">
        <w:fldChar w:fldCharType="begin" w:fldLock="1"/>
      </w:r>
      <w:r w:rsidR="00D11C5B">
        <w:instrText>ADDIN CSL_CITATION {"citationItems":[{"id":"ITEM-1","itemData":{"author":[{"dropping-particle":"","family":"Mein","given":"Russell","non-dropping-particle":"","parse-names":false,"suffix":""}],"id":"ITEM-1","issue":"May","issued":{"date-parts":[["2008"]]},"number-of-pages":"24","title":"Potential impacts of forest management on streamflow in Melbourne’s water supply catchments Summary report","type":"report"},"uris":["http://www.mendeley.com/documents/?uuid=8b5f64af-8bc5-46a2-bf12-c3f57288c5f8"]}],"mendeley":{"formattedCitation":"(Mein, 2008)","manualFormatting":"Mein (2008)","plainTextFormattedCitation":"(Mein, 2008)","previouslyFormattedCitation":"(Mein, 2008)"},"properties":{"noteIndex":0},"schema":"https://github.com/citation-style-language/schema/raw/master/csl-citation.json"}</w:instrText>
      </w:r>
      <w:r w:rsidR="003E3C3E">
        <w:fldChar w:fldCharType="separate"/>
      </w:r>
      <w:r w:rsidR="003E3C3E" w:rsidRPr="003E3C3E">
        <w:rPr>
          <w:noProof/>
        </w:rPr>
        <w:t xml:space="preserve">Mein </w:t>
      </w:r>
      <w:r w:rsidR="003E3C3E">
        <w:rPr>
          <w:noProof/>
        </w:rPr>
        <w:t>(</w:t>
      </w:r>
      <w:r w:rsidR="003E3C3E" w:rsidRPr="003E3C3E">
        <w:rPr>
          <w:noProof/>
        </w:rPr>
        <w:t>2008)</w:t>
      </w:r>
      <w:r w:rsidR="003E3C3E">
        <w:fldChar w:fldCharType="end"/>
      </w:r>
      <w:r w:rsidRPr="00986786">
        <w:t xml:space="preserve"> </w:t>
      </w:r>
      <w:r w:rsidR="003E3C3E">
        <w:t>calculated that by 40 years after the cessation of logging, there would be an increase of 16 GL/year in water yield and a cumulative increase of 190 GL in</w:t>
      </w:r>
      <w:r w:rsidR="00A55D05">
        <w:t xml:space="preserve"> catchment</w:t>
      </w:r>
      <w:r w:rsidR="003E3C3E">
        <w:t xml:space="preserve"> water yield over a 40 year period. </w:t>
      </w:r>
      <w:r w:rsidR="00A60A43">
        <w:t>It is recommended that the value</w:t>
      </w:r>
      <w:r w:rsidR="007055A8">
        <w:t>s</w:t>
      </w:r>
      <w:r w:rsidR="00A60A43">
        <w:t xml:space="preserve"> of th</w:t>
      </w:r>
      <w:r w:rsidR="007055A8">
        <w:t>ese</w:t>
      </w:r>
      <w:r w:rsidR="00A60A43">
        <w:t xml:space="preserve"> increase</w:t>
      </w:r>
      <w:r w:rsidR="007055A8">
        <w:t>s</w:t>
      </w:r>
      <w:r w:rsidR="00A60A43">
        <w:t xml:space="preserve"> in </w:t>
      </w:r>
      <w:r w:rsidR="00A55D05">
        <w:t xml:space="preserve">catchment </w:t>
      </w:r>
      <w:r w:rsidR="00A60A43">
        <w:t xml:space="preserve">water yield </w:t>
      </w:r>
      <w:r w:rsidR="00590F45">
        <w:t>be</w:t>
      </w:r>
      <w:r w:rsidR="007055A8">
        <w:t xml:space="preserve"> </w:t>
      </w:r>
      <w:r w:rsidR="00A60A43">
        <w:t xml:space="preserve">incorporated into an analysis of </w:t>
      </w:r>
      <w:r w:rsidR="00A60A43" w:rsidRPr="00986786">
        <w:t xml:space="preserve">cultural, economic, social and environmental </w:t>
      </w:r>
      <w:r w:rsidR="00A60A43">
        <w:t xml:space="preserve">costs and benefits </w:t>
      </w:r>
      <w:r w:rsidR="00A60A43" w:rsidRPr="00986786">
        <w:t xml:space="preserve">under </w:t>
      </w:r>
      <w:r w:rsidR="00A60A43">
        <w:t>a</w:t>
      </w:r>
      <w:r w:rsidR="00A60A43" w:rsidRPr="00986786">
        <w:t xml:space="preserve"> range of </w:t>
      </w:r>
      <w:r w:rsidR="00A60A43">
        <w:t xml:space="preserve">future plausible </w:t>
      </w:r>
      <w:r w:rsidR="00A60A43" w:rsidRPr="00986786">
        <w:t>scenarios</w:t>
      </w:r>
      <w:r w:rsidR="00A60A43">
        <w:t>.</w:t>
      </w:r>
      <w:r w:rsidR="00A60A43" w:rsidRPr="00986786">
        <w:t xml:space="preserve"> </w:t>
      </w:r>
      <w:r w:rsidRPr="00986786">
        <w:t>Annual average rates of timber harvesting, in terms of area logged, for the last decade have been similar to the rates of harvesting (in terms of area) that were</w:t>
      </w:r>
      <w:r w:rsidR="00AB0989">
        <w:t xml:space="preserve"> set out in </w:t>
      </w:r>
      <w:r w:rsidR="00AB0989" w:rsidRPr="00D50CA7">
        <w:rPr>
          <w:i/>
        </w:rPr>
        <w:t>Management Standards and Procedures</w:t>
      </w:r>
      <w:r w:rsidR="00AB0989">
        <w:t xml:space="preserve"> </w:t>
      </w:r>
      <w:r w:rsidR="00AB0989">
        <w:fldChar w:fldCharType="begin" w:fldLock="1"/>
      </w:r>
      <w:r w:rsidR="007416C7">
        <w:instrText>ADDIN CSL_CITATION {"citationItems":[{"id":"ITEM-1","itemData":{"author":[{"dropping-particle":"","family":"Department of Environment and Primary Industries","given":"","non-dropping-particle":"","parse-names":false,"suffix":""}],"id":"ITEM-1","issued":{"date-parts":[["2014"]]},"number-of-pages":"198","title":"Management Standards and Procedures for timber harvesting operations in Victoria's State Forests 2014","type":"report"},"uris":["http://www.mendeley.com/documents/?uuid=2c8245fc-a6ef-4ade-8144-25bd269bd368"]}],"mendeley":{"formattedCitation":"(Department of Environment and Primary Industries, 2014a)","plainTextFormattedCitation":"(Department of Environment and Primary Industries, 2014a)","previouslyFormattedCitation":"(Department of Environment and Primary Industries, 2014a)"},"properties":{"noteIndex":0},"schema":"https://github.com/citation-style-language/schema/raw/master/csl-citation.json"}</w:instrText>
      </w:r>
      <w:r w:rsidR="00AB0989">
        <w:fldChar w:fldCharType="separate"/>
      </w:r>
      <w:r w:rsidR="007416C7" w:rsidRPr="007416C7">
        <w:rPr>
          <w:noProof/>
        </w:rPr>
        <w:t>(Department of Environment and Primary Industries, 2014a)</w:t>
      </w:r>
      <w:r w:rsidR="00AB0989">
        <w:fldChar w:fldCharType="end"/>
      </w:r>
      <w:r w:rsidR="00AB0989">
        <w:t xml:space="preserve"> and</w:t>
      </w:r>
      <w:r w:rsidRPr="00986786">
        <w:t xml:space="preserve"> projected </w:t>
      </w:r>
      <w:r w:rsidR="007055A8">
        <w:t xml:space="preserve">in WWS2008 </w:t>
      </w:r>
      <w:r w:rsidRPr="00986786">
        <w:t xml:space="preserve">for the continuation of </w:t>
      </w:r>
      <w:r w:rsidR="007055A8">
        <w:t xml:space="preserve">the </w:t>
      </w:r>
      <w:r w:rsidRPr="00986786">
        <w:t xml:space="preserve">status quo timber harvesting scenario.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sidRPr="00A70DC2">
        <w:rPr>
          <w:noProof/>
        </w:rPr>
        <w:t xml:space="preserve"> </w:t>
      </w:r>
      <w:r w:rsidR="00AB0989">
        <w:rPr>
          <w:noProof/>
        </w:rPr>
        <w:t>(</w:t>
      </w:r>
      <w:r w:rsidR="00A70DC2" w:rsidRPr="00A70DC2">
        <w:rPr>
          <w:noProof/>
        </w:rPr>
        <w:t>2018, 2019</w:t>
      </w:r>
      <w:r w:rsidR="00A70DC2">
        <w:fldChar w:fldCharType="end"/>
      </w:r>
      <w:r w:rsidR="00AB0989">
        <w:t>)</w:t>
      </w:r>
      <w:r w:rsidRPr="00986786">
        <w:t xml:space="preserve"> produced higher projected increases in </w:t>
      </w:r>
      <w:r w:rsidR="00F94370">
        <w:t xml:space="preserve">catchment </w:t>
      </w:r>
      <w:r w:rsidRPr="00986786">
        <w:t>water yield due to cessation of logging for the Thomson catchment than those that were predicted by WWS2008 for the closest comparable scenario. It is difficult to be certain without access to their model</w:t>
      </w:r>
      <w:r w:rsidR="00763E10">
        <w:t>,</w:t>
      </w:r>
      <w:r w:rsidRPr="00986786">
        <w:t xml:space="preserve"> but from the material presented in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sidRPr="00A70DC2">
        <w:rPr>
          <w:noProof/>
        </w:rPr>
        <w:t xml:space="preserve"> </w:t>
      </w:r>
      <w:r w:rsidR="00A70DC2">
        <w:rPr>
          <w:noProof/>
        </w:rPr>
        <w:t>(</w:t>
      </w:r>
      <w:r w:rsidR="00A70DC2" w:rsidRPr="00A70DC2">
        <w:rPr>
          <w:noProof/>
        </w:rPr>
        <w:t>2018, 2019</w:t>
      </w:r>
      <w:r w:rsidR="00A70DC2">
        <w:fldChar w:fldCharType="end"/>
      </w:r>
      <w:r w:rsidR="00A70DC2">
        <w:t>)</w:t>
      </w:r>
      <w:r w:rsidRPr="00986786">
        <w:t xml:space="preserve">, it appears that several simplifying assumptions were made, which were all likely to have over-estimated the impact of timber harvesting on </w:t>
      </w:r>
      <w:r w:rsidR="00F94370">
        <w:t xml:space="preserve">catchment </w:t>
      </w:r>
      <w:r w:rsidRPr="00986786">
        <w:t xml:space="preserve">water yield in the Thomson catchment. </w:t>
      </w:r>
    </w:p>
    <w:p w14:paraId="3563E409" w14:textId="40D1FB48" w:rsidR="00986786" w:rsidRPr="00986786" w:rsidRDefault="00986786">
      <w:pPr>
        <w:numPr>
          <w:ilvl w:val="0"/>
          <w:numId w:val="13"/>
        </w:numPr>
        <w:spacing w:before="240" w:after="60" w:line="240" w:lineRule="auto"/>
        <w:ind w:left="993" w:hanging="142"/>
        <w:rPr>
          <w:i/>
        </w:rPr>
      </w:pPr>
      <w:r w:rsidRPr="00986786">
        <w:rPr>
          <w:i/>
        </w:rPr>
        <w:t>The impact of climate change on water yield can be large. For every 1% decrease in long-term average rainfall, water yield is reduced by 2</w:t>
      </w:r>
      <w:r w:rsidRPr="00986786">
        <w:rPr>
          <w:rFonts w:cs="Arial"/>
          <w:i/>
        </w:rPr>
        <w:t>–</w:t>
      </w:r>
      <w:r w:rsidRPr="00986786">
        <w:rPr>
          <w:i/>
        </w:rPr>
        <w:t>3% in all catchments. [For the last 10 years the reduction in flows has been of the order of 30%</w:t>
      </w:r>
      <w:r w:rsidR="007055A8">
        <w:rPr>
          <w:i/>
        </w:rPr>
        <w:t>.</w:t>
      </w:r>
      <w:r w:rsidRPr="00986786">
        <w:rPr>
          <w:i/>
        </w:rPr>
        <w:t xml:space="preserve">] </w:t>
      </w:r>
    </w:p>
    <w:p w14:paraId="44C3D696" w14:textId="1CA4849A" w:rsidR="00FB663B" w:rsidRPr="00986786" w:rsidRDefault="00986786" w:rsidP="00F1202A">
      <w:pPr>
        <w:spacing w:before="240" w:after="0"/>
        <w:ind w:left="1134"/>
      </w:pPr>
      <w:r w:rsidRPr="00986786">
        <w:t xml:space="preserve">The observation that proportional reductions in mean annual </w:t>
      </w:r>
      <w:r w:rsidR="00F94370">
        <w:t xml:space="preserve">catchment </w:t>
      </w:r>
      <w:r w:rsidRPr="00986786">
        <w:t>water yield are between two and three times the proportional reductions in mean annual precipitation remains reasonably consistent with observed streamflow and rainfall data in Melbourne’s catchments</w:t>
      </w:r>
      <w:r w:rsidR="007055A8">
        <w:t>,</w:t>
      </w:r>
      <w:r w:rsidRPr="00986786">
        <w:t xml:space="preserve"> and results from several modelling studies </w:t>
      </w:r>
      <w:r w:rsidRPr="00986786">
        <w:fldChar w:fldCharType="begin" w:fldLock="1"/>
      </w:r>
      <w:r w:rsidR="0054425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Futures","type":"article-journal","volume":"688"},"uris":["http://www.mendeley.com/documents/?uuid=795c626b-8dac-4fb8-9ceb-eae2400fc9f4"]},{"id":"ITEM-2","itemData":{"DOI":"10.1080/02626667.2014.961923","ISSN":"21503435","abstract":"This paper quantifies the impacts of bushfire and climate variability on streamflow from three southeast Australian catchments where bushfires occurred in February 1983. Three hydrological models (AWRA-L, Xinanjiang and GR4J) were first calibrated against streamflow data from the pre-bushfire period and then used to simulate runoff for the post-bushfire period with the calibrated parameters. The difference in simulated streamflow between pre- and post-bushfire periods provides an estimate of the impact of climate variability on streamflow. The impact of bushfire on streamflow is quantified by removing the climate variability impact from the difference in mean annual observed streamflow between post- and pre-bushfire periods. For the first 15 years after the 1983 bushfires, the results from hydrological models for the three catchments indicate that there is a substantial increase in streamflow; this is attributed to initial decreases in evapotranspiration and soil infiltration rates resulting from the fires, followed by logging activity. After 15 years, streamflow dynamics are more heavily influenced by climate effects, although some impact from fire and logging regeneration may still occur. The results show that hydrological models provide reasonably consistent estimates of bushfire and climate impacts on streamflow for the three catchments. The models can be used to quantify relative contributions of forest disturbance (bushfire, logging and other forest management) and climate variability. The results presented can also help forest managers understand the relationship between bushfire and climate variability impacts on water yield in the context of climate variability.","author":[{"dropping-particle":"","family":"Zhou","given":"Yanchun","non-dropping-particle":"","parse-names":false,"suffix":""},{"dropping-particle":"","family":"Zhang","given":"Yongqiang","non-dropping-particle":"","parse-names":false,"suffix":""},{"dropping-particle":"","family":"Vaze","given":"Jai","non-dropping-particle":"","parse-names":false,"suffix":""},{"dropping-particle":"","family":"Lane","given":"Patrick","non-dropping-particle":"","parse-names":false,"suffix":""},{"dropping-particle":"","family":"Xu","given":"Shiguo","non-dropping-particle":"","parse-names":false,"suffix":""}],"container-title":"Hydrological Sciences Journal","id":"ITEM-2","issue":"7-8","issued":{"date-parts":[["2015"]]},"page":"1340-1360","publisher":"Taylor &amp; Francis","title":"Impact of bushfire and climate variability on streamflow from forested catchments in southeast Australia","type":"article-journal","volume":"60"},"uris":["http://www.mendeley.com/documents/?uuid=407e84ee-673b-48d1-84fd-e64f41530508"]}],"mendeley":{"formattedCitation":"(Zhou &lt;i&gt;et al.&lt;/i&gt;, 2015; Taylor &lt;i&gt;et al.&lt;/i&gt;, 2019)","plainTextFormattedCitation":"(Zhou et al., 2015; Taylor et al., 2019)","previouslyFormattedCitation":"(Zhou &lt;i&gt;et al.&lt;/i&gt;, 2015; Taylor &lt;i&gt;et al.&lt;/i&gt;, 2019)"},"properties":{"noteIndex":0},"schema":"https://github.com/citation-style-language/schema/raw/master/csl-citation.json"}</w:instrText>
      </w:r>
      <w:r w:rsidRPr="00986786">
        <w:fldChar w:fldCharType="separate"/>
      </w:r>
      <w:r w:rsidR="007416C7" w:rsidRPr="007416C7">
        <w:rPr>
          <w:noProof/>
        </w:rPr>
        <w:t xml:space="preserve">(Zhou </w:t>
      </w:r>
      <w:r w:rsidR="007416C7" w:rsidRPr="007416C7">
        <w:rPr>
          <w:i/>
          <w:noProof/>
        </w:rPr>
        <w:t>et al.</w:t>
      </w:r>
      <w:r w:rsidR="007416C7" w:rsidRPr="007416C7">
        <w:rPr>
          <w:noProof/>
        </w:rPr>
        <w:t xml:space="preserve">, 2015; Taylor </w:t>
      </w:r>
      <w:r w:rsidR="007416C7" w:rsidRPr="007416C7">
        <w:rPr>
          <w:i/>
          <w:noProof/>
        </w:rPr>
        <w:t>et al.</w:t>
      </w:r>
      <w:r w:rsidR="007416C7" w:rsidRPr="007416C7">
        <w:rPr>
          <w:noProof/>
        </w:rPr>
        <w:t>, 2019)</w:t>
      </w:r>
      <w:r w:rsidRPr="00986786">
        <w:fldChar w:fldCharType="end"/>
      </w:r>
      <w:r w:rsidRPr="00986786">
        <w:t>. Uncertainties in projected changes in precipitation, temperature and potential evapotranspiration are considerable, particularly for projections that are several decades into the future. In addition, previous modelling has not explicitly considered changes in forest types, which may be induced by climate change or more frequent high severity bushfires, and so may not adequately represent changes in rainfall</w:t>
      </w:r>
      <w:r w:rsidRPr="00F1202A">
        <w:t>-</w:t>
      </w:r>
      <w:r w:rsidR="007B4E5E">
        <w:t xml:space="preserve">runoff </w:t>
      </w:r>
      <w:r w:rsidRPr="00986786">
        <w:t xml:space="preserve">generation response that have been observed across many Victorian catchments. Further modelling would be required to provide updated projections of </w:t>
      </w:r>
      <w:r w:rsidR="00F94370">
        <w:t xml:space="preserve">catchment </w:t>
      </w:r>
      <w:r w:rsidRPr="00986786">
        <w:t>water yield under climate change for Melbourne’s forested catchments</w:t>
      </w:r>
      <w:r w:rsidR="00A30D3E">
        <w:t xml:space="preserve">; such modelling should </w:t>
      </w:r>
      <w:r w:rsidRPr="00986786">
        <w:t>consider the overlapping effects of climate change, timber harvesting and bushfires.</w:t>
      </w:r>
      <w:r w:rsidR="00FB663B">
        <w:t xml:space="preserve"> </w:t>
      </w:r>
    </w:p>
    <w:p w14:paraId="4E4ED438" w14:textId="5F5A832F" w:rsidR="00986786" w:rsidRPr="00986786" w:rsidRDefault="00986786" w:rsidP="00B44091">
      <w:pPr>
        <w:keepNext/>
        <w:numPr>
          <w:ilvl w:val="0"/>
          <w:numId w:val="13"/>
        </w:numPr>
        <w:spacing w:before="240" w:after="60" w:line="240" w:lineRule="auto"/>
        <w:ind w:left="1134" w:hanging="142"/>
        <w:rPr>
          <w:i/>
        </w:rPr>
      </w:pPr>
      <w:r w:rsidRPr="00986786">
        <w:rPr>
          <w:i/>
        </w:rPr>
        <w:lastRenderedPageBreak/>
        <w:t xml:space="preserve">The potential impact of bushfires is also major. A repeat of the 1939 bushfires would see a decrease of 15% </w:t>
      </w:r>
      <w:r w:rsidR="00B44091">
        <w:rPr>
          <w:i/>
        </w:rPr>
        <w:t>of the inflow</w:t>
      </w:r>
      <w:r w:rsidRPr="00986786">
        <w:rPr>
          <w:i/>
        </w:rPr>
        <w:t xml:space="preserve"> to the Thomson Dam over the following 50 years.</w:t>
      </w:r>
    </w:p>
    <w:p w14:paraId="41304375" w14:textId="4281CBBD" w:rsidR="00986786" w:rsidRPr="00986786" w:rsidRDefault="00986786" w:rsidP="00986786">
      <w:pPr>
        <w:spacing w:before="240" w:after="0"/>
        <w:ind w:left="993"/>
      </w:pPr>
      <w:r w:rsidRPr="00986786">
        <w:t>The conclusion remains valid that a future high severity bushfire, affect</w:t>
      </w:r>
      <w:r w:rsidR="00A30D3E">
        <w:t>ing</w:t>
      </w:r>
      <w:r w:rsidRPr="00986786">
        <w:t xml:space="preserve"> a significant area of one or more catchments, would have a significant future impact on </w:t>
      </w:r>
      <w:r w:rsidR="00F94370">
        <w:t xml:space="preserve">catchment </w:t>
      </w:r>
      <w:r w:rsidRPr="00986786">
        <w:t>water yield. Further modelling would be required to provide updated projections of the impact</w:t>
      </w:r>
      <w:r w:rsidR="00A30D3E">
        <w:t>s</w:t>
      </w:r>
      <w:r w:rsidRPr="00986786">
        <w:t xml:space="preserve"> of future bushfires. Such modelling should consider the overlapping effects of bushfires, climate change, climate variability and timber harvesting.</w:t>
      </w:r>
    </w:p>
    <w:p w14:paraId="7398B48B" w14:textId="38284054" w:rsidR="00986786" w:rsidRPr="00846769" w:rsidRDefault="00986786" w:rsidP="00846769">
      <w:pPr>
        <w:keepNext/>
        <w:spacing w:before="120" w:after="40" w:line="240" w:lineRule="auto"/>
        <w:rPr>
          <w:b/>
          <w:color w:val="2F5496"/>
          <w:sz w:val="22"/>
        </w:rPr>
      </w:pPr>
      <w:r w:rsidRPr="00846769">
        <w:rPr>
          <w:b/>
          <w:color w:val="2F5496"/>
          <w:sz w:val="22"/>
        </w:rPr>
        <w:t>Our recommendations</w:t>
      </w:r>
    </w:p>
    <w:p w14:paraId="5FF0DA24" w14:textId="1544FA2D" w:rsidR="004E2297" w:rsidRDefault="004A457B" w:rsidP="004E2297">
      <w:pPr>
        <w:pStyle w:val="ListParagraph"/>
        <w:numPr>
          <w:ilvl w:val="0"/>
          <w:numId w:val="31"/>
        </w:numPr>
        <w:spacing w:before="240" w:after="0"/>
      </w:pPr>
      <w:r>
        <w:t>Any f</w:t>
      </w:r>
      <w:r w:rsidR="00986786" w:rsidRPr="00986786">
        <w:t>uture studies should quantify how climate variability and climate change, timber harvesting and bushfires combine to influence the</w:t>
      </w:r>
      <w:r w:rsidR="00544510">
        <w:t xml:space="preserve"> runoff from catchments and hence the</w:t>
      </w:r>
      <w:r w:rsidR="00986786" w:rsidRPr="00986786">
        <w:t xml:space="preserve"> volumes of water that </w:t>
      </w:r>
      <w:r w:rsidR="00764CC1">
        <w:t>need to be</w:t>
      </w:r>
      <w:r w:rsidR="00764CC1" w:rsidRPr="00986786">
        <w:t xml:space="preserve"> </w:t>
      </w:r>
      <w:r w:rsidR="00986786" w:rsidRPr="00986786">
        <w:t xml:space="preserve">supplied from </w:t>
      </w:r>
      <w:r w:rsidR="00544510">
        <w:t xml:space="preserve">other </w:t>
      </w:r>
      <w:r w:rsidR="00E90B41">
        <w:t xml:space="preserve">sources. </w:t>
      </w:r>
    </w:p>
    <w:p w14:paraId="44533EEB" w14:textId="123E5450" w:rsidR="00986786" w:rsidRPr="00986786" w:rsidRDefault="00A15474" w:rsidP="0071163B">
      <w:pPr>
        <w:pStyle w:val="ListParagraph"/>
        <w:numPr>
          <w:ilvl w:val="0"/>
          <w:numId w:val="31"/>
        </w:numPr>
        <w:spacing w:before="240" w:after="0"/>
      </w:pPr>
      <w:r>
        <w:t xml:space="preserve">It is therefore recommended that an analysis be conducted of </w:t>
      </w:r>
      <w:r w:rsidR="00986786" w:rsidRPr="00986786">
        <w:t xml:space="preserve">the cultural, economic, social and environmental </w:t>
      </w:r>
      <w:r>
        <w:t>costs and benefits</w:t>
      </w:r>
      <w:r w:rsidR="00DA2B99">
        <w:t xml:space="preserve"> </w:t>
      </w:r>
      <w:r w:rsidR="00986786" w:rsidRPr="00986786">
        <w:t xml:space="preserve">under the range of </w:t>
      </w:r>
      <w:r w:rsidR="00F249E3">
        <w:t xml:space="preserve">future plausible </w:t>
      </w:r>
      <w:r w:rsidR="00986786" w:rsidRPr="00986786">
        <w:t>scenarios</w:t>
      </w:r>
      <w:r>
        <w:t xml:space="preserve">, </w:t>
      </w:r>
      <w:r w:rsidR="005810F1">
        <w:t>including revised modelling</w:t>
      </w:r>
      <w:r w:rsidR="005810F1" w:rsidRPr="00986786">
        <w:t xml:space="preserve"> </w:t>
      </w:r>
      <w:r w:rsidR="00986786" w:rsidRPr="00986786">
        <w:t xml:space="preserve">of </w:t>
      </w:r>
      <w:r w:rsidR="00764CC1">
        <w:t>expected</w:t>
      </w:r>
      <w:r w:rsidR="00764CC1" w:rsidRPr="00986786">
        <w:t xml:space="preserve"> </w:t>
      </w:r>
      <w:r w:rsidR="00986786" w:rsidRPr="00986786">
        <w:t xml:space="preserve">change in </w:t>
      </w:r>
      <w:r w:rsidR="00544510">
        <w:t xml:space="preserve">catchment </w:t>
      </w:r>
      <w:r w:rsidR="00986786" w:rsidRPr="00986786">
        <w:t>water yield.</w:t>
      </w:r>
    </w:p>
    <w:p w14:paraId="73A6DB4C" w14:textId="708F8802" w:rsidR="004E2297" w:rsidRDefault="00986786" w:rsidP="00986786">
      <w:pPr>
        <w:spacing w:before="240" w:after="0"/>
      </w:pPr>
      <w:r w:rsidRPr="00986786">
        <w:t xml:space="preserve">Whilst investigations since 2008 about the feedbacks between bushfires, climate change and timber harvesting </w:t>
      </w:r>
      <w:r w:rsidR="008352D9">
        <w:t>have produced variable results</w:t>
      </w:r>
      <w:r w:rsidRPr="00986786">
        <w:t xml:space="preserve">, </w:t>
      </w:r>
      <w:r w:rsidR="009661FE">
        <w:t xml:space="preserve">these variations </w:t>
      </w:r>
      <w:r w:rsidR="00431440">
        <w:t xml:space="preserve">could be accommodated in </w:t>
      </w:r>
      <w:r w:rsidRPr="00986786">
        <w:t xml:space="preserve">an appropriately designed </w:t>
      </w:r>
      <w:r w:rsidR="004E3101">
        <w:t>Monte Carlo</w:t>
      </w:r>
      <w:r w:rsidRPr="00986786">
        <w:t xml:space="preserve"> simulation framework</w:t>
      </w:r>
      <w:r w:rsidR="00D1067E">
        <w:t>, as originally recommended by Mein (200</w:t>
      </w:r>
      <w:r w:rsidR="007B5D1B">
        <w:t>8</w:t>
      </w:r>
      <w:r w:rsidR="00D1067E">
        <w:t>)</w:t>
      </w:r>
      <w:r w:rsidRPr="00986786">
        <w:t xml:space="preserve">. The effects of potential changes in species distribution under climate change have not been tested in previous modelling of </w:t>
      </w:r>
      <w:r w:rsidR="00F94370">
        <w:t>catchment water yield</w:t>
      </w:r>
      <w:r w:rsidRPr="00986786">
        <w:t xml:space="preserve"> under climate change in Melbourne’s catchments. More frequent high severity fires due to </w:t>
      </w:r>
      <w:r w:rsidR="00DD6976">
        <w:t xml:space="preserve">changes in </w:t>
      </w:r>
      <w:r w:rsidR="00386FDD">
        <w:t xml:space="preserve">both </w:t>
      </w:r>
      <w:r w:rsidRPr="00986786">
        <w:t xml:space="preserve">climate </w:t>
      </w:r>
      <w:r w:rsidR="00DD6976">
        <w:t>and functional landscape structure</w:t>
      </w:r>
      <w:r w:rsidR="00386FDD">
        <w:t xml:space="preserve"> </w:t>
      </w:r>
      <w:r w:rsidR="004F0E3F">
        <w:fldChar w:fldCharType="begin" w:fldLock="1"/>
      </w:r>
      <w:r w:rsidR="004F0E3F">
        <w:instrText>ADDIN CSL_CITATION {"citationItems":[{"id":"ITEM-1","itemData":{"DOI":"10.1073/pnas.1110245108","ISSN":"00278424","abstract":"We describe the \"landscape trap\" concept, whereby entire landscapes are shifted into, and then maintained (trapped) in, a highly compromised structural and functional state as the result of multiple temporal and spatial feedbacks between human and natural disturbance regimes. The landscape trap concept builds on ideas like stable alternative states and other relevant concepts, but it substantively expands the conceptual thinking in a number of unique ways. In this paper, we (i) review the literature to develop the concept of landscape traps, including their general features; (ii) provide a case study as an example of a landscape trap from the mountain ash (Eucalyptus regnans) forests of southeastern Australia; (iii) suggest how landscape traps can be detected before they are irrevocably established; and (iv) present evidence of the generality of landscape traps in different ecosystems worldwide.","author":[{"dropping-particle":"","family":"Lindenmayer","given":"David B.","non-dropping-particle":"","parse-names":false,"suffix":""},{"dropping-particle":"","family":"Hobbs","given":"Richard J.","non-dropping-particle":"","parse-names":false,"suffix":""},{"dropping-particle":"","family":"Likens","given":"Gene E.","non-dropping-particle":"","parse-names":false,"suffix":""},{"dropping-particle":"","family":"Krebs","given":"Charles J.","non-dropping-particle":"","parse-names":false,"suffix":""},{"dropping-particle":"","family":"Banks","given":"Samuel C.","non-dropping-particle":"","parse-names":false,"suffix":""}],"container-title":"Proceedings of the National Academy of Sciences of the United States of America","id":"ITEM-1","issue":"38","issued":{"date-parts":[["2011"]]},"page":"15887-15891","title":"Newly discovered landscape traps produce regime shifts in wet forests","type":"article-journal","volume":"108"},"uris":["http://www.mendeley.com/documents/?uuid=2a5a9e0d-300e-487c-a55f-9193801a58f1"]}],"mendeley":{"formattedCitation":"(Lindenmayer &lt;i&gt;et al.&lt;/i&gt;, 2011)","plainTextFormattedCitation":"(Lindenmayer et al., 2011)","previouslyFormattedCitation":"(Lindenmayer &lt;i&gt;et al.&lt;/i&gt;, 2011)"},"properties":{"noteIndex":0},"schema":"https://github.com/citation-style-language/schema/raw/master/csl-citation.json"}</w:instrText>
      </w:r>
      <w:r w:rsidR="004F0E3F">
        <w:fldChar w:fldCharType="separate"/>
      </w:r>
      <w:r w:rsidR="004F0E3F" w:rsidRPr="004F0E3F">
        <w:rPr>
          <w:noProof/>
        </w:rPr>
        <w:t xml:space="preserve">(Lindenmayer </w:t>
      </w:r>
      <w:r w:rsidR="004F0E3F" w:rsidRPr="004F0E3F">
        <w:rPr>
          <w:i/>
          <w:noProof/>
        </w:rPr>
        <w:t>et al.</w:t>
      </w:r>
      <w:r w:rsidR="004F0E3F" w:rsidRPr="004F0E3F">
        <w:rPr>
          <w:noProof/>
        </w:rPr>
        <w:t>, 2011)</w:t>
      </w:r>
      <w:r w:rsidR="004F0E3F">
        <w:fldChar w:fldCharType="end"/>
      </w:r>
      <w:r w:rsidR="00386FDD">
        <w:t xml:space="preserve"> </w:t>
      </w:r>
      <w:r w:rsidRPr="00986786">
        <w:t xml:space="preserve">may ultimately result in loss of ash eucalypt forest to acacia or other species, which may reduce </w:t>
      </w:r>
      <w:r w:rsidR="007965F4">
        <w:t xml:space="preserve">actual </w:t>
      </w:r>
      <w:r w:rsidR="007965F4" w:rsidRPr="007965F4">
        <w:t xml:space="preserve">evapotranspiration </w:t>
      </w:r>
      <w:r w:rsidRPr="00986786">
        <w:t xml:space="preserve">and increase catchment water yields in future. </w:t>
      </w:r>
    </w:p>
    <w:p w14:paraId="48A1921D" w14:textId="216083A7" w:rsidR="00986786" w:rsidRPr="00986786" w:rsidRDefault="00986786" w:rsidP="0071163B">
      <w:pPr>
        <w:pStyle w:val="ListParagraph"/>
        <w:numPr>
          <w:ilvl w:val="0"/>
          <w:numId w:val="31"/>
        </w:numPr>
        <w:spacing w:before="240" w:after="0"/>
      </w:pPr>
      <w:r w:rsidRPr="00986786">
        <w:t>Further modelling would be required</w:t>
      </w:r>
      <w:r w:rsidR="000A05F4">
        <w:t>,</w:t>
      </w:r>
      <w:r w:rsidRPr="00986786">
        <w:t xml:space="preserve"> to provide more reliable projections of changes in </w:t>
      </w:r>
      <w:r w:rsidR="00F94370">
        <w:t>catchment water yield</w:t>
      </w:r>
      <w:r w:rsidRPr="00986786">
        <w:t xml:space="preserve"> under climate change </w:t>
      </w:r>
      <w:r w:rsidR="000A05F4">
        <w:t>to</w:t>
      </w:r>
      <w:r w:rsidR="000A05F4" w:rsidRPr="00986786">
        <w:t xml:space="preserve"> </w:t>
      </w:r>
      <w:r w:rsidRPr="00986786">
        <w:t xml:space="preserve">address these uncertainties. The </w:t>
      </w:r>
      <w:r w:rsidR="004E3101">
        <w:t>Monte Carlo</w:t>
      </w:r>
      <w:r w:rsidRPr="00986786">
        <w:t xml:space="preserve"> framework should therefore be designed to allow for the probability that climate change and/or recurrent high severity fires may result in transition between forest types</w:t>
      </w:r>
      <w:r w:rsidR="000A05F4">
        <w:t>.</w:t>
      </w:r>
      <w:r w:rsidRPr="00986786">
        <w:t xml:space="preserve"> </w:t>
      </w:r>
      <w:r w:rsidR="000A05F4">
        <w:t>C</w:t>
      </w:r>
      <w:r w:rsidR="00710CB7">
        <w:t>ombination</w:t>
      </w:r>
      <w:r w:rsidR="000A05F4">
        <w:t>s</w:t>
      </w:r>
      <w:r w:rsidR="00710CB7">
        <w:t xml:space="preserve"> of these factors </w:t>
      </w:r>
      <w:r w:rsidR="000A05F4">
        <w:t xml:space="preserve">should </w:t>
      </w:r>
      <w:r w:rsidR="00710CB7">
        <w:t>be explicitly considered</w:t>
      </w:r>
      <w:r w:rsidR="000A05F4">
        <w:t>,</w:t>
      </w:r>
      <w:r w:rsidR="00710CB7">
        <w:t xml:space="preserve"> to provide </w:t>
      </w:r>
      <w:r w:rsidR="001B4064">
        <w:t xml:space="preserve">quantitative estimates of uncertainty in future </w:t>
      </w:r>
      <w:r w:rsidR="00F94370">
        <w:t>catchment water yield</w:t>
      </w:r>
      <w:r w:rsidR="004D7779">
        <w:t>s</w:t>
      </w:r>
      <w:r w:rsidRPr="00986786">
        <w:t>.</w:t>
      </w:r>
    </w:p>
    <w:p w14:paraId="796F4D14" w14:textId="3B54E9D0" w:rsidR="00986786" w:rsidRPr="00986786" w:rsidRDefault="00986786" w:rsidP="00986786">
      <w:pPr>
        <w:spacing w:before="240" w:after="0"/>
      </w:pPr>
      <w:r w:rsidRPr="00986786">
        <w:t xml:space="preserve">Two recommendations from </w:t>
      </w:r>
      <w:r w:rsidRPr="00986786">
        <w:fldChar w:fldCharType="begin" w:fldLock="1"/>
      </w:r>
      <w:r w:rsidR="00540694">
        <w:instrText>ADDIN CSL_CITATION {"citationItems":[{"id":"ITEM-1","itemData":{"author":[{"dropping-particle":"","family":"Feikema","given":"PM","non-dropping-particle":"","parse-names":false,"suffix":""},{"dropping-particle":"","family":"Lane","given":"PNJ","non-dropping-particle":"","parse-names":false,"suffix":""},{"dropping-particle":"","family":"Sherwin","given":"CB","non-dropping-particle":"","parse-names":false,"suffix":""}],"id":"ITEM-1","issued":{"date-parts":[["2008"]]},"title":"Hydrological studies into the impact of timber harvesting on water yield in state forests supplying water to Melbourne – Part 2 of Hydrological studies (Climate change and Bushfire)","type":"report"},"uris":["http://www.mendeley.com/documents/?uuid=c6d63285-7e7e-4e77-ae35-e785fc2967c2"]}],"mendeley":{"formattedCitation":"(Feikema &lt;i&gt;et al.&lt;/i&gt;, 2008)","manualFormatting":"Feikema et al. (2008)","plainTextFormattedCitation":"(Feikema et al., 2008)","previouslyFormattedCitation":"(Feikema &lt;i&gt;et al.&lt;/i&gt;, 2008)"},"properties":{"noteIndex":0},"schema":"https://github.com/citation-style-language/schema/raw/master/csl-citation.json"}</w:instrText>
      </w:r>
      <w:r w:rsidRPr="00986786">
        <w:fldChar w:fldCharType="separate"/>
      </w:r>
      <w:r w:rsidRPr="00986786">
        <w:rPr>
          <w:noProof/>
        </w:rPr>
        <w:t xml:space="preserve">Feikema </w:t>
      </w:r>
      <w:r w:rsidR="001C1F9A" w:rsidRPr="001C1F9A">
        <w:rPr>
          <w:i/>
          <w:iCs/>
          <w:noProof/>
        </w:rPr>
        <w:t>et al.</w:t>
      </w:r>
      <w:r w:rsidRPr="00986786">
        <w:rPr>
          <w:iCs/>
          <w:noProof/>
        </w:rPr>
        <w:t xml:space="preserve"> </w:t>
      </w:r>
      <w:r w:rsidRPr="00986786">
        <w:rPr>
          <w:noProof/>
        </w:rPr>
        <w:t>(2008)</w:t>
      </w:r>
      <w:r w:rsidRPr="00986786">
        <w:fldChar w:fldCharType="end"/>
      </w:r>
      <w:r w:rsidRPr="00986786">
        <w:t xml:space="preserve">, a component of WWS2008, identified that further ground-truthing of spatial and temporal variations in leaf area index would help to reduce uncertainties in modelling. Research completed since WWS2008 indicates that future modelling of </w:t>
      </w:r>
      <w:r w:rsidR="00F94370">
        <w:t>catchment water yield</w:t>
      </w:r>
      <w:r w:rsidRPr="00986786">
        <w:t xml:space="preserve"> should transition to use </w:t>
      </w:r>
      <w:r w:rsidR="00805139">
        <w:t>sapwood</w:t>
      </w:r>
      <w:r w:rsidRPr="00986786">
        <w:t xml:space="preserve"> area index instead of </w:t>
      </w:r>
      <w:r w:rsidR="00805139">
        <w:t>leaf area index</w:t>
      </w:r>
      <w:r w:rsidRPr="00986786">
        <w:t>. Further analysis of water yield at catchment scale, supported by plot</w:t>
      </w:r>
      <w:r w:rsidR="000A05F4">
        <w:t>-</w:t>
      </w:r>
      <w:r w:rsidRPr="00986786">
        <w:t>scale measurements of actual evapotranspiration, suggest catchment</w:t>
      </w:r>
      <w:r w:rsidR="000A05F4">
        <w:t>-</w:t>
      </w:r>
      <w:r w:rsidRPr="00986786">
        <w:t xml:space="preserve">level </w:t>
      </w:r>
      <w:r w:rsidR="00286F03">
        <w:t>evapotranspiration</w:t>
      </w:r>
      <w:r w:rsidR="00286F03" w:rsidRPr="00986786">
        <w:t xml:space="preserve"> </w:t>
      </w:r>
      <w:r w:rsidRPr="00986786">
        <w:t>for ash forests peak</w:t>
      </w:r>
      <w:r w:rsidR="000A05F4">
        <w:t>s</w:t>
      </w:r>
      <w:r w:rsidRPr="00986786">
        <w:t xml:space="preserve"> 6 to 11 years earlier than indicated</w:t>
      </w:r>
      <w:r w:rsidR="004D7779">
        <w:t xml:space="preserve"> previously (</w:t>
      </w:r>
      <w:r w:rsidRPr="00986786">
        <w:t xml:space="preserve">by the </w:t>
      </w:r>
      <w:r w:rsidR="00E54901">
        <w:t>eponymously termed</w:t>
      </w:r>
      <w:r w:rsidR="004D7779">
        <w:t xml:space="preserve"> “</w:t>
      </w:r>
      <w:r w:rsidRPr="00986786">
        <w:t>Kuczera curve</w:t>
      </w:r>
      <w:r w:rsidR="004D7779">
        <w:t>”)</w:t>
      </w:r>
      <w:r w:rsidRPr="00986786">
        <w:t xml:space="preserve">, with a more rapid decline following the peak. Models that include the initial increase in runoff in the first few years after timber harvesting would be consistent with the experimental data, in contrast to models </w:t>
      </w:r>
      <w:r w:rsidR="00E5571D">
        <w:t xml:space="preserve">(such </w:t>
      </w:r>
      <w:r w:rsidR="00E5571D">
        <w:lastRenderedPageBreak/>
        <w:t xml:space="preserve">as the Kuczera curve) </w:t>
      </w:r>
      <w:r w:rsidRPr="00986786">
        <w:t>that do not include this initial increase in runoff. Whilst experimental data ha</w:t>
      </w:r>
      <w:r w:rsidR="00DC36D7">
        <w:t>ve</w:t>
      </w:r>
      <w:r w:rsidRPr="00986786">
        <w:t xml:space="preserve"> identified streamflow reductions </w:t>
      </w:r>
      <w:r w:rsidR="005C0989">
        <w:t>as</w:t>
      </w:r>
      <w:r w:rsidR="005C0989" w:rsidRPr="00986786">
        <w:t xml:space="preserve"> </w:t>
      </w:r>
      <w:r w:rsidRPr="00986786">
        <w:t>forest</w:t>
      </w:r>
      <w:r w:rsidR="005C0989">
        <w:t>s</w:t>
      </w:r>
      <w:r w:rsidRPr="00986786">
        <w:t xml:space="preserve"> age in mixed</w:t>
      </w:r>
      <w:r w:rsidR="005A53E6">
        <w:t>-</w:t>
      </w:r>
      <w:r w:rsidRPr="00986786">
        <w:t>species eucalypt forest</w:t>
      </w:r>
      <w:r w:rsidR="00805139">
        <w:t xml:space="preserve">, </w:t>
      </w:r>
      <w:r w:rsidRPr="00986786">
        <w:t xml:space="preserve">changes in </w:t>
      </w:r>
      <w:r w:rsidR="007965F4">
        <w:t xml:space="preserve">actual </w:t>
      </w:r>
      <w:r w:rsidR="00286F03" w:rsidRPr="00286F03">
        <w:t xml:space="preserve">evapotranspiration </w:t>
      </w:r>
      <w:r w:rsidRPr="00986786">
        <w:t xml:space="preserve">have been found to have considerable spatial variation, driven by forest structure. Impacts on water yield in drier </w:t>
      </w:r>
      <w:r w:rsidR="00CF0437">
        <w:t>mixed</w:t>
      </w:r>
      <w:r w:rsidR="005A53E6">
        <w:t>-</w:t>
      </w:r>
      <w:r w:rsidR="00846769">
        <w:t xml:space="preserve">species </w:t>
      </w:r>
      <w:r w:rsidR="00CF0437">
        <w:t>eucalypt</w:t>
      </w:r>
      <w:r w:rsidR="00CF0437" w:rsidRPr="00986786">
        <w:t xml:space="preserve"> </w:t>
      </w:r>
      <w:r w:rsidR="00590F45">
        <w:t xml:space="preserve">forest </w:t>
      </w:r>
      <w:r w:rsidRPr="00986786">
        <w:t>catchments have been found to be considerably more muted and shorter-lived than those in wetter catchments that are dominated by ash</w:t>
      </w:r>
      <w:r w:rsidR="005A53E6">
        <w:t>-</w:t>
      </w:r>
      <w:r w:rsidRPr="00986786">
        <w:t>type forests, and catchment models should take these differences into account.</w:t>
      </w:r>
    </w:p>
    <w:p w14:paraId="3DED03B5" w14:textId="345D380B" w:rsidR="00986786" w:rsidRPr="00986786" w:rsidRDefault="00986786" w:rsidP="0071163B">
      <w:pPr>
        <w:pStyle w:val="ListParagraph"/>
        <w:numPr>
          <w:ilvl w:val="0"/>
          <w:numId w:val="31"/>
        </w:numPr>
        <w:spacing w:before="240" w:after="0"/>
      </w:pPr>
      <w:r w:rsidRPr="00986786">
        <w:t xml:space="preserve">Future modelling should rely upon the latest relevant research on spatial and temporal variations in </w:t>
      </w:r>
      <w:r w:rsidR="007965F4">
        <w:t xml:space="preserve">actual </w:t>
      </w:r>
      <w:r w:rsidR="0083493B" w:rsidRPr="0083493B">
        <w:t xml:space="preserve">evapotranspiration </w:t>
      </w:r>
      <w:r w:rsidRPr="00986786">
        <w:t xml:space="preserve">with forest age and forest type. Attention should be paid to recent analyses demonstrating a potential change in the shape of the Kuczera curve for </w:t>
      </w:r>
      <w:r w:rsidR="00B924F8">
        <w:t>different combinations of forest age, mean a</w:t>
      </w:r>
      <w:r w:rsidR="00753E5E">
        <w:t>nnual rainfall, and forest type</w:t>
      </w:r>
      <w:r w:rsidRPr="00986786">
        <w:t xml:space="preserve">. It is recommended that future modelling includes re-calibration to the longer streamflow data sets that are now likely to be available, particularly to confirm that the models can adequately capture changes in the </w:t>
      </w:r>
      <w:r w:rsidRPr="0071163B">
        <w:t>rainfall</w:t>
      </w:r>
      <w:r w:rsidR="0071163B">
        <w:t>-</w:t>
      </w:r>
      <w:r w:rsidRPr="0071163B">
        <w:t>runoff</w:t>
      </w:r>
      <w:r w:rsidR="008F72DF">
        <w:t xml:space="preserve"> </w:t>
      </w:r>
      <w:r w:rsidRPr="00986786">
        <w:t>generation response under long-term climatic variations and projected climate change.</w:t>
      </w:r>
    </w:p>
    <w:p w14:paraId="48B411F1" w14:textId="79AC1D01" w:rsidR="00986786" w:rsidRPr="00986786" w:rsidRDefault="00986786" w:rsidP="00986786">
      <w:pPr>
        <w:spacing w:before="240" w:after="0"/>
      </w:pPr>
      <w:r w:rsidRPr="00986786">
        <w:t>Melbourne’s catchments experience a high degree of year to year variability and are influenced by numerous ocean</w:t>
      </w:r>
      <w:r w:rsidRPr="00986786">
        <w:rPr>
          <w:rFonts w:cs="Arial"/>
        </w:rPr>
        <w:t>–</w:t>
      </w:r>
      <w:r w:rsidRPr="00986786">
        <w:t xml:space="preserve">atmosphere mechanisms. In a multidecadal context, there is a high degree of uncertainty about global </w:t>
      </w:r>
      <w:r w:rsidR="00643CCC">
        <w:t xml:space="preserve">temperature </w:t>
      </w:r>
      <w:r w:rsidRPr="00986786">
        <w:t>mitigation and therefore future climate change. There also remains much uncertainty about how vegetation and catchments respond to higher concentrations of atmospheric CO</w:t>
      </w:r>
      <w:r w:rsidRPr="00986786">
        <w:rPr>
          <w:vertAlign w:val="subscript"/>
        </w:rPr>
        <w:t>2</w:t>
      </w:r>
      <w:r w:rsidRPr="00986786">
        <w:t xml:space="preserve">, changing rainfall, increasing temperatures, changing </w:t>
      </w:r>
      <w:r w:rsidR="007965F4">
        <w:t xml:space="preserve">potential </w:t>
      </w:r>
      <w:r w:rsidR="00643CCC">
        <w:t>evapotranspiration</w:t>
      </w:r>
      <w:r w:rsidRPr="00986786">
        <w:t xml:space="preserve">, and changes to the spatio-temporal patterns of meteorological variables. Given these large </w:t>
      </w:r>
      <w:r w:rsidR="00060771">
        <w:t xml:space="preserve">knowledge-based </w:t>
      </w:r>
      <w:r w:rsidRPr="00986786">
        <w:t xml:space="preserve">uncertainties, it is not possible on the basis of existing research to tightly constrain future yield projections. Although there remains a large degree of future uncertainty, it is generally accepted that further declines in water yield to Melbourne’s catchments </w:t>
      </w:r>
      <w:r w:rsidR="003F42C7" w:rsidRPr="003F42C7">
        <w:t xml:space="preserve">due to climate change </w:t>
      </w:r>
      <w:r w:rsidRPr="00986786">
        <w:t>are likely.</w:t>
      </w:r>
    </w:p>
    <w:p w14:paraId="7912EC26" w14:textId="2DCD8353" w:rsidR="006C5422" w:rsidRDefault="00166BA6" w:rsidP="007B791C">
      <w:pPr>
        <w:pStyle w:val="Para0"/>
      </w:pPr>
      <w:r>
        <w:t>The recommendations are focus</w:t>
      </w:r>
      <w:r w:rsidR="002143C4">
        <w:t>s</w:t>
      </w:r>
      <w:r>
        <w:t xml:space="preserve">ed purely on the terms of reference for this review and therefore do not consider </w:t>
      </w:r>
      <w:r w:rsidR="008F72DF">
        <w:t xml:space="preserve">any </w:t>
      </w:r>
      <w:r w:rsidR="00DC36D7">
        <w:t xml:space="preserve">other </w:t>
      </w:r>
      <w:r>
        <w:t xml:space="preserve">further work </w:t>
      </w:r>
      <w:r w:rsidR="008F72DF">
        <w:t>that may be</w:t>
      </w:r>
      <w:r>
        <w:t xml:space="preserve"> needed</w:t>
      </w:r>
      <w:r w:rsidR="008F72DF">
        <w:t xml:space="preserve">. Such consideration could </w:t>
      </w:r>
      <w:r>
        <w:t>include the cost of undertaking any further analysis relative to the added value that may be provided.</w:t>
      </w:r>
    </w:p>
    <w:bookmarkEnd w:id="1"/>
    <w:p w14:paraId="43E026A5" w14:textId="77777777" w:rsidR="00ED2728" w:rsidRPr="008F649D" w:rsidRDefault="00ED2728" w:rsidP="00D33EC4">
      <w:pPr>
        <w:pStyle w:val="Head1manual"/>
        <w:spacing w:before="0" w:after="120"/>
      </w:pPr>
      <w:r w:rsidRPr="008F649D">
        <w:lastRenderedPageBreak/>
        <w:t>Contents</w:t>
      </w:r>
    </w:p>
    <w:p w14:paraId="77BD5215" w14:textId="77777777" w:rsidR="000B04A5" w:rsidRDefault="00ED2728" w:rsidP="00F806F8">
      <w:pPr>
        <w:pStyle w:val="TOC1"/>
        <w:spacing w:before="0"/>
        <w:rPr>
          <w:rFonts w:asciiTheme="minorHAnsi" w:eastAsiaTheme="minorEastAsia" w:hAnsiTheme="minorHAnsi" w:cstheme="minorBidi"/>
          <w:b w:val="0"/>
          <w:color w:val="auto"/>
          <w:sz w:val="22"/>
          <w:szCs w:val="22"/>
          <w:lang w:val="en-AU" w:eastAsia="en-AU"/>
        </w:rPr>
      </w:pPr>
      <w:r w:rsidRPr="00986786">
        <w:rPr>
          <w:sz w:val="22"/>
          <w:szCs w:val="22"/>
        </w:rPr>
        <w:fldChar w:fldCharType="begin"/>
      </w:r>
      <w:r w:rsidRPr="00986786">
        <w:rPr>
          <w:sz w:val="22"/>
          <w:szCs w:val="22"/>
        </w:rPr>
        <w:instrText xml:space="preserve"> TOC \o "1-8" </w:instrText>
      </w:r>
      <w:r w:rsidRPr="00986786">
        <w:rPr>
          <w:sz w:val="22"/>
          <w:szCs w:val="22"/>
        </w:rPr>
        <w:fldChar w:fldCharType="separate"/>
      </w:r>
      <w:r w:rsidR="000B04A5">
        <w:t>1.</w:t>
      </w:r>
      <w:r w:rsidR="000B04A5">
        <w:rPr>
          <w:rFonts w:asciiTheme="minorHAnsi" w:eastAsiaTheme="minorEastAsia" w:hAnsiTheme="minorHAnsi" w:cstheme="minorBidi"/>
          <w:b w:val="0"/>
          <w:color w:val="auto"/>
          <w:sz w:val="22"/>
          <w:szCs w:val="22"/>
          <w:lang w:val="en-AU" w:eastAsia="en-AU"/>
        </w:rPr>
        <w:tab/>
      </w:r>
      <w:r w:rsidR="000B04A5">
        <w:t>Introduction</w:t>
      </w:r>
      <w:r w:rsidR="000B04A5">
        <w:tab/>
      </w:r>
      <w:r w:rsidR="000B04A5">
        <w:fldChar w:fldCharType="begin"/>
      </w:r>
      <w:r w:rsidR="000B04A5">
        <w:instrText xml:space="preserve"> PAGEREF _Toc36033073 \h </w:instrText>
      </w:r>
      <w:r w:rsidR="000B04A5">
        <w:fldChar w:fldCharType="separate"/>
      </w:r>
      <w:r w:rsidR="00062E08">
        <w:t>1</w:t>
      </w:r>
      <w:r w:rsidR="000B04A5">
        <w:fldChar w:fldCharType="end"/>
      </w:r>
    </w:p>
    <w:p w14:paraId="3502E75E" w14:textId="77777777" w:rsidR="000B04A5" w:rsidRDefault="000B04A5">
      <w:pPr>
        <w:pStyle w:val="TOC2"/>
        <w:rPr>
          <w:rFonts w:asciiTheme="minorHAnsi" w:eastAsiaTheme="minorEastAsia" w:hAnsiTheme="minorHAnsi" w:cstheme="minorBidi"/>
          <w:b w:val="0"/>
          <w:color w:val="auto"/>
          <w:szCs w:val="22"/>
          <w:lang w:val="en-AU" w:eastAsia="en-AU"/>
        </w:rPr>
      </w:pPr>
      <w:r>
        <w:t>1.1</w:t>
      </w:r>
      <w:r>
        <w:rPr>
          <w:rFonts w:asciiTheme="minorHAnsi" w:eastAsiaTheme="minorEastAsia" w:hAnsiTheme="minorHAnsi" w:cstheme="minorBidi"/>
          <w:b w:val="0"/>
          <w:color w:val="auto"/>
          <w:szCs w:val="22"/>
          <w:lang w:val="en-AU" w:eastAsia="en-AU"/>
        </w:rPr>
        <w:tab/>
      </w:r>
      <w:r>
        <w:t>Wood and Water Study and purpose of this review</w:t>
      </w:r>
      <w:r>
        <w:tab/>
      </w:r>
      <w:r>
        <w:fldChar w:fldCharType="begin"/>
      </w:r>
      <w:r>
        <w:instrText xml:space="preserve"> PAGEREF _Toc36033074 \h </w:instrText>
      </w:r>
      <w:r>
        <w:fldChar w:fldCharType="separate"/>
      </w:r>
      <w:r w:rsidR="00062E08">
        <w:t>1</w:t>
      </w:r>
      <w:r>
        <w:fldChar w:fldCharType="end"/>
      </w:r>
    </w:p>
    <w:p w14:paraId="4B72BED0" w14:textId="15099112" w:rsidR="000B04A5" w:rsidRDefault="000B04A5">
      <w:pPr>
        <w:pStyle w:val="TOC2"/>
        <w:rPr>
          <w:rFonts w:asciiTheme="minorHAnsi" w:eastAsiaTheme="minorEastAsia" w:hAnsiTheme="minorHAnsi" w:cstheme="minorBidi"/>
          <w:b w:val="0"/>
          <w:color w:val="auto"/>
          <w:szCs w:val="22"/>
          <w:lang w:val="en-AU" w:eastAsia="en-AU"/>
        </w:rPr>
      </w:pPr>
      <w:r>
        <w:t>1.2</w:t>
      </w:r>
      <w:r>
        <w:rPr>
          <w:rFonts w:asciiTheme="minorHAnsi" w:eastAsiaTheme="minorEastAsia" w:hAnsiTheme="minorHAnsi" w:cstheme="minorBidi"/>
          <w:b w:val="0"/>
          <w:color w:val="auto"/>
          <w:szCs w:val="22"/>
          <w:lang w:val="en-AU" w:eastAsia="en-AU"/>
        </w:rPr>
        <w:tab/>
      </w:r>
      <w:r>
        <w:t xml:space="preserve">Policy </w:t>
      </w:r>
      <w:r w:rsidR="00DE2C95">
        <w:t>c</w:t>
      </w:r>
      <w:r>
        <w:t>ontext</w:t>
      </w:r>
      <w:r>
        <w:tab/>
      </w:r>
      <w:r>
        <w:fldChar w:fldCharType="begin"/>
      </w:r>
      <w:r>
        <w:instrText xml:space="preserve"> PAGEREF _Toc36033075 \h </w:instrText>
      </w:r>
      <w:r>
        <w:fldChar w:fldCharType="separate"/>
      </w:r>
      <w:r w:rsidR="00062E08">
        <w:t>2</w:t>
      </w:r>
      <w:r>
        <w:fldChar w:fldCharType="end"/>
      </w:r>
    </w:p>
    <w:p w14:paraId="0C0F1E36" w14:textId="77777777" w:rsidR="000B04A5" w:rsidRDefault="000B04A5">
      <w:pPr>
        <w:pStyle w:val="TOC2"/>
        <w:rPr>
          <w:rFonts w:asciiTheme="minorHAnsi" w:eastAsiaTheme="minorEastAsia" w:hAnsiTheme="minorHAnsi" w:cstheme="minorBidi"/>
          <w:b w:val="0"/>
          <w:color w:val="auto"/>
          <w:szCs w:val="22"/>
          <w:lang w:val="en-AU" w:eastAsia="en-AU"/>
        </w:rPr>
      </w:pPr>
      <w:r>
        <w:t>1.3</w:t>
      </w:r>
      <w:r>
        <w:rPr>
          <w:rFonts w:asciiTheme="minorHAnsi" w:eastAsiaTheme="minorEastAsia" w:hAnsiTheme="minorHAnsi" w:cstheme="minorBidi"/>
          <w:b w:val="0"/>
          <w:color w:val="auto"/>
          <w:szCs w:val="22"/>
          <w:lang w:val="en-AU" w:eastAsia="en-AU"/>
        </w:rPr>
        <w:tab/>
      </w:r>
      <w:r>
        <w:t>Structure of this report</w:t>
      </w:r>
      <w:r>
        <w:tab/>
      </w:r>
      <w:r>
        <w:fldChar w:fldCharType="begin"/>
      </w:r>
      <w:r>
        <w:instrText xml:space="preserve"> PAGEREF _Toc36033076 \h </w:instrText>
      </w:r>
      <w:r>
        <w:fldChar w:fldCharType="separate"/>
      </w:r>
      <w:r w:rsidR="00062E08">
        <w:t>3</w:t>
      </w:r>
      <w:r>
        <w:fldChar w:fldCharType="end"/>
      </w:r>
    </w:p>
    <w:p w14:paraId="3B06BFA1" w14:textId="77777777" w:rsidR="000B04A5" w:rsidRDefault="000B04A5">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Drivers of water yield in Melbourne’s forested catchments</w:t>
      </w:r>
      <w:r>
        <w:tab/>
      </w:r>
      <w:r>
        <w:fldChar w:fldCharType="begin"/>
      </w:r>
      <w:r>
        <w:instrText xml:space="preserve"> PAGEREF _Toc36033077 \h </w:instrText>
      </w:r>
      <w:r>
        <w:fldChar w:fldCharType="separate"/>
      </w:r>
      <w:r w:rsidR="00062E08">
        <w:t>4</w:t>
      </w:r>
      <w:r>
        <w:fldChar w:fldCharType="end"/>
      </w:r>
    </w:p>
    <w:p w14:paraId="0CF25E4E" w14:textId="5752606B" w:rsidR="000B04A5" w:rsidRDefault="000B04A5">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Overview of Wood and Water Study 2008 method</w:t>
      </w:r>
      <w:r w:rsidR="00DE2C95">
        <w:t>s</w:t>
      </w:r>
      <w:r>
        <w:t xml:space="preserve"> and findings</w:t>
      </w:r>
      <w:r>
        <w:tab/>
      </w:r>
      <w:r>
        <w:fldChar w:fldCharType="begin"/>
      </w:r>
      <w:r>
        <w:instrText xml:space="preserve"> PAGEREF _Toc36033078 \h </w:instrText>
      </w:r>
      <w:r>
        <w:fldChar w:fldCharType="separate"/>
      </w:r>
      <w:r w:rsidR="00062E08">
        <w:t>8</w:t>
      </w:r>
      <w:r>
        <w:fldChar w:fldCharType="end"/>
      </w:r>
    </w:p>
    <w:p w14:paraId="49188F82" w14:textId="77777777" w:rsidR="000B04A5" w:rsidRDefault="000B04A5">
      <w:pPr>
        <w:pStyle w:val="TOC2"/>
        <w:rPr>
          <w:rFonts w:asciiTheme="minorHAnsi" w:eastAsiaTheme="minorEastAsia" w:hAnsiTheme="minorHAnsi" w:cstheme="minorBidi"/>
          <w:b w:val="0"/>
          <w:color w:val="auto"/>
          <w:szCs w:val="22"/>
          <w:lang w:val="en-AU" w:eastAsia="en-AU"/>
        </w:rPr>
      </w:pPr>
      <w:r>
        <w:t>3.1</w:t>
      </w:r>
      <w:r>
        <w:rPr>
          <w:rFonts w:asciiTheme="minorHAnsi" w:eastAsiaTheme="minorEastAsia" w:hAnsiTheme="minorHAnsi" w:cstheme="minorBidi"/>
          <w:b w:val="0"/>
          <w:color w:val="auto"/>
          <w:szCs w:val="22"/>
          <w:lang w:val="en-AU" w:eastAsia="en-AU"/>
        </w:rPr>
        <w:tab/>
      </w:r>
      <w:r>
        <w:t>Macaque model calibration</w:t>
      </w:r>
      <w:r>
        <w:tab/>
      </w:r>
      <w:r>
        <w:fldChar w:fldCharType="begin"/>
      </w:r>
      <w:r>
        <w:instrText xml:space="preserve"> PAGEREF _Toc36033079 \h </w:instrText>
      </w:r>
      <w:r>
        <w:fldChar w:fldCharType="separate"/>
      </w:r>
      <w:r w:rsidR="00062E08">
        <w:t>9</w:t>
      </w:r>
      <w:r>
        <w:fldChar w:fldCharType="end"/>
      </w:r>
    </w:p>
    <w:p w14:paraId="4E463868" w14:textId="77777777" w:rsidR="000B04A5" w:rsidRDefault="000B04A5">
      <w:pPr>
        <w:pStyle w:val="TOC2"/>
        <w:rPr>
          <w:rFonts w:asciiTheme="minorHAnsi" w:eastAsiaTheme="minorEastAsia" w:hAnsiTheme="minorHAnsi" w:cstheme="minorBidi"/>
          <w:b w:val="0"/>
          <w:color w:val="auto"/>
          <w:szCs w:val="22"/>
          <w:lang w:val="en-AU" w:eastAsia="en-AU"/>
        </w:rPr>
      </w:pPr>
      <w:r>
        <w:t>3.2</w:t>
      </w:r>
      <w:r>
        <w:rPr>
          <w:rFonts w:asciiTheme="minorHAnsi" w:eastAsiaTheme="minorEastAsia" w:hAnsiTheme="minorHAnsi" w:cstheme="minorBidi"/>
          <w:b w:val="0"/>
          <w:color w:val="auto"/>
          <w:szCs w:val="22"/>
          <w:lang w:val="en-AU" w:eastAsia="en-AU"/>
        </w:rPr>
        <w:tab/>
      </w:r>
      <w:r>
        <w:t>Future scenario modelling</w:t>
      </w:r>
      <w:r>
        <w:tab/>
      </w:r>
      <w:r>
        <w:fldChar w:fldCharType="begin"/>
      </w:r>
      <w:r>
        <w:instrText xml:space="preserve"> PAGEREF _Toc36033080 \h </w:instrText>
      </w:r>
      <w:r>
        <w:fldChar w:fldCharType="separate"/>
      </w:r>
      <w:r w:rsidR="00062E08">
        <w:t>9</w:t>
      </w:r>
      <w:r>
        <w:fldChar w:fldCharType="end"/>
      </w:r>
    </w:p>
    <w:p w14:paraId="76EEC0E0" w14:textId="77777777" w:rsidR="000B04A5" w:rsidRDefault="000B04A5">
      <w:pPr>
        <w:pStyle w:val="TOC2"/>
        <w:rPr>
          <w:rFonts w:asciiTheme="minorHAnsi" w:eastAsiaTheme="minorEastAsia" w:hAnsiTheme="minorHAnsi" w:cstheme="minorBidi"/>
          <w:b w:val="0"/>
          <w:color w:val="auto"/>
          <w:szCs w:val="22"/>
          <w:lang w:val="en-AU" w:eastAsia="en-AU"/>
        </w:rPr>
      </w:pPr>
      <w:r>
        <w:t>3.3</w:t>
      </w:r>
      <w:r>
        <w:rPr>
          <w:rFonts w:asciiTheme="minorHAnsi" w:eastAsiaTheme="minorEastAsia" w:hAnsiTheme="minorHAnsi" w:cstheme="minorBidi"/>
          <w:b w:val="0"/>
          <w:color w:val="auto"/>
          <w:szCs w:val="22"/>
          <w:lang w:val="en-AU" w:eastAsia="en-AU"/>
        </w:rPr>
        <w:tab/>
      </w:r>
      <w:r>
        <w:t>Catchment water yield results</w:t>
      </w:r>
      <w:r>
        <w:tab/>
      </w:r>
      <w:r>
        <w:fldChar w:fldCharType="begin"/>
      </w:r>
      <w:r>
        <w:instrText xml:space="preserve"> PAGEREF _Toc36033081 \h </w:instrText>
      </w:r>
      <w:r>
        <w:fldChar w:fldCharType="separate"/>
      </w:r>
      <w:r w:rsidR="00062E08">
        <w:t>11</w:t>
      </w:r>
      <w:r>
        <w:fldChar w:fldCharType="end"/>
      </w:r>
    </w:p>
    <w:p w14:paraId="406A3C13" w14:textId="77777777" w:rsidR="000B04A5" w:rsidRDefault="000B04A5">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Assessment of recommendations from WWS2008</w:t>
      </w:r>
      <w:r>
        <w:tab/>
      </w:r>
      <w:r>
        <w:fldChar w:fldCharType="begin"/>
      </w:r>
      <w:r>
        <w:instrText xml:space="preserve"> PAGEREF _Toc36033082 \h </w:instrText>
      </w:r>
      <w:r>
        <w:fldChar w:fldCharType="separate"/>
      </w:r>
      <w:r w:rsidR="00062E08">
        <w:t>13</w:t>
      </w:r>
      <w:r>
        <w:fldChar w:fldCharType="end"/>
      </w:r>
    </w:p>
    <w:p w14:paraId="468F718E" w14:textId="33E79BD7" w:rsidR="000B04A5" w:rsidRDefault="000B04A5">
      <w:pPr>
        <w:pStyle w:val="TOC2"/>
        <w:rPr>
          <w:rFonts w:asciiTheme="minorHAnsi" w:eastAsiaTheme="minorEastAsia" w:hAnsiTheme="minorHAnsi" w:cstheme="minorBidi"/>
          <w:b w:val="0"/>
          <w:color w:val="auto"/>
          <w:szCs w:val="22"/>
          <w:lang w:val="en-AU" w:eastAsia="en-AU"/>
        </w:rPr>
      </w:pPr>
      <w:r>
        <w:t>4.1</w:t>
      </w:r>
      <w:r>
        <w:rPr>
          <w:rFonts w:asciiTheme="minorHAnsi" w:eastAsiaTheme="minorEastAsia" w:hAnsiTheme="minorHAnsi" w:cstheme="minorBidi"/>
          <w:b w:val="0"/>
          <w:color w:val="auto"/>
          <w:szCs w:val="22"/>
          <w:lang w:val="en-AU" w:eastAsia="en-AU"/>
        </w:rPr>
        <w:tab/>
      </w:r>
      <w:r>
        <w:t xml:space="preserve">Analysis of recommendations from the WWS2008 </w:t>
      </w:r>
      <w:r w:rsidR="00DE2C95">
        <w:br/>
      </w:r>
      <w:r>
        <w:t>Summary Report</w:t>
      </w:r>
      <w:r>
        <w:tab/>
      </w:r>
      <w:r>
        <w:fldChar w:fldCharType="begin"/>
      </w:r>
      <w:r>
        <w:instrText xml:space="preserve"> PAGEREF _Toc36033083 \h </w:instrText>
      </w:r>
      <w:r>
        <w:fldChar w:fldCharType="separate"/>
      </w:r>
      <w:r w:rsidR="00062E08">
        <w:t>13</w:t>
      </w:r>
      <w:r>
        <w:fldChar w:fldCharType="end"/>
      </w:r>
    </w:p>
    <w:p w14:paraId="08042776" w14:textId="2F40A5D5" w:rsidR="000B04A5" w:rsidRDefault="000B04A5">
      <w:pPr>
        <w:pStyle w:val="TOC3"/>
        <w:rPr>
          <w:rFonts w:asciiTheme="minorHAnsi" w:eastAsiaTheme="minorEastAsia" w:hAnsiTheme="minorHAnsi" w:cstheme="minorBidi"/>
          <w:color w:val="auto"/>
          <w:sz w:val="22"/>
          <w:szCs w:val="22"/>
          <w:lang w:val="en-AU" w:eastAsia="en-AU"/>
        </w:rPr>
      </w:pPr>
      <w:r>
        <w:t>4.1.1</w:t>
      </w:r>
      <w:r>
        <w:rPr>
          <w:rFonts w:asciiTheme="minorHAnsi" w:eastAsiaTheme="minorEastAsia" w:hAnsiTheme="minorHAnsi" w:cstheme="minorBidi"/>
          <w:color w:val="auto"/>
          <w:sz w:val="22"/>
          <w:szCs w:val="22"/>
          <w:lang w:val="en-AU" w:eastAsia="en-AU"/>
        </w:rPr>
        <w:tab/>
      </w:r>
      <w:r>
        <w:t xml:space="preserve">Assessment of combined effects of bushfire, climate change and </w:t>
      </w:r>
      <w:r w:rsidR="005700FA">
        <w:br/>
      </w:r>
      <w:r>
        <w:t>timber harvesting</w:t>
      </w:r>
      <w:r w:rsidR="00FE1621">
        <w:t xml:space="preserve"> on water supply from the forested catchments</w:t>
      </w:r>
      <w:r>
        <w:tab/>
      </w:r>
      <w:r>
        <w:fldChar w:fldCharType="begin"/>
      </w:r>
      <w:r>
        <w:instrText xml:space="preserve"> PAGEREF _Toc36033084 \h </w:instrText>
      </w:r>
      <w:r>
        <w:fldChar w:fldCharType="separate"/>
      </w:r>
      <w:r w:rsidR="00062E08">
        <w:t>13</w:t>
      </w:r>
      <w:r>
        <w:fldChar w:fldCharType="end"/>
      </w:r>
    </w:p>
    <w:p w14:paraId="226A894D" w14:textId="57604F1E" w:rsidR="000B04A5" w:rsidRDefault="000B04A5">
      <w:pPr>
        <w:pStyle w:val="TOC3"/>
        <w:rPr>
          <w:rFonts w:asciiTheme="minorHAnsi" w:eastAsiaTheme="minorEastAsia" w:hAnsiTheme="minorHAnsi" w:cstheme="minorBidi"/>
          <w:color w:val="auto"/>
          <w:sz w:val="22"/>
          <w:szCs w:val="22"/>
          <w:lang w:val="en-AU" w:eastAsia="en-AU"/>
        </w:rPr>
      </w:pPr>
      <w:r>
        <w:t>4.1.2</w:t>
      </w:r>
      <w:r>
        <w:rPr>
          <w:rFonts w:asciiTheme="minorHAnsi" w:eastAsiaTheme="minorEastAsia" w:hAnsiTheme="minorHAnsi" w:cstheme="minorBidi"/>
          <w:color w:val="auto"/>
          <w:sz w:val="22"/>
          <w:szCs w:val="22"/>
          <w:lang w:val="en-AU" w:eastAsia="en-AU"/>
        </w:rPr>
        <w:tab/>
      </w:r>
      <w:r>
        <w:t>Assessment of economic, social and environmental benefits and costs</w:t>
      </w:r>
      <w:r w:rsidR="00DE2C95">
        <w:t xml:space="preserve"> </w:t>
      </w:r>
      <w:r w:rsidR="00DE2C95">
        <w:br/>
        <w:t>of options considered in WWS2008</w:t>
      </w:r>
      <w:r>
        <w:tab/>
      </w:r>
      <w:r>
        <w:fldChar w:fldCharType="begin"/>
      </w:r>
      <w:r>
        <w:instrText xml:space="preserve"> PAGEREF _Toc36033085 \h </w:instrText>
      </w:r>
      <w:r>
        <w:fldChar w:fldCharType="separate"/>
      </w:r>
      <w:r w:rsidR="00062E08">
        <w:t>18</w:t>
      </w:r>
      <w:r>
        <w:fldChar w:fldCharType="end"/>
      </w:r>
    </w:p>
    <w:p w14:paraId="6C22019F" w14:textId="77777777" w:rsidR="000B04A5" w:rsidRDefault="000B04A5">
      <w:pPr>
        <w:pStyle w:val="TOC3"/>
        <w:rPr>
          <w:rFonts w:asciiTheme="minorHAnsi" w:eastAsiaTheme="minorEastAsia" w:hAnsiTheme="minorHAnsi" w:cstheme="minorBidi"/>
          <w:color w:val="auto"/>
          <w:sz w:val="22"/>
          <w:szCs w:val="22"/>
          <w:lang w:val="en-AU" w:eastAsia="en-AU"/>
        </w:rPr>
      </w:pPr>
      <w:r>
        <w:t>4.1.3</w:t>
      </w:r>
      <w:r>
        <w:rPr>
          <w:rFonts w:asciiTheme="minorHAnsi" w:eastAsiaTheme="minorEastAsia" w:hAnsiTheme="minorHAnsi" w:cstheme="minorBidi"/>
          <w:color w:val="auto"/>
          <w:sz w:val="22"/>
          <w:szCs w:val="22"/>
          <w:lang w:val="en-AU" w:eastAsia="en-AU"/>
        </w:rPr>
        <w:tab/>
      </w:r>
      <w:r>
        <w:t>Sustainability of increased yield from thinning treatments</w:t>
      </w:r>
      <w:r>
        <w:tab/>
      </w:r>
      <w:r>
        <w:fldChar w:fldCharType="begin"/>
      </w:r>
      <w:r>
        <w:instrText xml:space="preserve"> PAGEREF _Toc36033086 \h </w:instrText>
      </w:r>
      <w:r>
        <w:fldChar w:fldCharType="separate"/>
      </w:r>
      <w:r w:rsidR="00062E08">
        <w:t>20</w:t>
      </w:r>
      <w:r>
        <w:fldChar w:fldCharType="end"/>
      </w:r>
    </w:p>
    <w:p w14:paraId="6FA528DF" w14:textId="2234D27E" w:rsidR="000B04A5" w:rsidRDefault="000B04A5">
      <w:pPr>
        <w:pStyle w:val="TOC2"/>
        <w:rPr>
          <w:rFonts w:asciiTheme="minorHAnsi" w:eastAsiaTheme="minorEastAsia" w:hAnsiTheme="minorHAnsi" w:cstheme="minorBidi"/>
          <w:b w:val="0"/>
          <w:color w:val="auto"/>
          <w:szCs w:val="22"/>
          <w:lang w:val="en-AU" w:eastAsia="en-AU"/>
        </w:rPr>
      </w:pPr>
      <w:r>
        <w:t>4.2</w:t>
      </w:r>
      <w:r>
        <w:rPr>
          <w:rFonts w:asciiTheme="minorHAnsi" w:eastAsiaTheme="minorEastAsia" w:hAnsiTheme="minorHAnsi" w:cstheme="minorBidi"/>
          <w:b w:val="0"/>
          <w:color w:val="auto"/>
          <w:szCs w:val="22"/>
          <w:lang w:val="en-AU" w:eastAsia="en-AU"/>
        </w:rPr>
        <w:tab/>
      </w:r>
      <w:r>
        <w:t xml:space="preserve">Analysis of recommendations from </w:t>
      </w:r>
      <w:r w:rsidR="00657A1A">
        <w:t xml:space="preserve">the </w:t>
      </w:r>
      <w:r>
        <w:t xml:space="preserve">WWS Macaque </w:t>
      </w:r>
      <w:r w:rsidR="005700FA">
        <w:br/>
      </w:r>
      <w:r>
        <w:t>modelling report</w:t>
      </w:r>
      <w:r>
        <w:tab/>
      </w:r>
      <w:r>
        <w:fldChar w:fldCharType="begin"/>
      </w:r>
      <w:r>
        <w:instrText xml:space="preserve"> PAGEREF _Toc36033087 \h </w:instrText>
      </w:r>
      <w:r>
        <w:fldChar w:fldCharType="separate"/>
      </w:r>
      <w:r w:rsidR="00062E08">
        <w:t>21</w:t>
      </w:r>
      <w:r>
        <w:fldChar w:fldCharType="end"/>
      </w:r>
    </w:p>
    <w:p w14:paraId="2E1DD372" w14:textId="2BC571D8" w:rsidR="000B04A5" w:rsidRDefault="000B04A5">
      <w:pPr>
        <w:pStyle w:val="TOC3"/>
        <w:rPr>
          <w:rFonts w:asciiTheme="minorHAnsi" w:eastAsiaTheme="minorEastAsia" w:hAnsiTheme="minorHAnsi" w:cstheme="minorBidi"/>
          <w:color w:val="auto"/>
          <w:sz w:val="22"/>
          <w:szCs w:val="22"/>
          <w:lang w:val="en-AU" w:eastAsia="en-AU"/>
        </w:rPr>
      </w:pPr>
      <w:r>
        <w:t>4.2.1</w:t>
      </w:r>
      <w:r>
        <w:rPr>
          <w:rFonts w:asciiTheme="minorHAnsi" w:eastAsiaTheme="minorEastAsia" w:hAnsiTheme="minorHAnsi" w:cstheme="minorBidi"/>
          <w:color w:val="auto"/>
          <w:sz w:val="22"/>
          <w:szCs w:val="22"/>
          <w:lang w:val="en-AU" w:eastAsia="en-AU"/>
        </w:rPr>
        <w:tab/>
      </w:r>
      <w:r>
        <w:t xml:space="preserve">Improved methods for understanding and modelling spatial variations </w:t>
      </w:r>
      <w:r w:rsidR="005700FA">
        <w:br/>
      </w:r>
      <w:r>
        <w:t xml:space="preserve">in AET and improved methods for understanding and modelling response of </w:t>
      </w:r>
      <w:r w:rsidR="005700FA">
        <w:br/>
      </w:r>
      <w:r>
        <w:t>vegetation to bushfire</w:t>
      </w:r>
      <w:r>
        <w:tab/>
      </w:r>
      <w:r>
        <w:fldChar w:fldCharType="begin"/>
      </w:r>
      <w:r>
        <w:instrText xml:space="preserve"> PAGEREF _Toc36033088 \h </w:instrText>
      </w:r>
      <w:r>
        <w:fldChar w:fldCharType="separate"/>
      </w:r>
      <w:r w:rsidR="00062E08">
        <w:t>21</w:t>
      </w:r>
      <w:r>
        <w:fldChar w:fldCharType="end"/>
      </w:r>
    </w:p>
    <w:p w14:paraId="49458D90" w14:textId="4790F90F" w:rsidR="000B04A5" w:rsidRDefault="000B04A5">
      <w:pPr>
        <w:pStyle w:val="TOC3"/>
        <w:rPr>
          <w:rFonts w:asciiTheme="minorHAnsi" w:eastAsiaTheme="minorEastAsia" w:hAnsiTheme="minorHAnsi" w:cstheme="minorBidi"/>
          <w:color w:val="auto"/>
          <w:sz w:val="22"/>
          <w:szCs w:val="22"/>
          <w:lang w:val="en-AU" w:eastAsia="en-AU"/>
        </w:rPr>
      </w:pPr>
      <w:r>
        <w:t>4.2.2</w:t>
      </w:r>
      <w:r>
        <w:rPr>
          <w:rFonts w:asciiTheme="minorHAnsi" w:eastAsiaTheme="minorEastAsia" w:hAnsiTheme="minorHAnsi" w:cstheme="minorBidi"/>
          <w:color w:val="auto"/>
          <w:sz w:val="22"/>
          <w:szCs w:val="22"/>
          <w:lang w:val="en-AU" w:eastAsia="en-AU"/>
        </w:rPr>
        <w:tab/>
      </w:r>
      <w:r>
        <w:t xml:space="preserve">Improved methods for understanding and modelling response of </w:t>
      </w:r>
      <w:r w:rsidR="0054372E">
        <w:br/>
      </w:r>
      <w:r>
        <w:t>forest growth and water use to changes in atmospheric CO</w:t>
      </w:r>
      <w:r w:rsidRPr="0059649F">
        <w:rPr>
          <w:vertAlign w:val="subscript"/>
        </w:rPr>
        <w:t>2</w:t>
      </w:r>
      <w:r>
        <w:t xml:space="preserve"> concentrations</w:t>
      </w:r>
      <w:r>
        <w:tab/>
      </w:r>
      <w:r>
        <w:fldChar w:fldCharType="begin"/>
      </w:r>
      <w:r>
        <w:instrText xml:space="preserve"> PAGEREF _Toc36033089 \h </w:instrText>
      </w:r>
      <w:r>
        <w:fldChar w:fldCharType="separate"/>
      </w:r>
      <w:r w:rsidR="00062E08">
        <w:t>25</w:t>
      </w:r>
      <w:r>
        <w:fldChar w:fldCharType="end"/>
      </w:r>
    </w:p>
    <w:p w14:paraId="0C549C4A" w14:textId="77777777" w:rsidR="000B04A5" w:rsidRDefault="000B04A5">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Analysis of relevant issues that have emerged since WWS2008</w:t>
      </w:r>
      <w:r>
        <w:tab/>
      </w:r>
      <w:r>
        <w:fldChar w:fldCharType="begin"/>
      </w:r>
      <w:r>
        <w:instrText xml:space="preserve"> PAGEREF _Toc36033090 \h </w:instrText>
      </w:r>
      <w:r>
        <w:fldChar w:fldCharType="separate"/>
      </w:r>
      <w:r w:rsidR="00062E08">
        <w:t>27</w:t>
      </w:r>
      <w:r>
        <w:fldChar w:fldCharType="end"/>
      </w:r>
    </w:p>
    <w:p w14:paraId="24FC8798" w14:textId="77777777" w:rsidR="000B04A5" w:rsidRDefault="000B04A5">
      <w:pPr>
        <w:pStyle w:val="TOC2"/>
        <w:rPr>
          <w:rFonts w:asciiTheme="minorHAnsi" w:eastAsiaTheme="minorEastAsia" w:hAnsiTheme="minorHAnsi" w:cstheme="minorBidi"/>
          <w:b w:val="0"/>
          <w:color w:val="auto"/>
          <w:szCs w:val="22"/>
          <w:lang w:val="en-AU" w:eastAsia="en-AU"/>
        </w:rPr>
      </w:pPr>
      <w:r>
        <w:t>5.1</w:t>
      </w:r>
      <w:r>
        <w:rPr>
          <w:rFonts w:asciiTheme="minorHAnsi" w:eastAsiaTheme="minorEastAsia" w:hAnsiTheme="minorHAnsi" w:cstheme="minorBidi"/>
          <w:b w:val="0"/>
          <w:color w:val="auto"/>
          <w:szCs w:val="22"/>
          <w:lang w:val="en-AU" w:eastAsia="en-AU"/>
        </w:rPr>
        <w:tab/>
      </w:r>
      <w:r>
        <w:t>Areas of timber harvesting since WWS2008</w:t>
      </w:r>
      <w:r>
        <w:tab/>
      </w:r>
      <w:r>
        <w:fldChar w:fldCharType="begin"/>
      </w:r>
      <w:r>
        <w:instrText xml:space="preserve"> PAGEREF _Toc36033091 \h </w:instrText>
      </w:r>
      <w:r>
        <w:fldChar w:fldCharType="separate"/>
      </w:r>
      <w:r w:rsidR="00062E08">
        <w:t>27</w:t>
      </w:r>
      <w:r>
        <w:fldChar w:fldCharType="end"/>
      </w:r>
    </w:p>
    <w:p w14:paraId="06EA9B5A" w14:textId="41B66FA6" w:rsidR="000B04A5" w:rsidRDefault="000B04A5">
      <w:pPr>
        <w:pStyle w:val="TOC2"/>
        <w:rPr>
          <w:rFonts w:asciiTheme="minorHAnsi" w:eastAsiaTheme="minorEastAsia" w:hAnsiTheme="minorHAnsi" w:cstheme="minorBidi"/>
          <w:b w:val="0"/>
          <w:color w:val="auto"/>
          <w:szCs w:val="22"/>
          <w:lang w:val="en-AU" w:eastAsia="en-AU"/>
        </w:rPr>
      </w:pPr>
      <w:r>
        <w:t>5.2</w:t>
      </w:r>
      <w:r>
        <w:rPr>
          <w:rFonts w:asciiTheme="minorHAnsi" w:eastAsiaTheme="minorEastAsia" w:hAnsiTheme="minorHAnsi" w:cstheme="minorBidi"/>
          <w:b w:val="0"/>
          <w:color w:val="auto"/>
          <w:szCs w:val="22"/>
          <w:lang w:val="en-AU" w:eastAsia="en-AU"/>
        </w:rPr>
        <w:tab/>
      </w:r>
      <w:r>
        <w:t>Effect</w:t>
      </w:r>
      <w:r w:rsidR="00DE2C95">
        <w:t>s</w:t>
      </w:r>
      <w:r>
        <w:t xml:space="preserve"> of bushfires in Melbourne’s catchments since 2008</w:t>
      </w:r>
      <w:r>
        <w:tab/>
      </w:r>
      <w:r>
        <w:fldChar w:fldCharType="begin"/>
      </w:r>
      <w:r>
        <w:instrText xml:space="preserve"> PAGEREF _Toc36033092 \h </w:instrText>
      </w:r>
      <w:r>
        <w:fldChar w:fldCharType="separate"/>
      </w:r>
      <w:r w:rsidR="00062E08">
        <w:t>28</w:t>
      </w:r>
      <w:r>
        <w:fldChar w:fldCharType="end"/>
      </w:r>
    </w:p>
    <w:p w14:paraId="715689F5" w14:textId="20771BF6" w:rsidR="000B04A5" w:rsidRDefault="000B04A5">
      <w:pPr>
        <w:pStyle w:val="TOC2"/>
        <w:rPr>
          <w:rFonts w:asciiTheme="minorHAnsi" w:eastAsiaTheme="minorEastAsia" w:hAnsiTheme="minorHAnsi" w:cstheme="minorBidi"/>
          <w:b w:val="0"/>
          <w:color w:val="auto"/>
          <w:szCs w:val="22"/>
          <w:lang w:val="en-AU" w:eastAsia="en-AU"/>
        </w:rPr>
      </w:pPr>
      <w:r>
        <w:t>5.3</w:t>
      </w:r>
      <w:r>
        <w:rPr>
          <w:rFonts w:asciiTheme="minorHAnsi" w:eastAsiaTheme="minorEastAsia" w:hAnsiTheme="minorHAnsi" w:cstheme="minorBidi"/>
          <w:b w:val="0"/>
          <w:color w:val="auto"/>
          <w:szCs w:val="22"/>
          <w:lang w:val="en-AU" w:eastAsia="en-AU"/>
        </w:rPr>
        <w:tab/>
      </w:r>
      <w:r>
        <w:t xml:space="preserve">Modelled impact on catchment water yield of cessation of logging </w:t>
      </w:r>
      <w:r w:rsidR="005700FA">
        <w:br/>
      </w:r>
      <w:r>
        <w:t>since WWS2008</w:t>
      </w:r>
      <w:r>
        <w:tab/>
      </w:r>
      <w:r>
        <w:fldChar w:fldCharType="begin"/>
      </w:r>
      <w:r>
        <w:instrText xml:space="preserve"> PAGEREF _Toc36033093 \h </w:instrText>
      </w:r>
      <w:r>
        <w:fldChar w:fldCharType="separate"/>
      </w:r>
      <w:r w:rsidR="00062E08">
        <w:t>30</w:t>
      </w:r>
      <w:r>
        <w:fldChar w:fldCharType="end"/>
      </w:r>
    </w:p>
    <w:p w14:paraId="1FF77A09" w14:textId="14787114" w:rsidR="000B04A5" w:rsidRDefault="000B04A5">
      <w:pPr>
        <w:pStyle w:val="TOC2"/>
        <w:rPr>
          <w:rFonts w:asciiTheme="minorHAnsi" w:eastAsiaTheme="minorEastAsia" w:hAnsiTheme="minorHAnsi" w:cstheme="minorBidi"/>
          <w:b w:val="0"/>
          <w:color w:val="auto"/>
          <w:szCs w:val="22"/>
          <w:lang w:val="en-AU" w:eastAsia="en-AU"/>
        </w:rPr>
      </w:pPr>
      <w:r>
        <w:t>5.4</w:t>
      </w:r>
      <w:r>
        <w:rPr>
          <w:rFonts w:asciiTheme="minorHAnsi" w:eastAsiaTheme="minorEastAsia" w:hAnsiTheme="minorHAnsi" w:cstheme="minorBidi"/>
          <w:b w:val="0"/>
          <w:color w:val="auto"/>
          <w:szCs w:val="22"/>
          <w:lang w:val="en-AU" w:eastAsia="en-AU"/>
        </w:rPr>
        <w:tab/>
      </w:r>
      <w:r>
        <w:t xml:space="preserve">Response of Victorian catchments to climate variability </w:t>
      </w:r>
      <w:r w:rsidR="005700FA">
        <w:br/>
      </w:r>
      <w:r>
        <w:t>and climate change</w:t>
      </w:r>
      <w:r>
        <w:tab/>
      </w:r>
      <w:r>
        <w:fldChar w:fldCharType="begin"/>
      </w:r>
      <w:r>
        <w:instrText xml:space="preserve"> PAGEREF _Toc36033094 \h </w:instrText>
      </w:r>
      <w:r>
        <w:fldChar w:fldCharType="separate"/>
      </w:r>
      <w:r w:rsidR="00062E08">
        <w:t>37</w:t>
      </w:r>
      <w:r>
        <w:fldChar w:fldCharType="end"/>
      </w:r>
    </w:p>
    <w:p w14:paraId="741172D3" w14:textId="77777777" w:rsidR="000B04A5" w:rsidRDefault="000B04A5">
      <w:pPr>
        <w:pStyle w:val="TOC2"/>
        <w:rPr>
          <w:rFonts w:asciiTheme="minorHAnsi" w:eastAsiaTheme="minorEastAsia" w:hAnsiTheme="minorHAnsi" w:cstheme="minorBidi"/>
          <w:b w:val="0"/>
          <w:color w:val="auto"/>
          <w:szCs w:val="22"/>
          <w:lang w:val="en-AU" w:eastAsia="en-AU"/>
        </w:rPr>
      </w:pPr>
      <w:r>
        <w:t>5.5</w:t>
      </w:r>
      <w:r>
        <w:rPr>
          <w:rFonts w:asciiTheme="minorHAnsi" w:eastAsiaTheme="minorEastAsia" w:hAnsiTheme="minorHAnsi" w:cstheme="minorBidi"/>
          <w:b w:val="0"/>
          <w:color w:val="auto"/>
          <w:szCs w:val="22"/>
          <w:lang w:val="en-AU" w:eastAsia="en-AU"/>
        </w:rPr>
        <w:tab/>
      </w:r>
      <w:r>
        <w:t>Reassessment of model calibration with additional data</w:t>
      </w:r>
      <w:r>
        <w:tab/>
      </w:r>
      <w:r>
        <w:fldChar w:fldCharType="begin"/>
      </w:r>
      <w:r>
        <w:instrText xml:space="preserve"> PAGEREF _Toc36033095 \h </w:instrText>
      </w:r>
      <w:r>
        <w:fldChar w:fldCharType="separate"/>
      </w:r>
      <w:r w:rsidR="00062E08">
        <w:t>45</w:t>
      </w:r>
      <w:r>
        <w:fldChar w:fldCharType="end"/>
      </w:r>
    </w:p>
    <w:p w14:paraId="5C6EF466" w14:textId="77777777" w:rsidR="000B04A5" w:rsidRDefault="000B04A5">
      <w:pPr>
        <w:pStyle w:val="TOC2"/>
        <w:rPr>
          <w:rFonts w:asciiTheme="minorHAnsi" w:eastAsiaTheme="minorEastAsia" w:hAnsiTheme="minorHAnsi" w:cstheme="minorBidi"/>
          <w:b w:val="0"/>
          <w:color w:val="auto"/>
          <w:szCs w:val="22"/>
          <w:lang w:val="en-AU" w:eastAsia="en-AU"/>
        </w:rPr>
      </w:pPr>
      <w:r>
        <w:t>5.6</w:t>
      </w:r>
      <w:r>
        <w:rPr>
          <w:rFonts w:asciiTheme="minorHAnsi" w:eastAsiaTheme="minorEastAsia" w:hAnsiTheme="minorHAnsi" w:cstheme="minorBidi"/>
          <w:b w:val="0"/>
          <w:color w:val="auto"/>
          <w:szCs w:val="22"/>
          <w:lang w:val="en-AU" w:eastAsia="en-AU"/>
        </w:rPr>
        <w:tab/>
      </w:r>
      <w:r>
        <w:t>Development of improved modelling approaches</w:t>
      </w:r>
      <w:r>
        <w:tab/>
      </w:r>
      <w:r>
        <w:fldChar w:fldCharType="begin"/>
      </w:r>
      <w:r>
        <w:instrText xml:space="preserve"> PAGEREF _Toc36033096 \h </w:instrText>
      </w:r>
      <w:r>
        <w:fldChar w:fldCharType="separate"/>
      </w:r>
      <w:r w:rsidR="00062E08">
        <w:t>47</w:t>
      </w:r>
      <w:r>
        <w:fldChar w:fldCharType="end"/>
      </w:r>
    </w:p>
    <w:p w14:paraId="27A2CEB0" w14:textId="77777777" w:rsidR="000B04A5" w:rsidRDefault="000B04A5">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Conclusions and recommended future investigations</w:t>
      </w:r>
      <w:r>
        <w:tab/>
      </w:r>
      <w:r>
        <w:fldChar w:fldCharType="begin"/>
      </w:r>
      <w:r>
        <w:instrText xml:space="preserve"> PAGEREF _Toc36033097 \h </w:instrText>
      </w:r>
      <w:r>
        <w:fldChar w:fldCharType="separate"/>
      </w:r>
      <w:r w:rsidR="00062E08">
        <w:t>50</w:t>
      </w:r>
      <w:r>
        <w:fldChar w:fldCharType="end"/>
      </w:r>
    </w:p>
    <w:p w14:paraId="2BE0036A" w14:textId="77777777" w:rsidR="000B04A5" w:rsidRDefault="000B04A5">
      <w:pPr>
        <w:pStyle w:val="TOC1"/>
        <w:rPr>
          <w:rFonts w:asciiTheme="minorHAnsi" w:eastAsiaTheme="minorEastAsia" w:hAnsiTheme="minorHAnsi" w:cstheme="minorBidi"/>
          <w:b w:val="0"/>
          <w:color w:val="auto"/>
          <w:sz w:val="22"/>
          <w:szCs w:val="22"/>
          <w:lang w:val="en-AU" w:eastAsia="en-AU"/>
        </w:rPr>
      </w:pPr>
      <w:r>
        <w:t>7.</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_Toc36033098 \h </w:instrText>
      </w:r>
      <w:r>
        <w:fldChar w:fldCharType="separate"/>
      </w:r>
      <w:r w:rsidR="00062E08">
        <w:t>53</w:t>
      </w:r>
      <w:r>
        <w:fldChar w:fldCharType="end"/>
      </w:r>
    </w:p>
    <w:p w14:paraId="4BEFCC4E" w14:textId="77777777" w:rsidR="000B04A5" w:rsidRDefault="000B04A5">
      <w:pPr>
        <w:pStyle w:val="TOC1"/>
        <w:tabs>
          <w:tab w:val="left" w:pos="1760"/>
        </w:tabs>
        <w:rPr>
          <w:rFonts w:asciiTheme="minorHAnsi" w:eastAsiaTheme="minorEastAsia" w:hAnsiTheme="minorHAnsi" w:cstheme="minorBidi"/>
          <w:b w:val="0"/>
          <w:color w:val="auto"/>
          <w:sz w:val="22"/>
          <w:szCs w:val="22"/>
          <w:lang w:val="en-AU" w:eastAsia="en-AU"/>
        </w:rPr>
      </w:pPr>
      <w:r>
        <w:t>Appendix A</w:t>
      </w:r>
      <w:r>
        <w:rPr>
          <w:rFonts w:asciiTheme="minorHAnsi" w:eastAsiaTheme="minorEastAsia" w:hAnsiTheme="minorHAnsi" w:cstheme="minorBidi"/>
          <w:b w:val="0"/>
          <w:color w:val="auto"/>
          <w:sz w:val="22"/>
          <w:szCs w:val="22"/>
          <w:lang w:val="en-AU" w:eastAsia="en-AU"/>
        </w:rPr>
        <w:tab/>
      </w:r>
      <w:r>
        <w:t>Glossary</w:t>
      </w:r>
      <w:r>
        <w:tab/>
      </w:r>
      <w:r>
        <w:fldChar w:fldCharType="begin"/>
      </w:r>
      <w:r>
        <w:instrText xml:space="preserve"> PAGEREF _Toc36033099 \h </w:instrText>
      </w:r>
      <w:r>
        <w:fldChar w:fldCharType="separate"/>
      </w:r>
      <w:r w:rsidR="00062E08">
        <w:t>62</w:t>
      </w:r>
      <w:r>
        <w:fldChar w:fldCharType="end"/>
      </w:r>
    </w:p>
    <w:p w14:paraId="238260A2" w14:textId="634DAAF9" w:rsidR="007B791C" w:rsidRDefault="000B04A5" w:rsidP="00D33EC4">
      <w:pPr>
        <w:pStyle w:val="TOC1"/>
        <w:tabs>
          <w:tab w:val="left" w:pos="1760"/>
        </w:tabs>
        <w:sectPr w:rsidR="007B791C" w:rsidSect="00810541">
          <w:footerReference w:type="default" r:id="rId33"/>
          <w:pgSz w:w="11907" w:h="16840" w:code="9"/>
          <w:pgMar w:top="2835" w:right="851" w:bottom="1701" w:left="2268" w:header="680" w:footer="250" w:gutter="0"/>
          <w:pgNumType w:fmt="lowerRoman"/>
          <w:cols w:space="720"/>
          <w:formProt w:val="0"/>
          <w:docGrid w:linePitch="299"/>
        </w:sectPr>
      </w:pPr>
      <w:r>
        <w:t>Appendix B</w:t>
      </w:r>
      <w:r>
        <w:rPr>
          <w:rFonts w:asciiTheme="minorHAnsi" w:eastAsiaTheme="minorEastAsia" w:hAnsiTheme="minorHAnsi" w:cstheme="minorBidi"/>
          <w:b w:val="0"/>
          <w:color w:val="auto"/>
          <w:sz w:val="22"/>
          <w:szCs w:val="22"/>
          <w:lang w:val="en-AU" w:eastAsia="en-AU"/>
        </w:rPr>
        <w:tab/>
      </w:r>
      <w:r>
        <w:t>Brief for this Review</w:t>
      </w:r>
      <w:r>
        <w:tab/>
      </w:r>
      <w:r>
        <w:fldChar w:fldCharType="begin"/>
      </w:r>
      <w:r>
        <w:instrText xml:space="preserve"> PAGEREF _Toc36033100 \h </w:instrText>
      </w:r>
      <w:r>
        <w:fldChar w:fldCharType="separate"/>
      </w:r>
      <w:r w:rsidR="00062E08">
        <w:t>66</w:t>
      </w:r>
      <w:r>
        <w:fldChar w:fldCharType="end"/>
      </w:r>
      <w:r w:rsidR="00ED2728" w:rsidRPr="00986786">
        <w:rPr>
          <w:sz w:val="22"/>
          <w:szCs w:val="22"/>
        </w:rPr>
        <w:fldChar w:fldCharType="end"/>
      </w:r>
    </w:p>
    <w:p w14:paraId="2E61228B" w14:textId="23B283D4" w:rsidR="0008526D" w:rsidRDefault="0008526D" w:rsidP="0008526D">
      <w:pPr>
        <w:pStyle w:val="Heading1"/>
      </w:pPr>
      <w:bookmarkStart w:id="2" w:name="_Toc36033073"/>
      <w:r>
        <w:lastRenderedPageBreak/>
        <w:t>Introduction</w:t>
      </w:r>
      <w:bookmarkEnd w:id="2"/>
    </w:p>
    <w:p w14:paraId="2273AFDF" w14:textId="7258DD15" w:rsidR="0067065F" w:rsidRDefault="0067065F" w:rsidP="0067065F">
      <w:pPr>
        <w:pStyle w:val="Heading2"/>
      </w:pPr>
      <w:bookmarkStart w:id="3" w:name="_Toc36033074"/>
      <w:r>
        <w:t xml:space="preserve">Wood and Water Study and </w:t>
      </w:r>
      <w:r w:rsidR="00420DE9">
        <w:t>purpose of this review</w:t>
      </w:r>
      <w:bookmarkEnd w:id="3"/>
    </w:p>
    <w:p w14:paraId="4B2EC63E" w14:textId="73395DD8" w:rsidR="0067065F" w:rsidRDefault="0067065F" w:rsidP="0067065F">
      <w:pPr>
        <w:pStyle w:val="Para0"/>
      </w:pPr>
      <w:r>
        <w:t xml:space="preserve">The </w:t>
      </w:r>
      <w:r w:rsidRPr="003D6C51">
        <w:rPr>
          <w:i/>
        </w:rPr>
        <w:t>Wood and Water Study</w:t>
      </w:r>
      <w:r>
        <w:t xml:space="preserve"> (2008), hereafter referred to as </w:t>
      </w:r>
      <w:r w:rsidR="00E80142" w:rsidRPr="00E80142">
        <w:t>WWS2008</w:t>
      </w:r>
      <w:r>
        <w:t xml:space="preserve">, comprised a group of studies by a team of researchers over 2006, 2007 and 2008. </w:t>
      </w:r>
      <w:r w:rsidR="0066668E">
        <w:t xml:space="preserve">Dr Russell </w:t>
      </w:r>
      <w:r>
        <w:t xml:space="preserve">Mein produced a </w:t>
      </w:r>
      <w:r w:rsidRPr="003D6C51">
        <w:rPr>
          <w:i/>
        </w:rPr>
        <w:t>Summary Report</w:t>
      </w:r>
      <w:r w:rsidR="0066668E">
        <w:rPr>
          <w:iCs/>
        </w:rPr>
        <w:t xml:space="preserve"> (Mein, 2008)</w:t>
      </w:r>
      <w:r>
        <w:t xml:space="preserve"> which analyses </w:t>
      </w:r>
      <w:r w:rsidR="0066668E">
        <w:t xml:space="preserve">the </w:t>
      </w:r>
      <w:r>
        <w:t xml:space="preserve">hydrological modelling of </w:t>
      </w:r>
      <w:r w:rsidR="00F94370">
        <w:t>catchment water yield</w:t>
      </w:r>
      <w:r>
        <w:t xml:space="preserve"> and water quality impacts which had been undertaken.</w:t>
      </w:r>
    </w:p>
    <w:p w14:paraId="5C781642" w14:textId="47140871" w:rsidR="0067065F" w:rsidRDefault="0067065F" w:rsidP="0067065F">
      <w:pPr>
        <w:pStyle w:val="Para0"/>
      </w:pPr>
      <w:r>
        <w:t xml:space="preserve">Hydrology and Risk Consulting (HARC) and the University of Melbourne were engaged by the Bushfire and Natural Hazards Cooperative Research Centre </w:t>
      </w:r>
      <w:r w:rsidR="00440A01">
        <w:t>on 1 October</w:t>
      </w:r>
      <w:r>
        <w:t xml:space="preserve"> 2019 to review </w:t>
      </w:r>
      <w:r w:rsidR="00E80142" w:rsidRPr="00E80142">
        <w:t>WWS2008</w:t>
      </w:r>
      <w:r w:rsidR="00434438">
        <w:t xml:space="preserve"> and its </w:t>
      </w:r>
      <w:r>
        <w:t>supporting reports</w:t>
      </w:r>
      <w:r w:rsidR="00434438">
        <w:t>,</w:t>
      </w:r>
      <w:r>
        <w:t xml:space="preserve"> and relevant reports or data that ha</w:t>
      </w:r>
      <w:r w:rsidR="00434438">
        <w:t>ve</w:t>
      </w:r>
      <w:r w:rsidR="005901F6">
        <w:t xml:space="preserve"> been published since the summary report (Mein, 2008)</w:t>
      </w:r>
      <w:r>
        <w:t xml:space="preserve">. </w:t>
      </w:r>
      <w:r w:rsidR="00434438">
        <w:t xml:space="preserve">Our </w:t>
      </w:r>
      <w:r>
        <w:t>review has consider</w:t>
      </w:r>
      <w:r w:rsidR="00420DE9">
        <w:t>ed</w:t>
      </w:r>
      <w:r>
        <w:t xml:space="preserve"> whether previous modelling of the </w:t>
      </w:r>
      <w:r w:rsidR="002F56F1">
        <w:t xml:space="preserve">catchment </w:t>
      </w:r>
      <w:r>
        <w:t xml:space="preserve">water yield impacts in Melbourne’s catchments remains current in light of: </w:t>
      </w:r>
    </w:p>
    <w:p w14:paraId="05FAC4BC" w14:textId="77777777" w:rsidR="0067065F" w:rsidRDefault="0067065F" w:rsidP="00C95629">
      <w:pPr>
        <w:pStyle w:val="Para0bullet"/>
        <w:numPr>
          <w:ilvl w:val="0"/>
          <w:numId w:val="25"/>
        </w:numPr>
      </w:pPr>
      <w:r>
        <w:t xml:space="preserve">fire, logging and other disturbance events since 2008 </w:t>
      </w:r>
    </w:p>
    <w:p w14:paraId="005A2336" w14:textId="7F3C10E2" w:rsidR="0067065F" w:rsidRDefault="0067065F" w:rsidP="00C95629">
      <w:pPr>
        <w:pStyle w:val="Para0bullet"/>
        <w:numPr>
          <w:ilvl w:val="0"/>
          <w:numId w:val="25"/>
        </w:numPr>
      </w:pPr>
      <w:r>
        <w:t xml:space="preserve">rainfall conditions, including potential climate change impacts on future rainfall </w:t>
      </w:r>
    </w:p>
    <w:p w14:paraId="1D0589F6" w14:textId="77777777" w:rsidR="0067065F" w:rsidRDefault="0067065F" w:rsidP="00C95629">
      <w:pPr>
        <w:pStyle w:val="Para0bullet"/>
        <w:numPr>
          <w:ilvl w:val="0"/>
          <w:numId w:val="25"/>
        </w:numPr>
      </w:pPr>
      <w:r>
        <w:t xml:space="preserve">expected changes to fire behaviour under climate change, taking into consideration the likelihood of more frequent and severe days of extreme fire weather </w:t>
      </w:r>
    </w:p>
    <w:p w14:paraId="788A76CF" w14:textId="2D28988B" w:rsidR="0067065F" w:rsidRDefault="0067065F" w:rsidP="00C95629">
      <w:pPr>
        <w:pStyle w:val="Para0bullet"/>
        <w:numPr>
          <w:ilvl w:val="0"/>
          <w:numId w:val="25"/>
        </w:numPr>
      </w:pPr>
      <w:r>
        <w:t xml:space="preserve">any other factors considered likely to have a material impact on </w:t>
      </w:r>
      <w:r w:rsidR="00F94370">
        <w:t>catchment water yield</w:t>
      </w:r>
      <w:r>
        <w:t xml:space="preserve">. </w:t>
      </w:r>
    </w:p>
    <w:p w14:paraId="72FCE69F" w14:textId="26FF5E2A" w:rsidR="0067065F" w:rsidRDefault="0067065F" w:rsidP="0067065F">
      <w:pPr>
        <w:pStyle w:val="Para0"/>
      </w:pPr>
      <w:r w:rsidRPr="001F60BF">
        <w:t xml:space="preserve">Mein (2008) focussed exclusively on the impact of these factors on </w:t>
      </w:r>
      <w:r w:rsidR="00F94370">
        <w:t>catchment water yield</w:t>
      </w:r>
      <w:r w:rsidRPr="001F60BF">
        <w:t xml:space="preserve"> and excluded any discussion of impacts on water quality. In the context of water supply from Melbourne’s reservoirs, the impact</w:t>
      </w:r>
      <w:r w:rsidR="00434438">
        <w:t>s</w:t>
      </w:r>
      <w:r w:rsidRPr="001F60BF">
        <w:t xml:space="preserve"> of timber harvesting on water quality in the major harvesting reservoirs are likely to be negligible</w:t>
      </w:r>
      <w:r w:rsidR="005B10E0" w:rsidRPr="001F60BF">
        <w:t xml:space="preserve"> if undertaken according to best practice procedures</w:t>
      </w:r>
      <w:r w:rsidR="008C7EAA">
        <w:t xml:space="preserve"> </w:t>
      </w:r>
      <w:r w:rsidR="008C7EAA">
        <w:fldChar w:fldCharType="begin" w:fldLock="1"/>
      </w:r>
      <w:r w:rsidR="007416C7">
        <w:instrText>ADDIN CSL_CITATION {"citationItems":[{"id":"ITEM-1","itemData":{"author":[{"dropping-particle":"","family":"Department of Environment and Primary Industries","given":"","non-dropping-particle":"","parse-names":false,"suffix":""}],"id":"ITEM-1","issued":{"date-parts":[["2014"]]},"number-of-pages":"198","title":"Management Standards and Procedures for timber harvesting operations in Victoria's State Forests 2014","type":"report"},"uris":["http://www.mendeley.com/documents/?uuid=2c8245fc-a6ef-4ade-8144-25bd269bd368"]}],"mendeley":{"formattedCitation":"(Department of Environment and Primary Industries, 2014a)","plainTextFormattedCitation":"(Department of Environment and Primary Industries, 2014a)","previouslyFormattedCitation":"(Department of Environment and Primary Industries, 2014a)"},"properties":{"noteIndex":0},"schema":"https://github.com/citation-style-language/schema/raw/master/csl-citation.json"}</w:instrText>
      </w:r>
      <w:r w:rsidR="008C7EAA">
        <w:fldChar w:fldCharType="separate"/>
      </w:r>
      <w:r w:rsidR="007416C7" w:rsidRPr="007416C7">
        <w:rPr>
          <w:noProof/>
        </w:rPr>
        <w:t>(Department of Environment and Primary Industries, 2014a)</w:t>
      </w:r>
      <w:r w:rsidR="008C7EAA">
        <w:fldChar w:fldCharType="end"/>
      </w:r>
      <w:r w:rsidRPr="001F60BF">
        <w:t>. However</w:t>
      </w:r>
      <w:r w:rsidR="00C95629">
        <w:t>,</w:t>
      </w:r>
      <w:r w:rsidRPr="001F60BF">
        <w:t xml:space="preserve"> </w:t>
      </w:r>
      <w:r w:rsidR="005B10E0" w:rsidRPr="001F60BF">
        <w:t xml:space="preserve">as </w:t>
      </w:r>
      <w:r w:rsidRPr="001F60BF">
        <w:t xml:space="preserve">has been demonstrated in recent </w:t>
      </w:r>
      <w:r w:rsidR="00434438">
        <w:t xml:space="preserve">years </w:t>
      </w:r>
      <w:r w:rsidRPr="001F60BF">
        <w:t xml:space="preserve">(including in early 2019), bushfires can have appreciable impacts on water quality in the reservoirs, which </w:t>
      </w:r>
      <w:r w:rsidR="00434438">
        <w:t xml:space="preserve">will </w:t>
      </w:r>
      <w:r w:rsidRPr="001F60BF">
        <w:t xml:space="preserve">influence </w:t>
      </w:r>
      <w:r w:rsidR="00E9183C">
        <w:t xml:space="preserve">water supply management for </w:t>
      </w:r>
      <w:r w:rsidRPr="001F60BF">
        <w:t>Melbourne.</w:t>
      </w:r>
      <w:r w:rsidR="000D266A">
        <w:t xml:space="preserve"> This review has therefore focussed on water yield from Melbourne’s catchments, without specific commentary on water quality.</w:t>
      </w:r>
    </w:p>
    <w:p w14:paraId="09AC5C56" w14:textId="71EC5629" w:rsidR="00166BA6" w:rsidRDefault="002D4869" w:rsidP="00133140">
      <w:pPr>
        <w:pStyle w:val="Para0"/>
      </w:pPr>
      <w:r>
        <w:t>A copy of the call for Expressions of Interest for this review, which formed the project brief, is provided in</w:t>
      </w:r>
      <w:r w:rsidR="00293829">
        <w:t xml:space="preserve"> </w:t>
      </w:r>
      <w:r w:rsidR="00293829">
        <w:fldChar w:fldCharType="begin"/>
      </w:r>
      <w:r w:rsidR="00293829">
        <w:instrText xml:space="preserve"> REF _Ref24482703 \r \h </w:instrText>
      </w:r>
      <w:r w:rsidR="00293829">
        <w:fldChar w:fldCharType="separate"/>
      </w:r>
      <w:r w:rsidR="00062E08">
        <w:t>Appendix B</w:t>
      </w:r>
      <w:r w:rsidR="00293829">
        <w:fldChar w:fldCharType="end"/>
      </w:r>
      <w:r>
        <w:t xml:space="preserve">. </w:t>
      </w:r>
      <w:r w:rsidR="0067065F">
        <w:t xml:space="preserve">The review has drawn upon existing published research on bushfires, water yield and water quality in forested catchments of Victoria and other parts of Australia. </w:t>
      </w:r>
      <w:r w:rsidR="00070D61">
        <w:t xml:space="preserve">The review was </w:t>
      </w:r>
      <w:r w:rsidR="005B10E0">
        <w:t xml:space="preserve">undertaken </w:t>
      </w:r>
      <w:r w:rsidR="0067065F">
        <w:t xml:space="preserve">over a </w:t>
      </w:r>
      <w:r w:rsidR="00070D61">
        <w:t>two</w:t>
      </w:r>
      <w:r w:rsidR="00085C21">
        <w:t>-</w:t>
      </w:r>
      <w:r w:rsidR="00070D61">
        <w:t>month</w:t>
      </w:r>
      <w:r w:rsidR="005B10E0">
        <w:t xml:space="preserve"> period and the timeframe did not allow</w:t>
      </w:r>
      <w:r>
        <w:t xml:space="preserve"> new modelling to be undertaken</w:t>
      </w:r>
      <w:r w:rsidR="0067065F">
        <w:t>. Instead, the project team has relied upon research, analyses and modelling that ha</w:t>
      </w:r>
      <w:r w:rsidR="00434438">
        <w:t>ve</w:t>
      </w:r>
      <w:r w:rsidR="0067065F">
        <w:t xml:space="preserve"> been completed and </w:t>
      </w:r>
      <w:r w:rsidR="00434438">
        <w:t xml:space="preserve">are </w:t>
      </w:r>
      <w:r w:rsidR="0067065F">
        <w:t>available to the project team, up to September 2019.</w:t>
      </w:r>
      <w:r w:rsidR="00133140">
        <w:t xml:space="preserve"> The scope of this review of WWS2008 is confined to </w:t>
      </w:r>
      <w:r w:rsidR="0038507E">
        <w:t xml:space="preserve">specific technical aspects of </w:t>
      </w:r>
      <w:r w:rsidR="00133140">
        <w:t xml:space="preserve">the </w:t>
      </w:r>
      <w:r w:rsidR="00F94370">
        <w:t>catchment water yield</w:t>
      </w:r>
      <w:r w:rsidR="0038507E">
        <w:t xml:space="preserve"> from Melbourne’s water catchment</w:t>
      </w:r>
      <w:r w:rsidR="00F52BB4">
        <w:t>s</w:t>
      </w:r>
      <w:r w:rsidR="0038507E">
        <w:t>, in</w:t>
      </w:r>
      <w:r w:rsidR="00F52BB4">
        <w:t xml:space="preserve"> </w:t>
      </w:r>
      <w:r w:rsidR="00133140">
        <w:t xml:space="preserve">the </w:t>
      </w:r>
      <w:r w:rsidR="00C95629">
        <w:t>trade-off</w:t>
      </w:r>
      <w:r w:rsidR="00133140">
        <w:t xml:space="preserve"> between wood and water. Review of the timber yield component of WWS2008 was outside the scope of this review report (see</w:t>
      </w:r>
      <w:r w:rsidR="00293829">
        <w:t xml:space="preserve"> </w:t>
      </w:r>
      <w:r w:rsidR="00293829">
        <w:fldChar w:fldCharType="begin"/>
      </w:r>
      <w:r w:rsidR="00293829">
        <w:instrText xml:space="preserve"> REF _Ref24482718 \r \h </w:instrText>
      </w:r>
      <w:r w:rsidR="00293829">
        <w:fldChar w:fldCharType="separate"/>
      </w:r>
      <w:r w:rsidR="00062E08">
        <w:t>Appendix B</w:t>
      </w:r>
      <w:r w:rsidR="00293829">
        <w:fldChar w:fldCharType="end"/>
      </w:r>
      <w:r w:rsidR="00133140">
        <w:t>).</w:t>
      </w:r>
    </w:p>
    <w:p w14:paraId="6DD4681D" w14:textId="77777777" w:rsidR="00E53D56" w:rsidRDefault="00E53D56" w:rsidP="0067065F">
      <w:pPr>
        <w:pStyle w:val="Para0"/>
      </w:pPr>
    </w:p>
    <w:p w14:paraId="10C8278D" w14:textId="11390836" w:rsidR="00E53D56" w:rsidRDefault="00BE6DF5" w:rsidP="00BE6DF5">
      <w:pPr>
        <w:pStyle w:val="Heading2"/>
      </w:pPr>
      <w:bookmarkStart w:id="4" w:name="_Toc36033075"/>
      <w:r>
        <w:lastRenderedPageBreak/>
        <w:t xml:space="preserve">Policy </w:t>
      </w:r>
      <w:r w:rsidR="00F52BB4">
        <w:t>c</w:t>
      </w:r>
      <w:r>
        <w:t>ontext</w:t>
      </w:r>
      <w:bookmarkEnd w:id="4"/>
    </w:p>
    <w:p w14:paraId="6A08A2D1" w14:textId="6C92A833" w:rsidR="0067065F" w:rsidRDefault="0067065F" w:rsidP="0067065F">
      <w:pPr>
        <w:pStyle w:val="Para0"/>
      </w:pPr>
      <w:r>
        <w:t xml:space="preserve">Regional Forest Agreements (RFAs) are 20-year plans, each agreed between the Australian Government and a state government, for the productive use and conservation of Australia’s native forests. They are a key outcome of the National Forest Policy Statement </w:t>
      </w:r>
      <w:r w:rsidR="00544257">
        <w:fldChar w:fldCharType="begin" w:fldLock="1"/>
      </w:r>
      <w:r w:rsidR="00540694">
        <w:instrText>ADDIN CSL_CITATION {"citationItems":[{"id":"ITEM-1","itemData":{"author":[{"dropping-particle":"","family":"Commonwealth of Australia","given":"","non-dropping-particle":"","parse-names":false,"suffix":""}],"id":"ITEM-1","issued":{"date-parts":[["1992"]]},"title":"National Forest Policy Statement, A new focus for Australia's forests (First Edition)","type":"report"},"uris":["http://www.mendeley.com/documents/?uuid=e2277ad1-0d4b-4015-a4f8-64e03c9cfc3d"]},{"id":"ITEM-2","itemData":{"author":[{"dropping-particle":"","family":"Commonwealth of Australia","given":"","non-dropping-particle":"","parse-names":false,"suffix":""}],"id":"ITEM-2","issued":{"date-parts":[["1995"]]},"title":"National Forest Policy Statement, A new focus for Australia's forests (Second Edition)","type":"report"},"uris":["http://www.mendeley.com/documents/?uuid=3e1e66dd-e2ad-4536-9fa4-a5c917835c43"]}],"mendeley":{"formattedCitation":"(Commonwealth of Australia, 1992, 1995)","plainTextFormattedCitation":"(Commonwealth of Australia, 1992, 1995)","previouslyFormattedCitation":"(Commonwealth of Australia, 1992, 1995)"},"properties":{"noteIndex":0},"schema":"https://github.com/citation-style-language/schema/raw/master/csl-citation.json"}</w:instrText>
      </w:r>
      <w:r w:rsidR="00544257">
        <w:fldChar w:fldCharType="separate"/>
      </w:r>
      <w:r w:rsidR="00544257" w:rsidRPr="00544257">
        <w:rPr>
          <w:noProof/>
        </w:rPr>
        <w:t>(Commonwealth of Australia, 1992, 1995)</w:t>
      </w:r>
      <w:r w:rsidR="00544257">
        <w:fldChar w:fldCharType="end"/>
      </w:r>
      <w:r>
        <w:t xml:space="preserve"> through which the Australian, state and territory governments committed to the sustainable management of all Australian forests, whether the forest is on public or private land, or reserved or available for timber production </w:t>
      </w:r>
      <w:r>
        <w:fldChar w:fldCharType="begin" w:fldLock="1"/>
      </w:r>
      <w:r>
        <w:instrText>ADDIN CSL_CITATION {"citationItems":[{"id":"ITEM-1","itemData":{"ISBN":"9781760030933","author":[{"dropping-particle":"","family":"Australian Government Department of Agriculture","given":"","non-dropping-particle":"","parse-names":false,"suffix":""}],"id":"ITEM-1","issued":{"date-parts":[["2015"]]},"title":"Regional Forest Agreements – an overview and history","type":"report"},"uris":["http://www.mendeley.com/documents/?uuid=f24711fe-a7fd-4920-9328-a1b5fdefb2bb"]}],"mendeley":{"formattedCitation":"(Australian Government Department of Agriculture, 2015)","plainTextFormattedCitation":"(Australian Government Department of Agriculture, 2015)","previouslyFormattedCitation":"(Australian Government Department of Agriculture, 2015)"},"properties":{"noteIndex":0},"schema":"https://github.com/citation-style-language/schema/raw/master/csl-citation.json"}</w:instrText>
      </w:r>
      <w:r>
        <w:fldChar w:fldCharType="separate"/>
      </w:r>
      <w:r w:rsidRPr="00237CA1">
        <w:rPr>
          <w:noProof/>
        </w:rPr>
        <w:t>(Australian Government Department of Agriculture, 2015)</w:t>
      </w:r>
      <w:r>
        <w:fldChar w:fldCharType="end"/>
      </w:r>
      <w:r>
        <w:t>.</w:t>
      </w:r>
    </w:p>
    <w:p w14:paraId="60EBB143" w14:textId="77777777" w:rsidR="00EA2704" w:rsidRDefault="00EA2704" w:rsidP="00EA2704">
      <w:pPr>
        <w:pStyle w:val="Para0"/>
      </w:pPr>
      <w:r>
        <w:t>The main objectives of the Victorian RFAs are to provide for:</w:t>
      </w:r>
    </w:p>
    <w:p w14:paraId="4CFC4F86" w14:textId="30DF86C7" w:rsidR="00EA2704" w:rsidRDefault="00EA2704" w:rsidP="00C95629">
      <w:pPr>
        <w:pStyle w:val="Para0bullet"/>
        <w:numPr>
          <w:ilvl w:val="0"/>
          <w:numId w:val="16"/>
        </w:numPr>
      </w:pPr>
      <w:r>
        <w:t>a comprehensive, adequate and representative (CAR) reserve system</w:t>
      </w:r>
      <w:r w:rsidR="00434438">
        <w:t>,</w:t>
      </w:r>
    </w:p>
    <w:p w14:paraId="0683AF02" w14:textId="77777777" w:rsidR="00EA2704" w:rsidRDefault="00EA2704" w:rsidP="00C95629">
      <w:pPr>
        <w:pStyle w:val="Para0bullet"/>
        <w:numPr>
          <w:ilvl w:val="0"/>
          <w:numId w:val="16"/>
        </w:numPr>
      </w:pPr>
      <w:r>
        <w:t>the ecologically sustainable management and use of forested areas in each RFA region, and</w:t>
      </w:r>
    </w:p>
    <w:p w14:paraId="04DDA5B7" w14:textId="77777777" w:rsidR="00EA2704" w:rsidRDefault="00EA2704" w:rsidP="00C95629">
      <w:pPr>
        <w:pStyle w:val="Para0bullet"/>
        <w:numPr>
          <w:ilvl w:val="0"/>
          <w:numId w:val="16"/>
        </w:numPr>
      </w:pPr>
      <w:r>
        <w:t>the long-term stability of forests and forest industries.</w:t>
      </w:r>
    </w:p>
    <w:p w14:paraId="462B039E" w14:textId="2B7782EF" w:rsidR="00EA2704" w:rsidRDefault="00EA2704" w:rsidP="00EA2704">
      <w:pPr>
        <w:pStyle w:val="Para0"/>
      </w:pPr>
      <w:r>
        <w:t xml:space="preserve">The agreements are entered into </w:t>
      </w:r>
      <w:r w:rsidR="00446F4A">
        <w:t xml:space="preserve">after making a region-specific </w:t>
      </w:r>
      <w:r>
        <w:t>assessment of forest values, which includes:</w:t>
      </w:r>
    </w:p>
    <w:p w14:paraId="7B36AFB1" w14:textId="6CE65863" w:rsidR="00EA2704" w:rsidRDefault="00EA2704" w:rsidP="00F806F8">
      <w:pPr>
        <w:pStyle w:val="Para0bullet"/>
        <w:numPr>
          <w:ilvl w:val="0"/>
          <w:numId w:val="16"/>
        </w:numPr>
      </w:pPr>
      <w:r>
        <w:t>environmental values (including old growth, wilderness, endangered species, national estate values and world heritage values)</w:t>
      </w:r>
      <w:r w:rsidR="000B612E">
        <w:t>,</w:t>
      </w:r>
    </w:p>
    <w:p w14:paraId="7BFF1DB2" w14:textId="5BD9B3A4" w:rsidR="00EA2704" w:rsidRDefault="00EA2704" w:rsidP="00F806F8">
      <w:pPr>
        <w:pStyle w:val="Para0bullet"/>
        <w:numPr>
          <w:ilvl w:val="0"/>
          <w:numId w:val="16"/>
        </w:numPr>
      </w:pPr>
      <w:r>
        <w:t>aboriginal cultural values</w:t>
      </w:r>
      <w:r w:rsidR="000B612E">
        <w:t>,</w:t>
      </w:r>
    </w:p>
    <w:p w14:paraId="0523345F" w14:textId="49CD8726" w:rsidR="00EA2704" w:rsidRDefault="00EA2704" w:rsidP="00F806F8">
      <w:pPr>
        <w:pStyle w:val="Para0bullet"/>
        <w:numPr>
          <w:ilvl w:val="0"/>
          <w:numId w:val="16"/>
        </w:numPr>
      </w:pPr>
      <w:r>
        <w:t>economic values of forested areas and forest industries</w:t>
      </w:r>
      <w:r w:rsidR="000B612E">
        <w:t>,</w:t>
      </w:r>
    </w:p>
    <w:p w14:paraId="329CD9FC" w14:textId="77777777" w:rsidR="00EA2704" w:rsidRDefault="00EA2704" w:rsidP="00F806F8">
      <w:pPr>
        <w:pStyle w:val="Para0bullet"/>
        <w:numPr>
          <w:ilvl w:val="0"/>
          <w:numId w:val="16"/>
        </w:numPr>
      </w:pPr>
      <w:r>
        <w:t>social values (including community needs), and</w:t>
      </w:r>
    </w:p>
    <w:p w14:paraId="4663583C" w14:textId="77777777" w:rsidR="00EA2704" w:rsidRDefault="00EA2704" w:rsidP="00F806F8">
      <w:pPr>
        <w:pStyle w:val="Para0bullet"/>
        <w:numPr>
          <w:ilvl w:val="0"/>
          <w:numId w:val="16"/>
        </w:numPr>
      </w:pPr>
      <w:r>
        <w:t xml:space="preserve">principles of ecologically sustainable development.  </w:t>
      </w:r>
    </w:p>
    <w:p w14:paraId="7FC229EB" w14:textId="77777777" w:rsidR="0056107B" w:rsidRDefault="00EA2704" w:rsidP="00EA2704">
      <w:pPr>
        <w:pStyle w:val="Para0"/>
      </w:pPr>
      <w:r>
        <w:t xml:space="preserve">Between 1997 and 2001, Victoria and the Commonwealth of Australia entered into five RFAs: East Gippsland, Central Highlands, North East, Gippsland and West Victoria. All five RFAs are due to expire on 31 March 2020. On 27 March 2018, Victoria and the Commonwealth signed a Memorandum of Understanding (MoU) that, </w:t>
      </w:r>
    </w:p>
    <w:p w14:paraId="3E51382E" w14:textId="30DBD529" w:rsidR="00EA2704" w:rsidRDefault="00EA2704" w:rsidP="00544DCE">
      <w:pPr>
        <w:pStyle w:val="Para0"/>
        <w:spacing w:before="60"/>
        <w:ind w:left="709"/>
      </w:pPr>
      <w:r w:rsidRPr="00544DCE">
        <w:rPr>
          <w:i/>
          <w:iCs/>
        </w:rPr>
        <w:t>set out actions to be undertaken by the Australian and Victorian governments to ensure that long term extensions and updates to the Victorian RFA framework can be undertaken by 31 March 2020</w:t>
      </w:r>
      <w:r w:rsidR="002820AE">
        <w:t>.</w:t>
      </w:r>
    </w:p>
    <w:p w14:paraId="57F91EF6" w14:textId="77777777" w:rsidR="001653B6" w:rsidRDefault="00EA2704" w:rsidP="00EA2704">
      <w:pPr>
        <w:pStyle w:val="Para0"/>
      </w:pPr>
      <w:r>
        <w:t xml:space="preserve">The MoU committed Victoria and the Commonwealth to work toward 20-year extensions to the RFAs, which come into effect from March 2020. The extensions should have regard to the outcomes of further assessments, consistent with the </w:t>
      </w:r>
      <w:r w:rsidRPr="002A792F">
        <w:rPr>
          <w:i/>
          <w:iCs/>
        </w:rPr>
        <w:t>Regional Forest Agreements Act 2002</w:t>
      </w:r>
      <w:r>
        <w:t>, and the engagement process that was set out in the MoU. In the MoU, the Victorian and Commonwealth governments</w:t>
      </w:r>
      <w:r w:rsidR="001653B6">
        <w:t>,</w:t>
      </w:r>
      <w:r>
        <w:t xml:space="preserve"> </w:t>
      </w:r>
    </w:p>
    <w:p w14:paraId="7C027EC3" w14:textId="54541B5A" w:rsidR="00EA2704" w:rsidRDefault="00EA2704" w:rsidP="00544DCE">
      <w:pPr>
        <w:pStyle w:val="Para0"/>
        <w:spacing w:before="60"/>
        <w:ind w:left="709"/>
      </w:pPr>
      <w:r w:rsidRPr="00544DCE">
        <w:rPr>
          <w:i/>
          <w:iCs/>
        </w:rPr>
        <w:t xml:space="preserve">acknowledge the impact of climate change, extreme weather events (including drought and bushfires), scientific and technological progress, advances in our understanding of forests and ecosystems, the changing forest-based industries and opportunities, and the </w:t>
      </w:r>
      <w:r w:rsidRPr="00544DCE">
        <w:rPr>
          <w:i/>
          <w:iCs/>
        </w:rPr>
        <w:lastRenderedPageBreak/>
        <w:t>recognition of the rights of Victoria’s traditional owners to partner in land management and seek economic and cultural opportunities</w:t>
      </w:r>
      <w:r w:rsidR="00693A02">
        <w:t>.</w:t>
      </w:r>
    </w:p>
    <w:p w14:paraId="540B78C4" w14:textId="299A6E18" w:rsidR="00EA2704" w:rsidRDefault="00693A02" w:rsidP="00EA2704">
      <w:pPr>
        <w:pStyle w:val="Para0"/>
      </w:pPr>
      <w:r>
        <w:t>The Dep</w:t>
      </w:r>
      <w:r w:rsidR="00472AE0">
        <w:t>artmen</w:t>
      </w:r>
      <w:r>
        <w:t>t of Environment, Land, Water &amp; Planning (</w:t>
      </w:r>
      <w:r w:rsidR="00EA2704">
        <w:t>DELWP</w:t>
      </w:r>
      <w:r>
        <w:t>)</w:t>
      </w:r>
      <w:r w:rsidR="00EA2704">
        <w:t xml:space="preserve"> ha</w:t>
      </w:r>
      <w:r>
        <w:t>s</w:t>
      </w:r>
      <w:r w:rsidR="00EA2704">
        <w:t xml:space="preserve"> appointed a Scientific Advisory Panel to provide independent science-based advice and recommendations on improvements to Victoria’s RFA</w:t>
      </w:r>
      <w:r w:rsidR="00472AE0">
        <w:t>s</w:t>
      </w:r>
      <w:r w:rsidR="00EA2704">
        <w:t xml:space="preserve"> and the forest management system.</w:t>
      </w:r>
    </w:p>
    <w:p w14:paraId="2E09C0F4" w14:textId="1D485F0B" w:rsidR="00216C5E" w:rsidRDefault="00216C5E" w:rsidP="00A96837">
      <w:pPr>
        <w:pStyle w:val="Para0"/>
      </w:pPr>
      <w:r>
        <w:t>On 7 November 2019, the Victorian Government announced a plan to immediately cease all</w:t>
      </w:r>
      <w:r w:rsidR="000229C5">
        <w:t xml:space="preserve"> log</w:t>
      </w:r>
      <w:r>
        <w:t>ging in old growth forests, with all logging in native forests across the state to stop by 2030</w:t>
      </w:r>
      <w:r w:rsidR="00023CF8">
        <w:t xml:space="preserve"> </w:t>
      </w:r>
      <w:r w:rsidR="00023CF8">
        <w:fldChar w:fldCharType="begin" w:fldLock="1"/>
      </w:r>
      <w:r w:rsidR="00544257">
        <w:instrText>ADDIN CSL_CITATION {"citationItems":[{"id":"ITEM-1","itemData":{"author":[{"dropping-particle":"","family":"Andrews","given":"Daniel","non-dropping-particle":"","parse-names":false,"suffix":""}],"id":"ITEM-1","issued":{"date-parts":[["2019"]]},"title":"Securing the future for forestry industry workers (Press release)","type":"article"},"uris":["http://www.mendeley.com/documents/?uuid=d27a89e8-e249-4198-8768-b9d8b155ca1c"]},{"id":"ITEM-2","itemData":{"author":[{"dropping-particle":"","family":"D'Ambrosio","given":"Lily","non-dropping-particle":"","parse-names":false,"suffix":""}],"id":"ITEM-2","issued":{"date-parts":[["2019"]]},"title":"Protecting Victoria's forests and threatened species (Press release)","type":"article"},"uris":["http://www.mendeley.com/documents/?uuid=d8fed0be-f7af-424d-843d-c815b28896e4"]}],"mendeley":{"formattedCitation":"(Andrews, 2019; D’Ambrosio, 2019)","plainTextFormattedCitation":"(Andrews, 2019; D’Ambrosio, 2019)","previouslyFormattedCitation":"(Andrews, 2019; D’Ambrosio, 2019)"},"properties":{"noteIndex":0},"schema":"https://github.com/citation-style-language/schema/raw/master/csl-citation.json"}</w:instrText>
      </w:r>
      <w:r w:rsidR="00023CF8">
        <w:fldChar w:fldCharType="separate"/>
      </w:r>
      <w:r w:rsidR="007416C7" w:rsidRPr="007416C7">
        <w:rPr>
          <w:noProof/>
        </w:rPr>
        <w:t>(Andrews, 2019; D’Ambrosio, 2019)</w:t>
      </w:r>
      <w:r w:rsidR="00023CF8">
        <w:fldChar w:fldCharType="end"/>
      </w:r>
      <w:r>
        <w:t>.</w:t>
      </w:r>
    </w:p>
    <w:p w14:paraId="7AE5E081" w14:textId="2A2474D3" w:rsidR="00F17EC5" w:rsidRDefault="00F17EC5" w:rsidP="00F17EC5">
      <w:pPr>
        <w:pStyle w:val="Heading2"/>
      </w:pPr>
      <w:bookmarkStart w:id="5" w:name="_Toc36033076"/>
      <w:r>
        <w:t>Structure of this report</w:t>
      </w:r>
      <w:bookmarkEnd w:id="5"/>
    </w:p>
    <w:p w14:paraId="22AFB359" w14:textId="5F79B472" w:rsidR="000C2EB7" w:rsidRDefault="000C2EB7" w:rsidP="000C2EB7">
      <w:pPr>
        <w:pStyle w:val="Para0"/>
      </w:pPr>
      <w:r>
        <w:t xml:space="preserve">The structure of this report is as follows. Chapter </w:t>
      </w:r>
      <w:r>
        <w:fldChar w:fldCharType="begin"/>
      </w:r>
      <w:r>
        <w:instrText xml:space="preserve"> REF _Ref24443096 \r \h </w:instrText>
      </w:r>
      <w:r>
        <w:fldChar w:fldCharType="separate"/>
      </w:r>
      <w:r w:rsidR="00062E08">
        <w:t>2</w:t>
      </w:r>
      <w:r>
        <w:fldChar w:fldCharType="end"/>
      </w:r>
      <w:r>
        <w:t xml:space="preserve"> is a brief summary of Melbourne’s water supply system and the contribution</w:t>
      </w:r>
      <w:r w:rsidR="00DF3ECE">
        <w:t>s</w:t>
      </w:r>
      <w:r>
        <w:t xml:space="preserve"> of the forested catchments to Melbourne’s water supply. Chapter </w:t>
      </w:r>
      <w:r>
        <w:fldChar w:fldCharType="begin"/>
      </w:r>
      <w:r>
        <w:instrText xml:space="preserve"> REF _Ref24469605 \r \h </w:instrText>
      </w:r>
      <w:r>
        <w:fldChar w:fldCharType="separate"/>
      </w:r>
      <w:r w:rsidR="00062E08">
        <w:t>3</w:t>
      </w:r>
      <w:r>
        <w:fldChar w:fldCharType="end"/>
      </w:r>
      <w:r>
        <w:t xml:space="preserve"> provides an overview of the methods and findings </w:t>
      </w:r>
      <w:r w:rsidR="00DF3ECE">
        <w:t xml:space="preserve">of </w:t>
      </w:r>
      <w:r>
        <w:t>WWS2008</w:t>
      </w:r>
      <w:r w:rsidR="00753E5E">
        <w:t>.</w:t>
      </w:r>
      <w:r>
        <w:t xml:space="preserve"> Chapter </w:t>
      </w:r>
      <w:r>
        <w:fldChar w:fldCharType="begin"/>
      </w:r>
      <w:r>
        <w:instrText xml:space="preserve"> REF _Ref24469717 \r \h </w:instrText>
      </w:r>
      <w:r>
        <w:fldChar w:fldCharType="separate"/>
      </w:r>
      <w:r w:rsidR="00062E08">
        <w:t>4</w:t>
      </w:r>
      <w:r>
        <w:fldChar w:fldCharType="end"/>
      </w:r>
      <w:r>
        <w:t xml:space="preserve"> considers relevant new information that ha</w:t>
      </w:r>
      <w:r w:rsidR="00DF3ECE">
        <w:t>s</w:t>
      </w:r>
      <w:r>
        <w:t xml:space="preserve"> arisen since WWS2008 and whether each of </w:t>
      </w:r>
      <w:r w:rsidR="00846769">
        <w:t>the</w:t>
      </w:r>
      <w:r>
        <w:t xml:space="preserve"> recommendations</w:t>
      </w:r>
      <w:r w:rsidR="00846769">
        <w:t xml:space="preserve"> in the WWS2008 reports</w:t>
      </w:r>
      <w:r>
        <w:t xml:space="preserve"> remain</w:t>
      </w:r>
      <w:r w:rsidR="00DF3ECE">
        <w:t>s</w:t>
      </w:r>
      <w:r>
        <w:t xml:space="preserve"> relevant, </w:t>
      </w:r>
      <w:r w:rsidR="00846769">
        <w:t>has</w:t>
      </w:r>
      <w:r>
        <w:t xml:space="preserve"> been resolved</w:t>
      </w:r>
      <w:r w:rsidR="008A248B">
        <w:t>,</w:t>
      </w:r>
      <w:r>
        <w:t xml:space="preserve"> or should be addressed in future. Chapter</w:t>
      </w:r>
      <w:r w:rsidR="00D00997">
        <w:t> </w:t>
      </w:r>
      <w:r>
        <w:fldChar w:fldCharType="begin"/>
      </w:r>
      <w:r>
        <w:instrText xml:space="preserve"> REF _Ref24469995 \r \h </w:instrText>
      </w:r>
      <w:r>
        <w:fldChar w:fldCharType="separate"/>
      </w:r>
      <w:r w:rsidR="00062E08">
        <w:t>5</w:t>
      </w:r>
      <w:r>
        <w:fldChar w:fldCharType="end"/>
      </w:r>
      <w:r>
        <w:t xml:space="preserve"> </w:t>
      </w:r>
      <w:r w:rsidR="00DF3ECE">
        <w:t xml:space="preserve">discusses </w:t>
      </w:r>
      <w:r>
        <w:t xml:space="preserve">other relevant issues that have emerged since WWS2008. Chapter </w:t>
      </w:r>
      <w:r>
        <w:fldChar w:fldCharType="begin"/>
      </w:r>
      <w:r>
        <w:instrText xml:space="preserve"> REF _Ref24470039 \r \h </w:instrText>
      </w:r>
      <w:r>
        <w:fldChar w:fldCharType="separate"/>
      </w:r>
      <w:r w:rsidR="00062E08">
        <w:t>6</w:t>
      </w:r>
      <w:r>
        <w:fldChar w:fldCharType="end"/>
      </w:r>
      <w:r>
        <w:t xml:space="preserve"> summarises conclusions and provides recommendations.</w:t>
      </w:r>
    </w:p>
    <w:p w14:paraId="60B9B9A6" w14:textId="77777777" w:rsidR="006C1BB0" w:rsidRDefault="006C1BB0" w:rsidP="00190D36">
      <w:pPr>
        <w:pStyle w:val="Para0"/>
      </w:pPr>
    </w:p>
    <w:p w14:paraId="5013F18A" w14:textId="75AFFE82" w:rsidR="006C1BB0" w:rsidRDefault="006C1BB0" w:rsidP="006C1BB0">
      <w:pPr>
        <w:pStyle w:val="Heading1"/>
      </w:pPr>
      <w:bookmarkStart w:id="6" w:name="_Ref24443096"/>
      <w:bookmarkStart w:id="7" w:name="_Toc36033077"/>
      <w:r>
        <w:lastRenderedPageBreak/>
        <w:t xml:space="preserve">Drivers of </w:t>
      </w:r>
      <w:r w:rsidR="00A02427">
        <w:t xml:space="preserve">water yield </w:t>
      </w:r>
      <w:r>
        <w:t>in</w:t>
      </w:r>
      <w:r w:rsidR="00F2364D">
        <w:t xml:space="preserve"> Melbourne’s</w:t>
      </w:r>
      <w:r>
        <w:t xml:space="preserve"> forested catchments</w:t>
      </w:r>
      <w:bookmarkEnd w:id="6"/>
      <w:bookmarkEnd w:id="7"/>
    </w:p>
    <w:p w14:paraId="0966FDEA" w14:textId="77EFF83F" w:rsidR="00F2364D" w:rsidRDefault="00F2364D" w:rsidP="00F2364D">
      <w:pPr>
        <w:pStyle w:val="Para0"/>
      </w:pPr>
      <w:r>
        <w:t xml:space="preserve">Melbourne’s </w:t>
      </w:r>
      <w:r w:rsidR="00394C19">
        <w:t>w</w:t>
      </w:r>
      <w:r>
        <w:t xml:space="preserve">ater supply system consists of 1,567 km² of catchments and </w:t>
      </w:r>
      <w:r w:rsidR="00DA129D">
        <w:t>eleven</w:t>
      </w:r>
      <w:r>
        <w:t xml:space="preserve"> storage reservoirs</w:t>
      </w:r>
      <w:r w:rsidR="00DA129D">
        <w:t xml:space="preserve">, as shown in </w:t>
      </w:r>
      <w:r w:rsidR="00A66E96">
        <w:fldChar w:fldCharType="begin"/>
      </w:r>
      <w:r w:rsidR="00A66E96">
        <w:instrText xml:space="preserve"> REF _Ref24645878 \h </w:instrText>
      </w:r>
      <w:r w:rsidR="00A66E96">
        <w:fldChar w:fldCharType="separate"/>
      </w:r>
      <w:r w:rsidR="00062E08">
        <w:t xml:space="preserve">Figure </w:t>
      </w:r>
      <w:r w:rsidR="00062E08">
        <w:rPr>
          <w:noProof/>
        </w:rPr>
        <w:t>1</w:t>
      </w:r>
      <w:r w:rsidR="00A66E96">
        <w:fldChar w:fldCharType="end"/>
      </w:r>
      <w:r>
        <w:t xml:space="preserve">. Most of the inflows are collected from catchment runoff into four of the </w:t>
      </w:r>
      <w:r w:rsidR="00394C19">
        <w:t>reservoirs</w:t>
      </w:r>
      <w:r>
        <w:t>: Thomson, Upper Yarra, Maroondah and O’Shannassy.</w:t>
      </w:r>
    </w:p>
    <w:p w14:paraId="40FCEDBC" w14:textId="2335E15B" w:rsidR="0020756E" w:rsidRDefault="0012311E" w:rsidP="00DA129D">
      <w:pPr>
        <w:pStyle w:val="Para0"/>
        <w:spacing w:after="120"/>
      </w:pPr>
      <w:r w:rsidRPr="00223A9E">
        <w:t>Water in Melbourne Water</w:t>
      </w:r>
      <w:r w:rsidR="00394C19">
        <w:t>’</w:t>
      </w:r>
      <w:r w:rsidRPr="00223A9E">
        <w:t>s headworks storages is used to manage inflow deficits dur</w:t>
      </w:r>
      <w:r>
        <w:t xml:space="preserve">ing periods of lower rainfall. </w:t>
      </w:r>
      <w:r w:rsidRPr="00DE29C5">
        <w:t>Environmental flows can be released from the Upper Yarra, Maroondah and O’Shannassy reservoirs to support ecological processes and environmental outcomes in downstream river reaches and wetlands.</w:t>
      </w:r>
      <w:r>
        <w:t xml:space="preserve"> The priority environmental flow reaches for the Yarra River are reach 2 (from Armstrong Creek to Millgrove) and reach 5 (from Yerring Gorge to Mullum Creek) </w:t>
      </w:r>
      <w:r>
        <w:fldChar w:fldCharType="begin" w:fldLock="1"/>
      </w:r>
      <w:r w:rsidR="0017262C">
        <w:instrText>ADDIN CSL_CITATION {"citationItems":[{"id":"ITEM-1","itemData":{"URL":"http://www.vewh.vic.gov.au/rivers-and-wetlands/central-region/yarra-river","author":[{"dropping-particle":"","family":"Victorian Environmental Water Holder","given":"","non-dropping-particle":"","parse-names":false,"suffix":""}],"id":"ITEM-1","issued":{"date-parts":[["2019"]]},"title":"Yarra system","type":"webpage"},"uris":["http://www.mendeley.com/documents/?uuid=b495a4a8-d379-4263-b72b-df8a418910fb","http://www.mendeley.com/documents/?uuid=1646ff2f-8d8e-4a9b-a424-534870c6e407"]}],"mendeley":{"formattedCitation":"(Victorian Environmental Water Holder, 2019)","plainTextFormattedCitation":"(Victorian Environmental Water Holder, 2019)","previouslyFormattedCitation":"(Victorian Environmental Water Holder, 2019)"},"properties":{"noteIndex":0},"schema":"https://github.com/citation-style-language/schema/raw/master/csl-citation.json"}</w:instrText>
      </w:r>
      <w:r>
        <w:fldChar w:fldCharType="separate"/>
      </w:r>
      <w:r w:rsidRPr="00E96D9A">
        <w:rPr>
          <w:noProof/>
        </w:rPr>
        <w:t>(Victorian Environmental Water Holder, 2019)</w:t>
      </w:r>
      <w:r>
        <w:fldChar w:fldCharType="end"/>
      </w:r>
      <w:r>
        <w:t xml:space="preserve">. Reductions in </w:t>
      </w:r>
      <w:r w:rsidR="0053133D">
        <w:t xml:space="preserve">unregulated flows </w:t>
      </w:r>
      <w:r>
        <w:t>from the Yarra tributaries, upstream of Yerring Gorge, may therefore need to be offset by releases from the storage reservoirs, upstream.</w:t>
      </w:r>
      <w:r w:rsidR="0053133D">
        <w:t xml:space="preserve"> Reductions in catchment water yield in the Thomson catchment reduce water availab</w:t>
      </w:r>
      <w:r w:rsidR="00D66F97">
        <w:t>le</w:t>
      </w:r>
      <w:r w:rsidR="0053133D">
        <w:t xml:space="preserve"> for allocation to urban, environmental and irrigations users.</w:t>
      </w:r>
      <w:r w:rsidR="0020756E">
        <w:br/>
      </w:r>
    </w:p>
    <w:p w14:paraId="6B20455A" w14:textId="33FF90B1" w:rsidR="00DA129D" w:rsidRDefault="0020756E" w:rsidP="00DA129D">
      <w:pPr>
        <w:pStyle w:val="Caption"/>
        <w:keepNext w:val="0"/>
        <w:spacing w:before="0"/>
      </w:pPr>
      <w:bookmarkStart w:id="8" w:name="_Ref24645878"/>
      <w:r w:rsidRPr="00DA129D">
        <w:rPr>
          <w:noProof/>
          <w:lang w:val="en-AU" w:eastAsia="en-AU"/>
        </w:rPr>
        <w:drawing>
          <wp:anchor distT="0" distB="0" distL="114300" distR="114300" simplePos="0" relativeHeight="251659266" behindDoc="1" locked="0" layoutInCell="1" allowOverlap="1" wp14:anchorId="6BB29FD8" wp14:editId="596D3BE7">
            <wp:simplePos x="0" y="0"/>
            <wp:positionH relativeFrom="column">
              <wp:posOffset>689317</wp:posOffset>
            </wp:positionH>
            <wp:positionV relativeFrom="paragraph">
              <wp:posOffset>10795</wp:posOffset>
            </wp:positionV>
            <wp:extent cx="4439285" cy="4135755"/>
            <wp:effectExtent l="0" t="0" r="0" b="0"/>
            <wp:wrapTight wrapText="bothSides">
              <wp:wrapPolygon edited="0">
                <wp:start x="0" y="0"/>
                <wp:lineTo x="0" y="21491"/>
                <wp:lineTo x="21504" y="21491"/>
                <wp:lineTo x="215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083" t="494" r="746" b="2045"/>
                    <a:stretch/>
                  </pic:blipFill>
                  <pic:spPr bwMode="auto">
                    <a:xfrm>
                      <a:off x="0" y="0"/>
                      <a:ext cx="4439285" cy="413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29D">
        <w:t xml:space="preserve">Figure </w:t>
      </w:r>
      <w:r w:rsidR="00DA129D">
        <w:fldChar w:fldCharType="begin"/>
      </w:r>
      <w:r w:rsidR="00DA129D">
        <w:instrText xml:space="preserve"> SEQ Figure \* ARABIC </w:instrText>
      </w:r>
      <w:r w:rsidR="00DA129D">
        <w:fldChar w:fldCharType="separate"/>
      </w:r>
      <w:r w:rsidR="00062E08">
        <w:rPr>
          <w:noProof/>
        </w:rPr>
        <w:t>1</w:t>
      </w:r>
      <w:r w:rsidR="00DA129D">
        <w:fldChar w:fldCharType="end"/>
      </w:r>
      <w:bookmarkEnd w:id="8"/>
      <w:r w:rsidR="00DA129D">
        <w:t xml:space="preserve"> Map of Melbourne’s water supply system, reproduced from Figure 8 of Melbourne Water (2017)</w:t>
      </w:r>
    </w:p>
    <w:p w14:paraId="495943F0" w14:textId="53F0C129" w:rsidR="00DA129D" w:rsidRDefault="00DA129D" w:rsidP="00DA129D">
      <w:pPr>
        <w:pStyle w:val="Para0"/>
      </w:pPr>
      <w:r>
        <w:lastRenderedPageBreak/>
        <w:t>Most of Melbourne’s catchments</w:t>
      </w:r>
      <w:r w:rsidR="00D66F97">
        <w:t xml:space="preserve"> </w:t>
      </w:r>
      <w:r w:rsidR="0053133D">
        <w:t>have limited access</w:t>
      </w:r>
      <w:r w:rsidR="00622EAA">
        <w:t xml:space="preserve">, </w:t>
      </w:r>
      <w:r w:rsidR="00D66F97">
        <w:t xml:space="preserve">are </w:t>
      </w:r>
      <w:r>
        <w:t xml:space="preserve">completely forested and </w:t>
      </w:r>
      <w:r w:rsidR="00D66F97">
        <w:t xml:space="preserve">are </w:t>
      </w:r>
      <w:r>
        <w:t xml:space="preserve">subject to minimal human intervention. Several of these </w:t>
      </w:r>
      <w:r w:rsidR="00622EAA">
        <w:t xml:space="preserve">protected </w:t>
      </w:r>
      <w:r>
        <w:t xml:space="preserve">catchments are national parks and not subject to timber harvesting. Some catchments contain areas of state forest and parts of these </w:t>
      </w:r>
      <w:r w:rsidR="00622EAA">
        <w:t>areas</w:t>
      </w:r>
      <w:r>
        <w:t xml:space="preserve"> are subject to timber harvesting each year. Timber harvesting is currently permitted in the state forest areas upstream of Thomson </w:t>
      </w:r>
      <w:r w:rsidR="00A76D01">
        <w:t>Reservoir</w:t>
      </w:r>
      <w:r>
        <w:t xml:space="preserve">, upstream of Tarago </w:t>
      </w:r>
      <w:r w:rsidR="00A76D01">
        <w:t xml:space="preserve">Reservoir </w:t>
      </w:r>
      <w:r>
        <w:t>and in the Bunyip River catchment. Timber harvesting is also currently permitted in parts of several subcatchments of the Yarra River: Armstrong Creek, McMahons Creek, Starvation Creek and Cement Creek.</w:t>
      </w:r>
    </w:p>
    <w:p w14:paraId="6916A414" w14:textId="562F13A4" w:rsidR="00022403" w:rsidRDefault="00022403" w:rsidP="00022403">
      <w:pPr>
        <w:pStyle w:val="Para0"/>
      </w:pPr>
      <w:r>
        <w:t>Annual water yield from a forested catchment is the difference between annual precipitation and actual evapotranspiration (AET). In an energy limited catchment, where the annual precipitation always exceeds the annual potential evapotranspiration (PET), AET is often dependent upon the structure and density of the forest. Understanding effects of disturbances</w:t>
      </w:r>
      <w:r w:rsidR="00D66F97">
        <w:t>,</w:t>
      </w:r>
      <w:r>
        <w:t xml:space="preserve"> such as timber harvesting and fires</w:t>
      </w:r>
      <w:r w:rsidR="00D66F97">
        <w:t>,</w:t>
      </w:r>
      <w:r>
        <w:t xml:space="preserve"> on catchment yield therefore requires an understanding of how these disturbances change AET.</w:t>
      </w:r>
    </w:p>
    <w:p w14:paraId="24A17F9D" w14:textId="1A97BB55" w:rsidR="00022403" w:rsidRDefault="00022403" w:rsidP="00022403">
      <w:pPr>
        <w:pStyle w:val="Para0"/>
      </w:pPr>
      <w:r>
        <w:t xml:space="preserve">Studies of AET in eucalypt forests over the past </w:t>
      </w:r>
      <w:r w:rsidR="00C95629">
        <w:t>decade have</w:t>
      </w:r>
      <w:r>
        <w:t xml:space="preserve"> examined key drivers of AET</w:t>
      </w:r>
      <w:r w:rsidDel="00CC459D">
        <w:t xml:space="preserve"> </w:t>
      </w:r>
      <w:r>
        <w:t>and developed new methods for fine-scale spatial and temporal mapping of</w:t>
      </w:r>
      <w:r w:rsidRPr="00F6673A">
        <w:t xml:space="preserve"> </w:t>
      </w:r>
      <w:r>
        <w:t>AET. Several studies have shown that mean overstor</w:t>
      </w:r>
      <w:r w:rsidR="00622EAA">
        <w:t>e</w:t>
      </w:r>
      <w:r>
        <w:t>y sap velocity in eucalypt forests does not vary markedly with age or with stand density (confirming and extending earlier observations in the 1990s) so that annual transpiration (water used directly by the trees) is strongly correlated with overstorey sapwood area. At short</w:t>
      </w:r>
      <w:r w:rsidR="00D66F97">
        <w:t xml:space="preserve"> </w:t>
      </w:r>
      <w:r>
        <w:t xml:space="preserve">timescales (hours to days), transpiration is mainly determined by meteorological variables (Gharun </w:t>
      </w:r>
      <w:r w:rsidR="001C1F9A" w:rsidRPr="001C1F9A">
        <w:rPr>
          <w:i/>
        </w:rPr>
        <w:t>et al.</w:t>
      </w:r>
      <w:r w:rsidR="00AB2D1B">
        <w:rPr>
          <w:iCs/>
        </w:rPr>
        <w:t>,</w:t>
      </w:r>
      <w:r>
        <w:t xml:space="preserve"> 2013</w:t>
      </w:r>
      <w:r w:rsidR="00AB2D1B">
        <w:t>;</w:t>
      </w:r>
      <w:r>
        <w:t xml:space="preserve"> Metzen </w:t>
      </w:r>
      <w:r w:rsidR="001C1F9A" w:rsidRPr="001C1F9A">
        <w:rPr>
          <w:i/>
        </w:rPr>
        <w:t>et al.</w:t>
      </w:r>
      <w:r w:rsidR="00AB2D1B">
        <w:rPr>
          <w:iCs/>
        </w:rPr>
        <w:t>,</w:t>
      </w:r>
      <w:r>
        <w:t xml:space="preserve"> 2019). Conversely, at longer timescales (seasons to years), stand sapwood area is often the strongest predictor of AET </w:t>
      </w:r>
      <w:r w:rsidR="004F0E3F">
        <w:fldChar w:fldCharType="begin" w:fldLock="1"/>
      </w:r>
      <w:r w:rsidR="0010108C">
        <w:instrText xml:space="preserve">ADDIN CSL_CITATION {"citationItems":[{"id":"ITEM-1","itemData":{"DOI":"10.1016/j.foreco.2010.04.005","ISSN":"03781127","abstract":"We tested the hypothesis that overstorey of eucalypt forest dominated by tall, large diameter trees uses less water than regrowth stands in the high rainfall zone (&gt;1100 mm year-1) of the northern jarrah (Eucalyptus marginata) forest in southwestern Australia. We measured leaf area, cover, sapwood area and sapwood density at three paired old and regrowth stands. We also measured sapflow velocity at one paired stand (Dwellingup) from June 2007 to October 2008. Old stands had more basal area but less foliage cover, less leaf area and slightly thinner sapwood. The ratio of sapwood area to basal area decreased markedly as tree size increased. Sapwood area of the regrowth forest stands (6.6 ± 0.30 m2 ha-1) was nearly double that of the old stands (3.4 ± 0.17 m2 ha-1), despite larger basal area at the old stands. Leaf area index of the regrowth stands (2.1 ± 0.26) was only one-third larger than that at the old stands (1.5 ± 0.15); hence, the ratio of leaf area to sapwood area was larger in old stands than in regrowth stands (0.45 ± 0.022 m2 cm-2 versus 0.32 ± 0.045 m2 cm-2). Our results are consistent with theories that trees have evolved to optimize carbon gain rather than maintain stomatal conductance. Neither sapwood density (540-650 kg m-3) nor sap velocity differed greatly between regrowth and old stands. At the old forest site, daily transpiration rose from 0.5 mm day-1 in winter to 0.9 mm day-1 in spring-summer, compared to 0.9 mm day-1 and 1.8 mm day-1 at the regrowth site. Annual water use by the overstorey trees was estimated to be </w:instrText>
      </w:r>
      <w:r w:rsidR="0010108C">
        <w:rPr>
          <w:rFonts w:ascii="Cambria Math" w:hAnsi="Cambria Math" w:cs="Cambria Math"/>
        </w:rPr>
        <w:instrText>∼</w:instrText>
      </w:r>
      <w:r w:rsidR="0010108C">
        <w:instrText xml:space="preserve">230 mm year-1 for the old stand and </w:instrText>
      </w:r>
      <w:r w:rsidR="0010108C">
        <w:rPr>
          <w:rFonts w:ascii="Cambria Math" w:hAnsi="Cambria Math" w:cs="Cambria Math"/>
        </w:rPr>
        <w:instrText>∼</w:instrText>
      </w:r>
      <w:r w:rsidR="0010108C">
        <w:instrText>500 mm year-1 at the regrowth stand, or 20% and 44% of annual rainfall. The overwhelming role of stand sapwood area in determining stand water use, combined with the marked changes in the ratio of sapwood area to basal area with tree age and size, suggest that stand overstorey structure can be managed to alter overstorey water use and catchment water yield. Silviculture to promote old-forest-like attributes may be a viable means of delivering multiple water and conservation benefits. © 2010 Elsevier B.V. All rights reserved.","author":[{"dropping-particle":"","family":"Macfarlane","given":"Craig","non-dropping-particle":"","parse-names":false,"suffix":""},{"dropping-particle":"","family":"Bond","given":"Céline","non-dropping-particle":"","parse-names":false,"suffix":""},{"dropping-particle":"","family":"White","given":"Donald A.","non-dropping-particle":"","parse-names":false,"suffix":""},{"dropping-particle":"","family":"Grigg","given":"Andrew H.","non-dropping-particle":"","parse-names":false,"suffix":""},{"dropping-particle":"","family":"Ogden","given":"Gary N.","non-dropping-particle":"","parse-names":false,"suffix":""},{"dropping-particle":"","family":"Silberstein","given":"Richard","non-dropping-particle":"","parse-names":false,"suffix":""}],"container-title":"Forest Ecology and Management","id":"ITEM-1","issue":"1","issued":{"date-parts":[["2010"]]},"page":"96-105","title":"Transpiration and hydraulic traits of old and regrowth eucalypt forest in southwestern Australia","type":"article-journal","volume":"260"},"uris":["http://www.mendeley.com/documents/?uuid=891d0954-ad48-410f-9758-f829cdc06898"]},{"id":"ITEM-2","itemData":{"DOI":"10.1016/j.foreco.2012.01.008","ISSN":"03781127","abstract":"We estimated plot level water use from sap flux measurements over a 9-month period, in post-fire regrowth and mature plots of Eucalyptus delegatensis R. Baker (Alpine ash) in high elevation catchments near Falls Creek, Victoria, Australia, seven years after a major stand-replacing bushfire. Water use was more than double (460±100mmyear -1 more) in regrowth as compared to mature plots, whereas sap flux was similar between age classes. This difference in water use reflected 72% greater sapwood area index and 35% greater leaf area index in regrowth than in mature plots. A small part of the difference in water use can be attributed to nocturnal transpiration, which was greater in regrowth than in mature plots (10.3±0.8% vs 7.3±0.8% of diel totals). As evaporative demand was 41% greater in mature than in regrowth plots, these data suggest mean transpiration rate and stomatal conductance per unit leaf area were approximately 1.6 and 2.3 times greater, respectively, in the regrowth. However, mid-day leaf water potential and photosynthetic capacity were similar in both age classes. Evaporative demand was the primary environmental driver of water use in all cases, whereas soil moisture was not a strong driver of either water use or canopy conductance (estimated as sap flux/evaporative demand). Together, our results suggest (a) stand water use rapidly recovers after fire in these high elevation forests and quickly surpasses rates in mature stands, confirming projections by Kuczera (1987) for lower-elevation Mountain Ash (E. regnans) forests and highlighting the potential impact of tree water use on water yield in the first decade of forest regeneration after fires, and (b) stomatal conductance and sapwood area/leaf area ratio are both less in tall, older Alpine ash trees, whereas leaf water status and photosynthetic capacity appear to be sustained - consistent with predictions from optimisation theory but not Pipe-Model Theory. © 2012 Elsevier B.V.","author":[{"dropping-particle":"","family":"Buckley","given":"Thomas N.","non-dropping-particle":"","parse-names":false,"suffix":""},{"dropping-particle":"","family":"Turnbull","given":"Tarryn L.","non-dropping-particle":"","parse-names":false,"suffix":""},{"dropping-particle":"","family":"Pfautsch","given":"Sebastian","non-dropping-particle":"","parse-names":false,"suffix":""},{"dropping-particle":"","family":"Gharun","given":"Mana","non-dropping-particle":"","parse-names":false,"suffix":""},{"dropping-particle":"","family":"Adams","given":"Mark A.","non-dropping-particle":"","parse-names":false,"suffix":""}],"container-title":"Forest Ecology and Management","id":"ITEM-2","issued":{"date-parts":[["2012"]]},"page":"1-10","publisher":"Elsevier B.V.","title":"Differences in water use between mature and post-fire regrowth stands of subalpine Eucalyptus delegatensis R. Baker","type":"article-journal","volume":"270"},"uris":["http://www.mendeley.com/documents/?uuid=56780b8c-898b-4054-bd5f-d27f3333ae7c"]},{"id":"ITEM-3","itemData":{"DOI":"10.1016/j.jhydrol.2017.06.002","ISSN":"00221694","abstract":"To better understand water and energy cycles in forests over years to decades, measurements of spatial and long-term temporal variability in evapotranspiration (Ea) are needed. In mountainous terrain, plot-level measurements are important to achieving this. Forest inventory data including tree density and size measurements, often collected repeatedly over decades, sample the variability occurring within the geographic and topographic range of specific forest types. Using simple allometric relationships, tree stocking and size data can be used to estimate variables including sapwood area index (SAI), which may be strongly correlated with annual Ea. This study analysed plot-level variability in SAI and its relationship with overstorey and understorey transpiration, interception and evaporation over a 670 m elevation gradient, in non-water-limited, even-aged stands of Eucalyptus regnans F. Muell. to determine how well spatial variation in annual Ea from forests can be mapped using SAI. Over the 3 year study, mean sap velocity in five E. regnans stands was uncorrelated with overstorey sapwood area index (SAI) or elevation: annual transpiration was predicted well by SAI (R2 0.98). Overstorey and total annual interception were positively correlated with SAI (R2 0.90 and 0.75). Ea from the understorey was strongly correlated with vapour pressure deficit (VPD) and net radiation (Rn) measured just above the understorey, but relationships between understorey Ea and VPD and Rn differed between understorey types and understorey annual Ea was not correlated with SAI. Annual total Ea was also strongly correlated with SAI: the relationship being similar to two previous studies in the same region, despite differences in stand age and species. Thus, spatial variation in annual Ea can be reliably mapped using measurements of SAI.","author":[{"dropping-particle":"","family":"Benyon","given":"Richard G.","non-dropping-particle":"","parse-names":false,"suffix":""},{"dropping-particle":"","family":"Nolan","given":"Rachael H.","non-dropping-particle":"","parse-names":false,"suffix":""},{"dropping-particle":"","family":"Hawthorn","given":"Sandra N.D.","non-dropping-particle":"","parse-names":false,"suffix":""},{"dropping-particle":"","family":"Lane","given":"Patrick N.J.","non-dropping-particle":"","parse-names":false,"suffix":""}],"container-title":"Journal of Hydrology","id":"ITEM-3","issued":{"date-parts":[["2017"]]},"page":"233-244","publisher":"Elsevier B.V.","title":"Stand-level variation in evapotranspiration in non-water-limited eucalypt forests","type":"article-journal","volume":"551"},"uris":["http://www.mendeley.com/documents/?uuid=d1ca617c-291c-4026-a75d-20aaa224f5f7"]},{"id":"ITEM-4","itemData":{"DOI":"10.1016/j.scitotenv.2019.07.357","author":[{"dropping-particle":"","family":"Metzen","given":"Daniel","non-dropping-particle":"","parse-names":false,"suffix":""},{"dropping-particle":"","family":"Sheridan","given":"Gary J","non-dropping-particle":"","parse-names":false,"suffix":""},{"dropping-particle":"","family":"Benyon","given":"Richard G","non-dropping-particle":"","parse-names":false,"suffix":""},{"dropping-particle":"V","family":"Bolstad","given":"Paul","non-dropping-particle":"","parse-names":false,"suffix":""},{"dropping-particle":"","family":"Griebel","given":"Anne","non-dropping-particle":"","parse-names":false,"suffix":""},{"dropping-particle":"","family":"Lane","given":"Patrick N J","non-dropping-particle":"","parse-names":false,"suffix":""}],"container-title":"Science of the Total Environment","id":"ITEM-4","issued":{"date-parts":[["2019"]]},"page":"133551","publisher":"Elsevier","title":"Spatio-temporal transpiration patterns reflect vegetation structure in complex upland terrain","type":"article-journal","volume":"694"},"uris":["http://www.mendeley.com/documents/?uuid=bffa4253-5f94-4079-b42d-03daafbe24a1"]},{"id":"ITEM-5","itemData":{"DOI":"10.1016/j.jhydrol.2012.03.026","author":[{"dropping-particle":"","family":"Mitchell","given":"Patrick J","non-dropping-particle":"","parse-names":false,"suffix":""},{"dropping-particle":"","family":"Benyon","given":"Richard G","non-dropping-particle":"","parse-names":false,"suffix":""},{"dropping-particle":"","family":"Lane","given":"Patrick N J","non-dropping-particle":"","parse-names":false,"suffix":""}],"container-title":"Journal of Hydrology","id":"ITEM-5","issued":{"date-parts":[["2012"]]},"page":"62-74","publisher":"Elsevier","title":"Responses of evapotranspiration at different topographic positions and catchment water balance following a pronounced drought in a mixed species eucalypt forest, Australia","type":"article-journal","volume":"440"},"uris":["http://www.mendeley.com/documents/?uuid=3ea6b7c9-9f0b-4437-a50c-595579a1321b"]}],"mendeley":{"formattedCitation":"(Macfarlane &lt;i&gt;et al.&lt;/i&gt;, 2010; Buckley &lt;i&gt;et al.&lt;/i&gt;, 2012; Mitchell &lt;i&gt;et al.&lt;/i&gt;, 2012; Benyon &lt;i&gt;et al.&lt;/i&gt;, 2017; Metzen &lt;i&gt;et al.&lt;/i&gt;, 2019)","plainTextFormattedCitation":"(Macfarlane et al., 2010; Buckley et al., 2012; Mitchell et al., 2012; Benyon et al., 2017; Metzen et al., 2019)","previouslyFormattedCitation":"(Macfarlane &lt;i&gt;et al.&lt;/i&gt;, 2010; Buckley &lt;i&gt;et al.&lt;/i&gt;, 2012; Mitchell &lt;i&gt;et al.&lt;/i&gt;, 2012; Benyon &lt;i&gt;et al.&lt;/i&gt;, 2017; Metzen &lt;i&gt;et al.&lt;/i&gt;, 2019)"},"properties":{"noteIndex":0},"schema":"https://github.com/citation-style-language/schema/raw/master/csl-citation.json"}</w:instrText>
      </w:r>
      <w:r w:rsidR="004F0E3F">
        <w:fldChar w:fldCharType="separate"/>
      </w:r>
      <w:r w:rsidR="0010108C" w:rsidRPr="0010108C">
        <w:rPr>
          <w:noProof/>
        </w:rPr>
        <w:t xml:space="preserve">(Macfarlane </w:t>
      </w:r>
      <w:r w:rsidR="0010108C" w:rsidRPr="0010108C">
        <w:rPr>
          <w:i/>
          <w:noProof/>
        </w:rPr>
        <w:t>et al.</w:t>
      </w:r>
      <w:r w:rsidR="0010108C" w:rsidRPr="0010108C">
        <w:rPr>
          <w:noProof/>
        </w:rPr>
        <w:t xml:space="preserve">, 2010; Buckley </w:t>
      </w:r>
      <w:r w:rsidR="0010108C" w:rsidRPr="0010108C">
        <w:rPr>
          <w:i/>
          <w:noProof/>
        </w:rPr>
        <w:t>et al.</w:t>
      </w:r>
      <w:r w:rsidR="0010108C" w:rsidRPr="0010108C">
        <w:rPr>
          <w:noProof/>
        </w:rPr>
        <w:t xml:space="preserve">, 2012; Mitchell </w:t>
      </w:r>
      <w:r w:rsidR="0010108C" w:rsidRPr="0010108C">
        <w:rPr>
          <w:i/>
          <w:noProof/>
        </w:rPr>
        <w:t>et al.</w:t>
      </w:r>
      <w:r w:rsidR="0010108C" w:rsidRPr="0010108C">
        <w:rPr>
          <w:noProof/>
        </w:rPr>
        <w:t xml:space="preserve">, 2012; Benyon </w:t>
      </w:r>
      <w:r w:rsidR="0010108C" w:rsidRPr="0010108C">
        <w:rPr>
          <w:i/>
          <w:noProof/>
        </w:rPr>
        <w:t>et al.</w:t>
      </w:r>
      <w:r w:rsidR="0010108C" w:rsidRPr="0010108C">
        <w:rPr>
          <w:noProof/>
        </w:rPr>
        <w:t xml:space="preserve">, 2017; Metzen </w:t>
      </w:r>
      <w:r w:rsidR="0010108C" w:rsidRPr="0010108C">
        <w:rPr>
          <w:i/>
          <w:noProof/>
        </w:rPr>
        <w:t>et al.</w:t>
      </w:r>
      <w:r w:rsidR="0010108C" w:rsidRPr="0010108C">
        <w:rPr>
          <w:noProof/>
        </w:rPr>
        <w:t>, 2019)</w:t>
      </w:r>
      <w:r w:rsidR="004F0E3F">
        <w:fldChar w:fldCharType="end"/>
      </w:r>
      <w:r>
        <w:t>.</w:t>
      </w:r>
    </w:p>
    <w:p w14:paraId="349A4C94" w14:textId="7C049734" w:rsidR="00B038EC" w:rsidRDefault="00B07307" w:rsidP="00B038EC">
      <w:pPr>
        <w:pStyle w:val="Para0"/>
      </w:pPr>
      <w:r>
        <w:fldChar w:fldCharType="begin" w:fldLock="1"/>
      </w:r>
      <w:r w:rsidR="00D11C5B">
        <w:instrText>ADDIN CSL_CITATION {"citationItems":[{"id":"ITEM-1","itemData":{"DOI":"10.1002/ 2015WR017321","author":[{"dropping-particle":"","family":"Benyon","given":"Richard G","non-dropping-particle":"","parse-names":false,"suffix":""},{"dropping-particle":"","family":"Lane","given":"Patrick N J","non-dropping-particle":"","parse-names":false,"suffix":""},{"dropping-particle":"","family":"Jaskierniak","given":"Dominik","non-dropping-particle":"","parse-names":false,"suffix":""},{"dropping-particle":"","family":"Kuczera","given":"George","non-dropping-particle":"","parse-names":false,"suffix":""},{"dropping-particle":"","family":"Haydon","given":"Shane R","non-dropping-particle":"","parse-names":false,"suffix":""}],"container-title":"Water Resources Research","id":"ITEM-1","issue":"7","issued":{"date-parts":[["2015"]]},"page":"5318-5331","title":"Use of a forest sapwood area index to explain long-term variability in mean annual evapotranspiration and streamflow in Moist Eucalypt Forests","type":"article-journal","volume":"51"},"uris":["http://www.mendeley.com/documents/?uuid=60c8d14d-da03-45b6-a90a-2c55e2919403"]}],"mendeley":{"formattedCitation":"(Benyon &lt;i&gt;et al.&lt;/i&gt;, 2015)","manualFormatting":"Benyon et al. (2015)","plainTextFormattedCitation":"(Benyon et al., 2015)","previouslyFormattedCitation":"(Benyon &lt;i&gt;et al.&lt;/i&gt;, 2015)"},"properties":{"noteIndex":0},"schema":"https://github.com/citation-style-language/schema/raw/master/csl-citation.json"}</w:instrText>
      </w:r>
      <w:r>
        <w:fldChar w:fldCharType="separate"/>
      </w:r>
      <w:r w:rsidRPr="00B07307">
        <w:rPr>
          <w:noProof/>
        </w:rPr>
        <w:t xml:space="preserve">Benyon </w:t>
      </w:r>
      <w:r w:rsidR="001C1F9A" w:rsidRPr="001C1F9A">
        <w:rPr>
          <w:i/>
          <w:noProof/>
        </w:rPr>
        <w:t>et al.</w:t>
      </w:r>
      <w:r w:rsidRPr="00B07307">
        <w:rPr>
          <w:noProof/>
        </w:rPr>
        <w:t xml:space="preserve"> </w:t>
      </w:r>
      <w:r>
        <w:rPr>
          <w:noProof/>
        </w:rPr>
        <w:t>(</w:t>
      </w:r>
      <w:r w:rsidRPr="00B07307">
        <w:rPr>
          <w:noProof/>
        </w:rPr>
        <w:t>2015)</w:t>
      </w:r>
      <w:r>
        <w:fldChar w:fldCharType="end"/>
      </w:r>
      <w:r>
        <w:t xml:space="preserve"> </w:t>
      </w:r>
      <w:r w:rsidR="00B038EC">
        <w:t>summarises the drivers of changes in annual water yield from forested catchments. The</w:t>
      </w:r>
      <w:r w:rsidR="00622EAA">
        <w:t>se authors</w:t>
      </w:r>
      <w:r w:rsidR="00B038EC">
        <w:t xml:space="preserve"> </w:t>
      </w:r>
      <w:r w:rsidR="00C95629">
        <w:t>surmise</w:t>
      </w:r>
      <w:r w:rsidR="00B038EC">
        <w:t xml:space="preserve"> that changes in annual streamﬂow from forested catchments</w:t>
      </w:r>
      <w:r w:rsidR="00622EAA">
        <w:t>,</w:t>
      </w:r>
      <w:r w:rsidR="00B038EC">
        <w:t xml:space="preserve"> lasting for years to decades or more</w:t>
      </w:r>
      <w:r w:rsidR="00622EAA">
        <w:t>,</w:t>
      </w:r>
      <w:r w:rsidR="00B038EC">
        <w:t xml:space="preserve"> are associated with variation in forest density or cover in time and space. Such changes can be induced by:</w:t>
      </w:r>
    </w:p>
    <w:p w14:paraId="1E78911A" w14:textId="0964A480" w:rsidR="00B038EC" w:rsidRDefault="003D395B" w:rsidP="002A792F">
      <w:pPr>
        <w:pStyle w:val="Para0bullet"/>
        <w:numPr>
          <w:ilvl w:val="0"/>
          <w:numId w:val="26"/>
        </w:numPr>
      </w:pPr>
      <w:r>
        <w:t>a</w:t>
      </w:r>
      <w:r w:rsidR="00365C11">
        <w:t>ging of the forest</w:t>
      </w:r>
      <w:r w:rsidR="00B07307">
        <w:t xml:space="preserve"> </w:t>
      </w:r>
      <w:r w:rsidR="00B07307">
        <w:fldChar w:fldCharType="begin" w:fldLock="1"/>
      </w:r>
      <w:r w:rsidR="0005134E">
        <w:instrText>ADDIN CSL_CITATION {"citationItems":[{"id":"ITEM-1","itemData":{"DOI":"10.1016/0022-1694(87)90054-0","author":[{"dropping-particle":"","family":"Kuczera","given":"George","non-dropping-particle":"","parse-names":false,"suffix":""}],"container-title":"Journal of Hydrology","id":"ITEM-1","issued":{"date-parts":[["1987"]]},"page":"215-236","publisher":"Journal of Hydrology","publisher-place":"Amsterdam","title":"Predction of water yield reductions following a bushfire in ash-mixed species eucalypt forest","type":"article-journal","volume":"94"},"uris":["http://www.mendeley.com/documents/?uuid=c54d6334-d945-4271-8c27-85eb8def6bf7"]},{"id":"ITEM-2","itemData":{"DOI":"10.1016/0022-1694(93)90115-P","author":[{"dropping-particle":"","family":"Hornbeck","given":"J W","non-dropping-particle":"","parse-names":false,"suffix":""},{"dropping-particle":"","family":"Adams","given":"M B","non-dropping-particle":"","parse-names":false,"suffix":""},{"dropping-particle":"","family":"Corbett","given":"E S","non-dropping-particle":"","parse-names":false,"suffix":""},{"dropping-particle":"","family":"Verry","given":"E S","non-dropping-particle":"","parse-names":false,"suffix":""},{"dropping-particle":"","family":"Lynch","given":"J A","non-dropping-particle":"","parse-names":false,"suffix":""}],"container-title":"Journal of Hydrology","id":"ITEM-2","issue":"2-4","issued":{"date-parts":[["1993"]]},"page":"323-344","publisher":"Elsevier","title":"Long-term impacts of forest treatments on water yield: a summary for northeastern USA","type":"article-journal","volume":"150"},"uris":["http://www.mendeley.com/documents/?uuid=2dbcea58-c3c5-420d-b138-70d1311dccb3"]},{"id":"ITEM-3","itemData":{"DOI":"10.5194/hess-1-409-1997","author":[{"dropping-particle":"","family":"Hudson","given":"J A","non-dropping-particle":"","parse-names":false,"suffix":""},{"dropping-particle":"","family":"Crane","given":"S B","non-dropping-particle":"","parse-names":false,"suffix":""},{"dropping-particle":"","family":"Blackie","given":"J R","non-dropping-particle":"","parse-names":false,"suffix":""}],"container-title":"Hydrology and Earth System Sciences","id":"ITEM-3","issue":"3","issued":{"date-parts":[["1997"]]},"page":"409-427","title":"The Plynlimon water balance 1969-1995: the impact of forest and moorland vegetation on evaporation and streamflow in upland catchments","type":"article-journal","volume":"1"},"uris":["http://www.mendeley.com/documents/?uuid=cf8b6a57-8c22-4ece-9866-158b2d3dd6d6"]},{"id":"ITEM-4","itemData":{"ISBN":"9780975840047","abstract":"Disturbance of forested catchments by fire, logging, or other natural or human induced events that alter the evapotranspiration regime may be a substantial threat to domestic, environmental and industrial water supplies. While security of water supplies have always been of high importance in Australia, the recent long-lived drought, climate change predictions and two major \" mega fire \" events in 4 years that have burnt over 2 million ha of native forest in Victoria alone, have placed alarming uncertainty on the State's water resources. Furthermore, there are predictions of more frequent and intense wildfire under climate change (Howe et al., 2005). Physically-based models that can predict the hydrologic impact of forest disturbance and climatic inputs will be crucial for understanding changed water yields and for informing forest management options. One such model is Macaque (Watson, 1999), a physically based spatially distributed daily time step process model that was developed specifically to replicate the water yield variation over time observed in Victorian central highland catchments after the 1939 bushfires. This paper describes the modelling of the long term changes in water yield from two fire affected catchments, and of fire and climate change scenarios in Melbourne's principal water supply catchment (488km 2). The effect of scale, data availability and quality, and of species parameterisation is explored. For the two fire affected catchments, Mitta Mitta (1533 km 2) and Tambo (551 km 2) 250 year simulations were run with the changed vegetation conditions and with no disturbance. Macaque predicted a significant yield decrease, with a maximum annual change of 17% for the Mitta Mitta and a long-term decrease of 7%. These values were 20% and 7% for the Tambo. However there were some important uncertainties identified. The model calibrations although reasonable (Nash &amp; Sutcliffe (E) = 0.5-0.6) demonstrated there were periods with significant discrepancies between observed and predicted flows in the calibration phase. It is likely that poor precipitation coverage over large, sparsely populated catchments is one cause. A second may have been the use of the model outside of its development range; i.e. into areas with drier forest types where the evapotranspiration characteristics are not well known. Subsequently, Macaque was calibrated for the Thomson catchment (488 km 2), which has a better coverage of rainfall stations, and a far smaller proportion…","author":[{"dropping-particle":"","family":"Lane","given":"P. N.J.","non-dropping-particle":"","parse-names":false,"suffix":""},{"dropping-particle":"","family":"Feikema","given":"P. M.","non-dropping-particle":"","parse-names":false,"suffix":""},{"dropping-particle":"","family":"Sherwin","given":"C. B.","non-dropping-particle":"","parse-names":false,"suffix":""},{"dropping-particle":"","family":"Peel","given":"M. C.","non-dropping-particle":"","parse-names":false,"suffix":""},{"dropping-particle":"","family":"Freebairn","given":"A.","non-dropping-particle":"","parse-names":false,"suffix":""}],"container-title":"MODSIM 2007 International Congress on Modelling and Simulation. Modelling and Simulation Society of Australia and New Zealand","editor":[{"dropping-particle":"","family":"Oxley","given":"L","non-dropping-particle":"","parse-names":false,"suffix":""},{"dropping-particle":"","family":"Kulasiri","given":"D","non-dropping-particle":"","parse-names":false,"suffix":""}],"id":"ITEM-4","issued":{"date-parts":[["2007"]]},"page":"2953-2959","title":"Physically-based prediction of water yield from disturbed forested water supply catchments","type":"paper-conference"},"uris":["http://www.mendeley.com/documents/?uuid=35a0f79f-e3ab-4822-b2b1-9e41492a6254"]},{"id":"ITEM-5","itemData":{"author":[{"dropping-particle":"","family":"Cornish","given":"P M","non-dropping-particle":"","parse-names":false,"suffix":""},{"dropping-particle":"","family":"Vertessy","given":"R A","non-dropping-particle":"","parse-names":false,"suffix":""}],"container-title":"Journal of Hydrology","id":"ITEM-5","issue":"1-2","issued":{"date-parts":[["2001"]]},"page":"43-63","publisher":"Elsevier","title":"Forest age-induced changes in evapotranspiration and water yield in a eucalypt forest","type":"article-journal","volume":"242"},"uris":["http://www.mendeley.com/documents/?uuid=250064c6-6b1e-4bfa-8765-d9e998370392"]},{"id":"ITEM-6","itemData":{"author":[{"dropping-particle":"","family":"Andréassian","given":"Vazken","non-dropping-particle":"","parse-names":false,"suffix":""}],"container-title":"Journal of hydrology","id":"ITEM-6","issue":"1-2","issued":{"date-parts":[["2004"]]},"page":"1-27","publisher":"Elsevier","title":"Waters and forests: from historical controversy to scientific debate","type":"article-journal","volume":"291"},"uris":["http://www.mendeley.com/documents/?uuid=4595f594-2993-4288-9932-821c83d32382"]},{"id":"ITEM-7","itemData":{"DOI":"10.1016/j.jhydrol.2010.01.007","ISSN":"00221694","abstract":"The Coranderrk Project, located 70 km east of Melbourne, is Australia's longest-running paired catchment study. Three small catchments (\"Slip Creek\", \"Blue Jacket Creek\", and \"Picaninny Creek\") originally carrying old growth mountain ash and mixed species have been gauged since 1958. In 1971/72 Picaninny Creek catchment was substantially clear-felled and regenerated, predominantly with mountain ash (Eucalyptus regnans). The annual flow increased for the next 3 years (relative to the control), reaching a peak of almost 300 mm increase relative to the control catchment. Flow then declined; 8 years after the logging the annual flow had returned to pre-logging levels. Annual flow then continued to decline with a maximum reduction of around 200 mm per annum. Thirty-four years after logging the flow was still below the pre-treatment flow and showing no sign of recovery, although there were year to year variations associated with rainfall and drought. In 1972/73 Blue Jacket Creek had a \"sawmiller selection\" cutting in which approximately 50% of the basal area was removed. The response was a similar but muted version of the Picaninny Creek response. A statistical analysis used 1 year of the pre-treatment period to establish error limits. This showed that in both cases there was a statistically significant increase in flow followed by a statistically significant decrease in flow relative to old growth. Measurement of two of the catchments is continuing. © 2010 Elsevier B.V. All rights reserved.","author":[{"dropping-particle":"","family":"Bren","given":"Leon","non-dropping-particle":"","parse-names":false,"suffix":""},{"dropping-particle":"","family":"Lane","given":"Patrick","non-dropping-particle":"","parse-names":false,"suffix":""},{"dropping-particle":"","family":"Hepworth","given":"Graham","non-dropping-particle":"","parse-names":false,"suffix":""}],"container-title":"Journal of Hydrology","id":"ITEM-7","issue":"1-2","issued":{"date-parts":[["2010"]]},"page":"52-64","title":"Longer-term water use of native eucalyptus forest after logging and regeneration: The Coranderrk experiment","type":"article-journal","volume":"384"},"uris":["http://www.mendeley.com/documents/?uuid=16e351f8-5b26-4efc-88b6-0c81e999a219"]},{"id":"ITEM-8","itemData":{"author":[{"dropping-particle":"","family":"Watson","given":"Fred G R","non-dropping-particle":"","parse-names":false,"suffix":""},{"dropping-particle":"","family":"Vertessy","given":"R A","non-dropping-particle":"","parse-names":false,"suffix":""},{"dropping-particle":"","family":"McMahon","given":"T A","non-dropping-particle":"","parse-names":false,"suffix":""},{"dropping-particle":"","family":"Rhodes","given":"B G","non-dropping-particle":"","parse-names":false,"suffix":""},{"dropping-particle":"","family":"Watson","given":"I S","non-dropping-particle":"","parse-names":false,"suffix":""}],"id":"ITEM-8","issued":{"date-parts":[["1998"]]},"number-of-pages":"38","publisher":"Cooperative Research Centre for Catchment Hydrology","publisher-place":"Canberra","title":"The hydrologic impacts of forestry on the Maroondah catchments","type":"report"},"uris":["http://www.mendeley.com/documents/?uuid=a1aef21c-bb22-40b2-bf86-fd29b69c8c52"]}],"mendeley":{"formattedCitation":"(Kuczera, 1987; Hornbeck &lt;i&gt;et al.&lt;/i&gt;, 1993; Hudson &lt;i&gt;et al.&lt;/i&gt;, 1997; Watson &lt;i&gt;et al.&lt;/i&gt;, 1998b; Cornish and Vertessy, 2001; Andréassian, 2004; Lane &lt;i&gt;et al.&lt;/i&gt;, 2007; Bren &lt;i&gt;et al.&lt;/i&gt;, 2010)","plainTextFormattedCitation":"(Kuczera, 1987; Hornbeck et al., 1993; Hudson et al., 1997; Watson et al., 1998b; Cornish and Vertessy, 2001; Andréassian, 2004; Lane et al., 2007; Bren et al., 2010)","previouslyFormattedCitation":"(Kuczera, 1987; Hornbeck &lt;i&gt;et al.&lt;/i&gt;, 1993; Hudson &lt;i&gt;et al.&lt;/i&gt;, 1997; Watson &lt;i&gt;et al.&lt;/i&gt;, 1998b; Cornish and Vertessy, 2001; Andréassian, 2004; Lane &lt;i&gt;et al.&lt;/i&gt;, 2007; Bren &lt;i&gt;et al.&lt;/i&gt;, 2010)"},"properties":{"noteIndex":0},"schema":"https://github.com/citation-style-language/schema/raw/master/csl-citation.json"}</w:instrText>
      </w:r>
      <w:r w:rsidR="00B07307">
        <w:fldChar w:fldCharType="separate"/>
      </w:r>
      <w:r w:rsidR="007416C7" w:rsidRPr="007416C7">
        <w:rPr>
          <w:noProof/>
        </w:rPr>
        <w:t xml:space="preserve">(Kuczera, 1987; Hornbeck </w:t>
      </w:r>
      <w:r w:rsidR="007416C7" w:rsidRPr="007416C7">
        <w:rPr>
          <w:i/>
          <w:noProof/>
        </w:rPr>
        <w:t>et al.</w:t>
      </w:r>
      <w:r w:rsidR="007416C7" w:rsidRPr="007416C7">
        <w:rPr>
          <w:noProof/>
        </w:rPr>
        <w:t xml:space="preserve">, 1993; Hudson </w:t>
      </w:r>
      <w:r w:rsidR="007416C7" w:rsidRPr="007416C7">
        <w:rPr>
          <w:i/>
          <w:noProof/>
        </w:rPr>
        <w:t>et al.</w:t>
      </w:r>
      <w:r w:rsidR="007416C7" w:rsidRPr="007416C7">
        <w:rPr>
          <w:noProof/>
        </w:rPr>
        <w:t xml:space="preserve">, 1997; Watson </w:t>
      </w:r>
      <w:r w:rsidR="007416C7" w:rsidRPr="007416C7">
        <w:rPr>
          <w:i/>
          <w:noProof/>
        </w:rPr>
        <w:t>et al.</w:t>
      </w:r>
      <w:r w:rsidR="007416C7" w:rsidRPr="007416C7">
        <w:rPr>
          <w:noProof/>
        </w:rPr>
        <w:t xml:space="preserve">, 1998b; Cornish and Vertessy, 2001; Andréassian, 2004; Lane </w:t>
      </w:r>
      <w:r w:rsidR="007416C7" w:rsidRPr="007416C7">
        <w:rPr>
          <w:i/>
          <w:noProof/>
        </w:rPr>
        <w:t>et al.</w:t>
      </w:r>
      <w:r w:rsidR="007416C7" w:rsidRPr="007416C7">
        <w:rPr>
          <w:noProof/>
        </w:rPr>
        <w:t xml:space="preserve">, 2007; Bren </w:t>
      </w:r>
      <w:r w:rsidR="007416C7" w:rsidRPr="007416C7">
        <w:rPr>
          <w:i/>
          <w:noProof/>
        </w:rPr>
        <w:t>et al.</w:t>
      </w:r>
      <w:r w:rsidR="007416C7" w:rsidRPr="007416C7">
        <w:rPr>
          <w:noProof/>
        </w:rPr>
        <w:t>, 2010)</w:t>
      </w:r>
      <w:r w:rsidR="00B07307">
        <w:fldChar w:fldCharType="end"/>
      </w:r>
    </w:p>
    <w:p w14:paraId="126342ED" w14:textId="2A3A0D23" w:rsidR="00B038EC" w:rsidRDefault="003D395B" w:rsidP="002A792F">
      <w:pPr>
        <w:pStyle w:val="Para0bullet"/>
        <w:numPr>
          <w:ilvl w:val="0"/>
          <w:numId w:val="26"/>
        </w:numPr>
      </w:pPr>
      <w:r>
        <w:t>b</w:t>
      </w:r>
      <w:r w:rsidR="00B038EC">
        <w:t>ushfire</w:t>
      </w:r>
      <w:r w:rsidR="00B07307">
        <w:t xml:space="preserve"> </w:t>
      </w:r>
      <w:r w:rsidR="00B07307">
        <w:fldChar w:fldCharType="begin" w:fldLock="1"/>
      </w:r>
      <w:r w:rsidR="0005134E">
        <w:instrText>ADDIN CSL_CITATION {"citationItems":[{"id":"ITEM-1","itemData":{"DOI":"10.1016/0022-1694(76)90007-X","author":[{"dropping-particle":"","family":"Langford","given":"K.J.","non-dropping-particle":"","parse-names":false,"suffix":""}],"container-title":"Journal of Hydrology","id":"ITEM-1","issue":"1-2","issued":{"date-parts":[["1976"]]},"page":"87-114","title":"Change in yield of water following a bushfire in a forest of Eucalyptus regnans","type":"article-journal","volume":"29"},"uris":["http://www.mendeley.com/documents/?uuid=64ae9071-ab74-4cb1-b15c-d5cd83e799cc"]},{"id":"ITEM-2","itemData":{"DOI":"10.1016/j.foreco.2006.07.008","author":[{"dropping-particle":"","family":"Fernández","given":"Cristina","non-dropping-particle":"","parse-names":false,"suffix":""},{"dropping-particle":"","family":"Vega","given":"José A","non-dropping-particle":"","parse-names":false,"suffix":""},{"dropping-particle":"","family":"Gras","given":"José M","non-dropping-particle":"","parse-names":false,"suffix":""},{"dropping-particle":"","family":"Fonturbel","given":"Teresa","non-dropping-particle":"","parse-names":false,"suffix":""}],"container-title":"Forest Ecology and Management","id":"ITEM-2","issue":"1-3","issued":{"date-parts":[["2006"]]},"page":"275-281","publisher":"Elsevier","title":"Changes in water yield after a sequence of perturbations and forest management practices in an Eucalyptus globulus Labill. watershed in Northwestern Spain","type":"article-journal","volume":"234"},"uris":["http://www.mendeley.com/documents/?uuid=ecae4600-d5ea-4d7c-be9b-4f62c1baa783"]},{"id":"ITEM-3","itemData":{"DOI":"10.1016/j.jhydrol.2015.02.045","ISSN":"00221694","abstract":"The objective of this study was to estimate the recovery trajectory of evapotranspiration (E&lt;inf&gt;t&lt;/inf&gt;) and streamflow (Q) in resprouting forested catchments following wildfire. Recovery dynamics were assessed in mixed species eucalypt forests in south-eastern Australia which recover from disturbance largely via vegetative resprouting, and to a lesser degree, via seedling recruitment. Changes in E&lt;inf&gt;t&lt;/inf&gt; were evaluated in two ways. Firstly, we developed semi-empirical models of post-fire E&lt;inf&gt;t&lt;/inf&gt; following moderate and high severity wildfire. These models were based on datasets of plot-scale E&lt;inf&gt;t&lt;/inf&gt;, measured within five years post-fire, and published literature on post-fire changes in vegetation structure. Secondly, we analysed long-term Q records (25years) from a mixed species catchment, including a 1-5year period following a predominately moderate severity wildfire. We found that the overall length of recovery time for E&lt;inf&gt;t&lt;/inf&gt; and Q following wildfire was 8-12years, which is much less than for eucalypt forests recovering via seedlings only. This emphasises the importance of functional responses to fire in forest ecosystems as a key driver of the hydrologic resilience of catchments, with resprouting forest types conferring relatively rapid recovery following disturbance. We also found that the recovery trajectory of post-fire E&lt;inf&gt;t&lt;/inf&gt; was dependent on fire severity. Increased E&lt;inf&gt;t&lt;/inf&gt; and consequent declines in Q occurred following moderate severity fire. In contrast, there was no evidence of increased E&lt;inf&gt;t&lt;/inf&gt; following high severity fire. Based on patterns of long-term Q and rainfall observed in a small mixed species catchment, declines in Q due to increased E&lt;inf&gt;t&lt;/inf&gt; following moderate severity wildfire were of similar magnitude to Q declines driven by a drought that coincided with the fire. We conclude that the coincidence of wildfire with drought exacerbates reductions in Q under moderate severity fire, resulting in greater Q declines. This is due to the enhanced rates of E&lt;inf&gt;t&lt;/inf&gt;, primarily driven by regenerating seedlings and higher rates of transpiration from surviving trees.","author":[{"dropping-particle":"","family":"Nolan","given":"Rachael H.","non-dropping-particle":"","parse-names":false,"suffix":""},{"dropping-particle":"","family":"Lane","given":"Patrick N J","non-dropping-particle":"","parse-names":false,"suffix":""},{"dropping-particle":"","family":"Benyon","given":"Richard G.","non-dropping-particle":"","parse-names":false,"suffix":""},{"dropping-particle":"","family":"Bradstock","given":"Ross A.","non-dropping-particle":"","parse-names":false,"suffix":""},{"dropping-particle":"","family":"Mitchell","given":"Patrick J.","non-dropping-particle":"","parse-names":false,"suffix":""}],"container-title":"Journal of Hydrology","id":"ITEM-3","issued":{"date-parts":[["2015"]]},"page":"614-624","publisher":"Elsevier B.V.","title":"Trends in evapotranspiration and streamflow following wildfire in resprouting eucalypt forests","type":"article-journal","volume":"524"},"uris":["http://www.mendeley.com/documents/?uuid=31a2ac24-7774-4b4f-a30b-b741d2cca280"]}],"mendeley":{"formattedCitation":"(Langford, 1976; Fernández &lt;i&gt;et al.&lt;/i&gt;, 2006; Nolan &lt;i&gt;et al.&lt;/i&gt;, 2015)","plainTextFormattedCitation":"(Langford, 1976; Fernández et al., 2006; Nolan et al., 2015)","previouslyFormattedCitation":"(Langford, 1976; Fernández &lt;i&gt;et al.&lt;/i&gt;, 2006; Nolan &lt;i&gt;et al.&lt;/i&gt;, 2015)"},"properties":{"noteIndex":0},"schema":"https://github.com/citation-style-language/schema/raw/master/csl-citation.json"}</w:instrText>
      </w:r>
      <w:r w:rsidR="00B07307">
        <w:fldChar w:fldCharType="separate"/>
      </w:r>
      <w:r w:rsidR="007416C7" w:rsidRPr="007416C7">
        <w:rPr>
          <w:noProof/>
        </w:rPr>
        <w:t xml:space="preserve">(Langford, 1976; Fernández </w:t>
      </w:r>
      <w:r w:rsidR="007416C7" w:rsidRPr="007416C7">
        <w:rPr>
          <w:i/>
          <w:noProof/>
        </w:rPr>
        <w:t>et al.</w:t>
      </w:r>
      <w:r w:rsidR="007416C7" w:rsidRPr="007416C7">
        <w:rPr>
          <w:noProof/>
        </w:rPr>
        <w:t xml:space="preserve">, 2006; Nolan </w:t>
      </w:r>
      <w:r w:rsidR="007416C7" w:rsidRPr="007416C7">
        <w:rPr>
          <w:i/>
          <w:noProof/>
        </w:rPr>
        <w:t>et al.</w:t>
      </w:r>
      <w:r w:rsidR="007416C7" w:rsidRPr="007416C7">
        <w:rPr>
          <w:noProof/>
        </w:rPr>
        <w:t>, 2015)</w:t>
      </w:r>
      <w:r w:rsidR="00B07307">
        <w:fldChar w:fldCharType="end"/>
      </w:r>
    </w:p>
    <w:p w14:paraId="050B4595" w14:textId="5C90B073" w:rsidR="00B038EC" w:rsidRDefault="003D395B" w:rsidP="002A792F">
      <w:pPr>
        <w:pStyle w:val="Para0bullet"/>
        <w:numPr>
          <w:ilvl w:val="0"/>
          <w:numId w:val="26"/>
        </w:numPr>
      </w:pPr>
      <w:r>
        <w:t>i</w:t>
      </w:r>
      <w:r w:rsidR="00B038EC">
        <w:t>nsect attack</w:t>
      </w:r>
      <w:r w:rsidR="00B07307">
        <w:t xml:space="preserve"> </w:t>
      </w:r>
      <w:r w:rsidR="00B07307">
        <w:fldChar w:fldCharType="begin" w:fldLock="1"/>
      </w:r>
      <w:r w:rsidR="0005134E">
        <w:instrText>ADDIN CSL_CITATION {"citationItems":[{"id":"ITEM-1","itemData":{"author":[{"dropping-particle":"","family":"Watson","given":"Fred G R","non-dropping-particle":"","parse-names":false,"suffix":""},{"dropping-particle":"","family":"Vertessy","given":"R A","non-dropping-particle":"","parse-names":false,"suffix":""},{"dropping-particle":"","family":"McMahon","given":"T A","non-dropping-particle":"","parse-names":false,"suffix":""},{"dropping-particle":"","family":"Rhodes","given":"B G","non-dropping-particle":"","parse-names":false,"suffix":""},{"dropping-particle":"","family":"Watson","given":"I S","non-dropping-particle":"","parse-names":false,"suffix":""}],"id":"ITEM-1","issued":{"date-parts":[["1998"]]},"number-of-pages":"38","publisher":"Cooperative Research Centre for Catchment Hydrology","publisher-place":"Canberra","title":"The hydrologic impacts of forestry on the Maroondah catchments","type":"report"},"uris":["http://www.mendeley.com/documents/?uuid=a1aef21c-bb22-40b2-bf86-fd29b69c8c52"]},{"id":"ITEM-2","itemData":{"author":[{"dropping-particle":"","family":"Cornish","given":"P M","non-dropping-particle":"","parse-names":false,"suffix":""},{"dropping-particle":"","family":"Vertessy","given":"R A","non-dropping-particle":"","parse-names":false,"suffix":""}],"container-title":"Journal of Hydrology","id":"ITEM-2","issue":"1-2","issued":{"date-parts":[["2001"]]},"page":"43-63","publisher":"Elsevier","title":"Forest age-induced changes in evapotranspiration and water yield in a eucalypt forest","type":"article-journal","volume":"242"},"uris":["http://www.mendeley.com/documents/?uuid=250064c6-6b1e-4bfa-8765-d9e998370392"]},{"id":"ITEM-3","itemData":{"DOI":"10.1016/S0378-1127(00)00517-X","author":[{"dropping-particle":"","family":"Watson","given":"Fred","non-dropping-particle":"","parse-names":false,"suffix":""},{"dropping-particle":"","family":"Vertessy","given":"Rob A","non-dropping-particle":"","parse-names":false,"suffix":""},{"dropping-particle":"","family":"McMahon","given":"Tom","non-dropping-particle":"","parse-names":false,"suffix":""},{"dropping-particle":"","family":"Rhodes","given":"Bruce","non-dropping-particle":"","parse-names":false,"suffix":""},{"dropping-particle":"","family":"Watson","given":"Ian","non-dropping-particle":"","parse-names":false,"suffix":""}],"container-title":"Forest Ecology and Management","id":"ITEM-3","issue":"1-3","issued":{"date-parts":[["2001"]]},"page":"189-204","publisher":"Elsevier","title":"Improved methods to assess water yield changes from paired-catchment studies: application to the Maroondah catchments","type":"article-journal","volume":"143"},"uris":["http://www.mendeley.com/documents/?uuid=a92fceb4-1b69-47bd-9528-f48f4d0c1919"]},{"id":"ITEM-4","itemData":{"author":[{"dropping-particle":"","family":"Hélie","given":"J F","non-dropping-particle":"","parse-names":false,"suffix":""},{"dropping-particle":"","family":"Peters","given":"D L","non-dropping-particle":"","parse-names":false,"suffix":""},{"dropping-particle":"","family":"Tattrie","given":"K R","non-dropping-particle":"","parse-names":false,"suffix":""},{"dropping-particle":"","family":"Gibson","given":"J J","non-dropping-particle":"","parse-names":false,"suffix":""}],"container-title":"Natural Resources Canada, Canadian Forest Service, Pacific Forestry Centre","id":"ITEM-4","issued":{"date-parts":[["2005"]]},"publisher-place":"Victoria, British Columbia, Canada","title":"Review and synthesis of potential hydrologic impacts of mountain pine beetle and related harvesting activities in British Columbia: Mountain Pine Beetle Initiative Working Paper 2005-23","type":"report"},"uris":["http://www.mendeley.com/documents/?uuid=7bdc6632-34ce-43be-aa21-21772fc8c99a"]},{"id":"ITEM-5","itemData":{"DOI":"10.1016/j.foreco.2006.07.008","author":[{"dropping-particle":"","family":"Fernández","given":"Cristina","non-dropping-particle":"","parse-names":false,"suffix":""},{"dropping-particle":"","family":"Vega","given":"José A","non-dropping-particle":"","parse-names":false,"suffix":""},{"dropping-particle":"","family":"Gras","given":"José M","non-dropping-particle":"","parse-names":false,"suffix":""},{"dropping-particle":"","family":"Fonturbel","given":"Teresa","non-dropping-particle":"","parse-names":false,"suffix":""}],"container-title":"Forest Ecology and Management","id":"ITEM-5","issue":"1-3","issued":{"date-parts":[["2006"]]},"page":"275-281","publisher":"Elsevier","title":"Changes in water yield after a sequence of perturbations and forest management practices in an Eucalyptus globulus Labill. watershed in Northwestern Spain","type":"article-journal","volume":"234"},"uris":["http://www.mendeley.com/documents/?uuid=ecae4600-d5ea-4d7c-be9b-4f62c1baa783"]}],"mendeley":{"formattedCitation":"(Watson &lt;i&gt;et al.&lt;/i&gt;, 1998b, 2001; Cornish and Vertessy, 2001; Hélie &lt;i&gt;et al.&lt;/i&gt;, 2005; Fernández &lt;i&gt;et al.&lt;/i&gt;, 2006)","plainTextFormattedCitation":"(Watson et al., 1998b, 2001; Cornish and Vertessy, 2001; Hélie et al., 2005; Fernández et al., 2006)","previouslyFormattedCitation":"(Watson &lt;i&gt;et al.&lt;/i&gt;, 1998b, 2001; Cornish and Vertessy, 2001; Hélie &lt;i&gt;et al.&lt;/i&gt;, 2005; Fernández &lt;i&gt;et al.&lt;/i&gt;, 2006)"},"properties":{"noteIndex":0},"schema":"https://github.com/citation-style-language/schema/raw/master/csl-citation.json"}</w:instrText>
      </w:r>
      <w:r w:rsidR="00B07307">
        <w:fldChar w:fldCharType="separate"/>
      </w:r>
      <w:r w:rsidR="00D11C5B" w:rsidRPr="00D11C5B">
        <w:rPr>
          <w:noProof/>
        </w:rPr>
        <w:t xml:space="preserve">(Watson </w:t>
      </w:r>
      <w:r w:rsidR="00D11C5B" w:rsidRPr="00D11C5B">
        <w:rPr>
          <w:i/>
          <w:noProof/>
        </w:rPr>
        <w:t>et al.</w:t>
      </w:r>
      <w:r w:rsidR="00D11C5B" w:rsidRPr="00D11C5B">
        <w:rPr>
          <w:noProof/>
        </w:rPr>
        <w:t xml:space="preserve">, 1998b, 2001; Cornish and Vertessy, 2001; Hélie </w:t>
      </w:r>
      <w:r w:rsidR="00D11C5B" w:rsidRPr="00D11C5B">
        <w:rPr>
          <w:i/>
          <w:noProof/>
        </w:rPr>
        <w:t>et al.</w:t>
      </w:r>
      <w:r w:rsidR="00D11C5B" w:rsidRPr="00D11C5B">
        <w:rPr>
          <w:noProof/>
        </w:rPr>
        <w:t xml:space="preserve">, 2005; Fernández </w:t>
      </w:r>
      <w:r w:rsidR="00D11C5B" w:rsidRPr="00D11C5B">
        <w:rPr>
          <w:i/>
          <w:noProof/>
        </w:rPr>
        <w:t>et al.</w:t>
      </w:r>
      <w:r w:rsidR="00D11C5B" w:rsidRPr="00D11C5B">
        <w:rPr>
          <w:noProof/>
        </w:rPr>
        <w:t>, 2006)</w:t>
      </w:r>
      <w:r w:rsidR="00B07307">
        <w:fldChar w:fldCharType="end"/>
      </w:r>
      <w:r w:rsidR="00B038EC">
        <w:t xml:space="preserve"> and</w:t>
      </w:r>
    </w:p>
    <w:p w14:paraId="1C79238C" w14:textId="48D1BC19" w:rsidR="00B038EC" w:rsidRDefault="003D395B" w:rsidP="00CE5AEC">
      <w:pPr>
        <w:pStyle w:val="Para0bullet"/>
        <w:widowControl w:val="0"/>
        <w:numPr>
          <w:ilvl w:val="0"/>
          <w:numId w:val="26"/>
        </w:numPr>
        <w:ind w:left="357" w:hanging="357"/>
      </w:pPr>
      <w:r>
        <w:t>v</w:t>
      </w:r>
      <w:r w:rsidR="00B038EC">
        <w:t>arious forms of forest harvesting and regeneration</w:t>
      </w:r>
      <w:r w:rsidR="00B07307">
        <w:t xml:space="preserve"> </w:t>
      </w:r>
      <w:r w:rsidR="00D50DCE">
        <w:fldChar w:fldCharType="begin" w:fldLock="1"/>
      </w:r>
      <w:r w:rsidR="0005134E">
        <w:instrText>ADDIN CSL_CITATION {"citationItems":[{"id":"ITEM-1","itemData":{"author":[{"dropping-particle":"","family":"Cornish","given":"P M","non-dropping-particle":"","parse-names":false,"suffix":""}],"container-title":"Journal of Hydrology","id":"ITEM-1","issue":"2-4","issued":{"date-parts":[["1993"]]},"page":"301-322","publisher":"Elsevier","title":"The effects of logging and forest regeneration on water yields in a moist eucalypt forest in New South Wales, Australia","type":"article-journal","volume":"150"},"uris":["http://www.mendeley.com/documents/?uuid=cd59a398-078f-498f-a1c9-1e9d68a69e51"]},{"id":"ITEM-2","itemData":{"DOI":"10.1016/0022-1694(93)90115-P","author":[{"dropping-particle":"","family":"Hornbeck","given":"J W","non-dropping-particle":"","parse-names":false,"suffix":""},{"dropping-particle":"","family":"Adams","given":"M B","non-dropping-particle":"","parse-names":false,"suffix":""},{"dropping-particle":"","family":"Corbett","given":"E S","non-dropping-particle":"","parse-names":false,"suffix":""},{"dropping-particle":"","family":"Verry","given":"E S","non-dropping-particle":"","parse-names":false,"suffix":""},{"dropping-particle":"","family":"Lynch","given":"J A","non-dropping-particle":"","parse-names":false,"suffix":""}],"container-title":"Journal of Hydrology","id":"ITEM-2","issue":"2-4","issued":{"date-parts":[["1993"]]},"page":"323-344","publisher":"Elsevier","title":"Long-term impacts of forest treatments on water yield: a summary for northeastern USA","type":"article-journal","volume":"150"},"uris":["http://www.mendeley.com/documents/?uuid=2dbcea58-c3c5-420d-b138-70d1311dccb3"]},{"id":"ITEM-3","itemData":{"DOI":"10.5194/hess-1-409-1997","author":[{"dropping-particle":"","family":"Hudson","given":"J A","non-dropping-particle":"","parse-names":false,"suffix":""},{"dropping-particle":"","family":"Crane","given":"S B","non-dropping-particle":"","parse-names":false,"suffix":""},{"dropping-particle":"","family":"Blackie","given":"J R","non-dropping-particle":"","parse-names":false,"suffix":""}],"container-title":"Hydrology and Earth System Sciences","id":"ITEM-3","issue":"3","issued":{"date-parts":[["1997"]]},"page":"409-427","title":"The Plynlimon water balance 1969-1995: the impact of forest and moorland vegetation on evaporation and streamflow in upland catchments","type":"article-journal","volume":"1"},"uris":["http://www.mendeley.com/documents/?uuid=cf8b6a57-8c22-4ece-9866-158b2d3dd6d6"]},{"id":"ITEM-4","itemData":{"ISBN":"9780975840047","abstract":"Disturbance of forested catchments by fire, logging, or other natural or human induced events that alter the evapotranspiration regime may be a substantial threat to domestic, environmental and industrial water supplies. While security of water supplies have always been of high importance in Australia, the recent long-lived drought, climate change predictions and two major \" mega fire \" events in 4 years that have burnt over 2 million ha of native forest in Victoria alone, have placed alarming uncertainty on the State's water resources. Furthermore, there are predictions of more frequent and intense wildfire under climate change (Howe et al., 2005). Physically-based models that can predict the hydrologic impact of forest disturbance and climatic inputs will be crucial for understanding changed water yields and for informing forest management options. One such model is Macaque (Watson, 1999), a physically based spatially distributed daily time step process model that was developed specifically to replicate the water yield variation over time observed in Victorian central highland catchments after the 1939 bushfires. This paper describes the modelling of the long term changes in water yield from two fire affected catchments, and of fire and climate change scenarios in Melbourne's principal water supply catchment (488km 2). The effect of scale, data availability and quality, and of species parameterisation is explored. For the two fire affected catchments, Mitta Mitta (1533 km 2) and Tambo (551 km 2) 250 year simulations were run with the changed vegetation conditions and with no disturbance. Macaque predicted a significant yield decrease, with a maximum annual change of 17% for the Mitta Mitta and a long-term decrease of 7%. These values were 20% and 7% for the Tambo. However there were some important uncertainties identified. The model calibrations although reasonable (Nash &amp; Sutcliffe (E) = 0.5-0.6) demonstrated there were periods with significant discrepancies between observed and predicted flows in the calibration phase. It is likely that poor precipitation coverage over large, sparsely populated catchments is one cause. A second may have been the use of the model outside of its development range; i.e. into areas with drier forest types where the evapotranspiration characteristics are not well known. Subsequently, Macaque was calibrated for the Thomson catchment (488 km 2), which has a better coverage of rainfall stations, and a far smaller proportion…","author":[{"dropping-particle":"","family":"Lane","given":"P. N.J.","non-dropping-particle":"","parse-names":false,"suffix":""},{"dropping-particle":"","family":"Feikema","given":"P. M.","non-dropping-particle":"","parse-names":false,"suffix":""},{"dropping-particle":"","family":"Sherwin","given":"C. B.","non-dropping-particle":"","parse-names":false,"suffix":""},{"dropping-particle":"","family":"Peel","given":"M. C.","non-dropping-particle":"","parse-names":false,"suffix":""},{"dropping-particle":"","family":"Freebairn","given":"A.","non-dropping-particle":"","parse-names":false,"suffix":""}],"container-title":"MODSIM 2007 International Congress on Modelling and Simulation. Modelling and Simulation Society of Australia and New Zealand","editor":[{"dropping-particle":"","family":"Oxley","given":"L","non-dropping-particle":"","parse-names":false,"suffix":""},{"dropping-particle":"","family":"Kulasiri","given":"D","non-dropping-particle":"","parse-names":false,"suffix":""}],"id":"ITEM-4","issued":{"date-parts":[["2007"]]},"page":"2953-2959","title":"Physically-based prediction of water yield from disturbed forested water supply catchments","type":"paper-conference"},"uris":["http://www.mendeley.com/documents/?uuid=35a0f79f-e3ab-4822-b2b1-9e41492a6254"]},{"id":"ITEM-5","itemData":{"author":[{"dropping-particle":"","family":"Watson","given":"Fred G R","non-dropping-particle":"","parse-names":false,"suffix":""},{"dropping-particle":"","family":"Vertessy","given":"R A","non-dropping-particle":"","parse-names":false,"suffix":""},{"dropping-particle":"","family":"McMahon","given":"T A","non-dropping-particle":"","parse-names":false,"suffix":""},{"dropping-particle":"","family":"Rhodes","given":"B G","non-dropping-particle":"","parse-names":false,"suffix":""},{"dropping-particle":"","family":"Watson","given":"I S","non-dropping-particle":"","parse-names":false,"suffix":""}],"id":"ITEM-5","issued":{"date-parts":[["1998"]]},"number-of-pages":"38","publisher":"Cooperative Research Centre for Catchment Hydrology","publisher-place":"Canberra","title":"The hydrologic impacts of forestry on the Maroondah catchments","type":"report"},"uris":["http://www.mendeley.com/documents/?uuid=a1aef21c-bb22-40b2-bf86-fd29b69c8c52"]},{"id":"ITEM-6","itemData":{"author":[{"dropping-particle":"","family":"Cornish","given":"P M","non-dropping-particle":"","parse-names":false,"suffix":""},{"dropping-particle":"","family":"Vertessy","given":"R A","non-dropping-particle":"","parse-names":false,"suffix":""}],"container-title":"Journal of Hydrology","id":"ITEM-6","issue":"1-2","issued":{"date-parts":[["2001"]]},"page":"43-63","publisher":"Elsevier","title":"Forest age-induced changes in evapotranspiration and water yield in a eucalypt forest","type":"article-journal","volume":"242"},"uris":["http://www.mendeley.com/documents/?uuid=250064c6-6b1e-4bfa-8765-d9e998370392"]},{"id":"ITEM-7","itemData":{"DOI":"10.1016/S0378-1127(00)00512-0","author":[{"dropping-particle":"","family":"Lane","given":"Patrick N J","non-dropping-particle":"","parse-names":false,"suffix":""},{"dropping-particle":"","family":"Mackay","given":"Stephen M","non-dropping-particle":"","parse-names":false,"suffix":""}],"container-title":"Forest Ecology and Management","id":"ITEM-7","issue":"1-3","issued":{"date-parts":[["2001"]]},"page":"131-142","publisher":"Elsevier","title":"Streamflow response of mixed-species eucalypt forests to patch cutting and thinning treatments","type":"article-journal","volume":"143"},"uris":["http://www.mendeley.com/documents/?uuid=fcdd4b9e-d756-4b93-a70a-df8669cd7fd5"]},{"id":"ITEM-8","itemData":{"DOI":"10.1016/j.foreco.2006.07.008","author":[{"dropping-particle":"","family":"Fernández","given":"Cristina","non-dropping-particle":"","parse-names":false,"suffix":""},{"dropping-particle":"","family":"Vega","given":"José A","non-dropping-particle":"","parse-names":false,"suffix":""},{"dropping-particle":"","family":"Gras","given":"José M","non-dropping-particle":"","parse-names":false,"suffix":""},{"dropping-particle":"","family":"Fonturbel","given":"Teresa","non-dropping-particle":"","parse-names":false,"suffix":""}],"container-title":"Forest Ecology and Management","id":"ITEM-8","issue":"1-3","issued":{"date-parts":[["2006"]]},"page":"275-281","publisher":"Elsevier","title":"Changes in water yield after a sequence of perturbations and forest management practices in an Eucalyptus globulus Labill. watershed in Northwestern Spain","type":"article-journal","volume":"234"},"uris":["http://www.mendeley.com/documents/?uuid=ecae4600-d5ea-4d7c-be9b-4f62c1baa783"]},{"id":"ITEM-9","itemData":{"DOI":"10.1016/j.jhydrol.2010.01.007","ISSN":"00221694","abstract":"The Coranderrk Project, located 70 km east of Melbourne, is Australia's longest-running paired catchment study. Three small catchments (\"Slip Creek\", \"Blue Jacket Creek\", and \"Picaninny Creek\") originally carrying old growth mountain ash and mixed species have been gauged since 1958. In 1971/72 Picaninny Creek catchment was substantially clear-felled and regenerated, predominantly with mountain ash (Eucalyptus regnans). The annual flow increased for the next 3 years (relative to the control), reaching a peak of almost 300 mm increase relative to the control catchment. Flow then declined; 8 years after the logging the annual flow had returned to pre-logging levels. Annual flow then continued to decline with a maximum reduction of around 200 mm per annum. Thirty-four years after logging the flow was still below the pre-treatment flow and showing no sign of recovery, although there were year to year variations associated with rainfall and drought. In 1972/73 Blue Jacket Creek had a \"sawmiller selection\" cutting in which approximately 50% of the basal area was removed. The response was a similar but muted version of the Picaninny Creek response. A statistical analysis used 1 year of the pre-treatment period to establish error limits. This showed that in both cases there was a statistically significant increase in flow followed by a statistically significant decrease in flow relative to old growth. Measurement of two of the catchments is continuing. © 2010 Elsevier B.V. All rights reserved.","author":[{"dropping-particle":"","family":"Bren","given":"Leon","non-dropping-particle":"","parse-names":false,"suffix":""},{"dropping-particle":"","family":"Lane","given":"Patrick","non-dropping-particle":"","parse-names":false,"suffix":""},{"dropping-particle":"","family":"Hepworth","given":"Graham","non-dropping-particle":"","parse-names":false,"suffix":""}],"container-title":"Journal of Hydrology","id":"ITEM-9","issue":"1-2","issued":{"date-parts":[["2010"]]},"page":"52-64","title":"Longer-term water use of native eucalyptus forest after logging and regeneration: The Coranderrk experiment","type":"article-journal","volume":"384"},"uris":["http://www.mendeley.com/documents/?uuid=16e351f8-5b26-4efc-88b6-0c81e999a219"]},{"id":"ITEM-10","itemData":{"DOI":"10.1016/j.jhydrol.2012.07.034","ISSN":"00221694","abstract":"The Karuah replicated paired catchment experiment was initiated in the 1970s to examine the hydrological effects of eucalypt-to-eucalypt forest succession in New South Wales, Australia. Treatments were conducted on 25.4-78.8% of the area of six small catchments in 1983. Five of the treated catchments experienced a significant increase in streamflow following forest disturbance, equivalent to annual water yield changes ranging from 120mm to 319.6mm which varied in proportion to the percentage of each catchment logged. This initial increase lasted for greater than 5years in the logged and unburnt Bollygum (L-) catchment, but had returned to pre-treatment levels within 2.5years in the logged and burnt (L+) Corkwood and Jackwood catchments, and within 2years in the Kokata and Coachwood plantation catchments (P). A significant reduction in streamflow then occurred in three catchments - Corkwood (113.5mma -1), Bollygum (72.7mma -1) and Kokata (68.9mma -1) - but had returned to the pre-treatment level within 7years post-harvest in the Corkwood catchment. A continuing suppression of streamflow after 27years is evident in two of the catchments, Bollygum and Kokata, with Kokata experiencing a further decline from 2005 onwards to a mean annual reduction of 172.4mm. By contrast a significant increase in streamflow relative to the pre-treatment level has been recorded in the Jackwood catchment after 23years (157.6mma -1). Relative changes in streamflow measured in this experiment can be explained largely by changes in forest species composition, basal area and stocking rates. The eucalypt stands have variously self-thinned and in some cases forest growth appears to have been slowed by insect attack and bell miner associated dieback. Contrary to earlier published findings, while this study confirms that Mountain ash type water yield reductions can occur in other forest types, this response appears to be the exception rather than the rule. These findings have implications for the modelling and management of water yield impacts of mixed species eucalypt forest disturbance. © 2012 Elsevier B.V.","author":[{"dropping-particle":"","family":"Webb","given":"Ashley A.","non-dropping-particle":"","parse-names":false,"suffix":""},{"dropping-particle":"","family":"Kathuria","given":"Amrit","non-dropping-particle":"","parse-names":false,"suffix":""},{"dropping-particle":"","family":"Turner","given":"Lisa","non-dropping-particle":"","parse-names":false,"suffix":""}],"container-title":"Journal of Hydrology","id":"ITEM-10","issued":{"date-parts":[["2012"]]},"page":"412-422","publisher":"Elsevier B.V.","title":"Longer-term changes in streamflow following logging and mixed species eucalypt forest regeneration: The Karuah experiment","type":"article-journal","volume":"464-465"},"uris":["http://www.mendeley.com/documents/?uuid=2b68f6b0-7b2c-4e73-b222-64aa3fe074ed"]},{"id":"ITEM-11","itemData":{"DOI":"10.1016/j.foreco.2013.09.046","ISSN":"03781127","abstract":"Forest thinning has the potential to be used as a water supply augmentation strategy through the reduction of sapwood and leaf areas that also decreases stand evapotranspiration. This study investigated the long term effects of a range of thinning treatments (patch-cutting, uniform thinning, strip-thinning, understorey removal) on the vegetation structure and water yield of mountain ash (Eucalyptus regnans) forests in south eastern Australia. The paired catchment method and Light Detection and Ranging (LiDAR) data were utilised to assess the post-thinning changes in water yield and vegetation structure respectively. The first post-treatment phase started at the end of the treatments in the late 1970s/early 1980s until the suspension of measurements in 1997, the second post-treatment phase started when the measurements resumed in 2007/2008 until a wildfire in February 2008. Up to 36% increase in annual water yield was detected during the first post-treatment phase. Strip-thinning produced the largest cumulative increase in water yield (up to 1813. mm), followed by uniform thinning and patch-cutting. The magnitude of the treatment effect appeared to be amplified during a very wet/dry period, which may be due to post-thinning changes in the runoff generation processes. During the second post-treatment phase, a trend of decreased water yield was detected at several treated catchments. Canopy height profiles (CHPs) and mean effective leaf area index (LAI) that were derived from LiDAR data, along with recent forest inventory data, indicated a recovery of vegetation cover. This may partially explain the decrease in water yield. Meanwhile, the decade-long drought (1997-2008) that coincided with this period of decreased water yield might have exacerbated its magnitude. Thinning may not be a net water gain over the long term if the recent trend of decreasing water yield continues. © 2013 Elsevier B.V.","author":[{"dropping-particle":"","family":"Hawthorne","given":"Sandra N D","non-dropping-particle":"","parse-names":false,"suffix":""},{"dropping-particle":"","family":"Lane","given":"Patrick N J","non-dropping-particle":"","parse-names":false,"suffix":""},{"dropping-particle":"","family":"Bren","given":"Leon J.","non-dropping-particle":"","parse-names":false,"suffix":""},{"dropping-particle":"","family":"Sims","given":"Neil C.","non-dropping-particle":"","parse-names":false,"suffix":""}],"container-title":"Forest Ecology and Management","id":"ITEM-11","issued":{"date-parts":[["2013"]]},"page":"983-993","publisher":"Elsevier B.V.","title":"The long term effects of thinning treatments on vegetation structure and water yield","type":"article-journal","volume":"310"},"uris":["http://www.mendeley.com/documents/?uuid=d3862d37-506f-4659-8f3d-9e9cafd4d10a"]}],"mendeley":{"formattedCitation":"(Cornish, 1993; Hornbeck &lt;i&gt;et al.&lt;/i&gt;, 1993; Hudson &lt;i&gt;et al.&lt;/i&gt;, 1997; Watson &lt;i&gt;et al.&lt;/i&gt;, 1998b; Cornish and Vertessy, 2001; Lane and Mackay, 2001; Fernández &lt;i&gt;et al.&lt;/i&gt;, 2006; Lane &lt;i&gt;et al.&lt;/i&gt;, 2007; Bren &lt;i&gt;et al.&lt;/i&gt;, 2010; Webb &lt;i&gt;et al.&lt;/i&gt;, 2012; Hawthorne &lt;i&gt;et al.&lt;/i&gt;, 2013)","plainTextFormattedCitation":"(Cornish, 1993; Hornbeck et al., 1993; Hudson et al., 1997; Watson et al., 1998b; Cornish and Vertessy, 2001; Lane and Mackay, 2001; Fernández et al., 2006; Lane et al., 2007; Bren et al., 2010; Webb et al., 2012; Hawthorne et al., 2013)","previouslyFormattedCitation":"(Cornish, 1993; Hornbeck &lt;i&gt;et al.&lt;/i&gt;, 1993; Hudson &lt;i&gt;et al.&lt;/i&gt;, 1997; Watson &lt;i&gt;et al.&lt;/i&gt;, 1998b; Cornish and Vertessy, 2001; Lane and Mackay, 2001; Fernández &lt;i&gt;et al.&lt;/i&gt;, 2006; Lane &lt;i&gt;et al.&lt;/i&gt;, 2007; Bren &lt;i&gt;et al.&lt;/i&gt;, 2010; Webb &lt;i&gt;et al.&lt;/i&gt;, 2012; Hawthorne &lt;i&gt;et al.&lt;/i&gt;, 2013)"},"properties":{"noteIndex":0},"schema":"https://github.com/citation-style-language/schema/raw/master/csl-citation.json"}</w:instrText>
      </w:r>
      <w:r w:rsidR="00D50DCE">
        <w:fldChar w:fldCharType="separate"/>
      </w:r>
      <w:r w:rsidR="007416C7" w:rsidRPr="007416C7">
        <w:rPr>
          <w:noProof/>
        </w:rPr>
        <w:t xml:space="preserve">(Cornish, 1993; Hornbeck </w:t>
      </w:r>
      <w:r w:rsidR="007416C7" w:rsidRPr="007416C7">
        <w:rPr>
          <w:i/>
          <w:noProof/>
        </w:rPr>
        <w:t>et al.</w:t>
      </w:r>
      <w:r w:rsidR="007416C7" w:rsidRPr="007416C7">
        <w:rPr>
          <w:noProof/>
        </w:rPr>
        <w:t xml:space="preserve">, 1993; Hudson </w:t>
      </w:r>
      <w:r w:rsidR="007416C7" w:rsidRPr="007416C7">
        <w:rPr>
          <w:i/>
          <w:noProof/>
        </w:rPr>
        <w:t>et al.</w:t>
      </w:r>
      <w:r w:rsidR="007416C7" w:rsidRPr="007416C7">
        <w:rPr>
          <w:noProof/>
        </w:rPr>
        <w:t xml:space="preserve">, 1997; Watson </w:t>
      </w:r>
      <w:r w:rsidR="007416C7" w:rsidRPr="007416C7">
        <w:rPr>
          <w:i/>
          <w:noProof/>
        </w:rPr>
        <w:t>et al.</w:t>
      </w:r>
      <w:r w:rsidR="007416C7" w:rsidRPr="007416C7">
        <w:rPr>
          <w:noProof/>
        </w:rPr>
        <w:t xml:space="preserve">, 1998b; Cornish and Vertessy, 2001; Lane and Mackay, 2001; Fernández </w:t>
      </w:r>
      <w:r w:rsidR="007416C7" w:rsidRPr="007416C7">
        <w:rPr>
          <w:i/>
          <w:noProof/>
        </w:rPr>
        <w:t>et al.</w:t>
      </w:r>
      <w:r w:rsidR="007416C7" w:rsidRPr="007416C7">
        <w:rPr>
          <w:noProof/>
        </w:rPr>
        <w:t xml:space="preserve">, 2006; Lane </w:t>
      </w:r>
      <w:r w:rsidR="007416C7" w:rsidRPr="007416C7">
        <w:rPr>
          <w:i/>
          <w:noProof/>
        </w:rPr>
        <w:t>et al.</w:t>
      </w:r>
      <w:r w:rsidR="007416C7" w:rsidRPr="007416C7">
        <w:rPr>
          <w:noProof/>
        </w:rPr>
        <w:t xml:space="preserve">, 2007; Bren </w:t>
      </w:r>
      <w:r w:rsidR="007416C7" w:rsidRPr="007416C7">
        <w:rPr>
          <w:i/>
          <w:noProof/>
        </w:rPr>
        <w:t>et al.</w:t>
      </w:r>
      <w:r w:rsidR="007416C7" w:rsidRPr="007416C7">
        <w:rPr>
          <w:noProof/>
        </w:rPr>
        <w:t xml:space="preserve">, 2010; Webb </w:t>
      </w:r>
      <w:r w:rsidR="007416C7" w:rsidRPr="007416C7">
        <w:rPr>
          <w:i/>
          <w:noProof/>
        </w:rPr>
        <w:t>et al.</w:t>
      </w:r>
      <w:r w:rsidR="007416C7" w:rsidRPr="007416C7">
        <w:rPr>
          <w:noProof/>
        </w:rPr>
        <w:t xml:space="preserve">, 2012; Hawthorne </w:t>
      </w:r>
      <w:r w:rsidR="007416C7" w:rsidRPr="007416C7">
        <w:rPr>
          <w:i/>
          <w:noProof/>
        </w:rPr>
        <w:t>et al.</w:t>
      </w:r>
      <w:r w:rsidR="007416C7" w:rsidRPr="007416C7">
        <w:rPr>
          <w:noProof/>
        </w:rPr>
        <w:t>, 2013)</w:t>
      </w:r>
      <w:r w:rsidR="00D50DCE">
        <w:fldChar w:fldCharType="end"/>
      </w:r>
      <w:r w:rsidR="00B038EC">
        <w:t>.</w:t>
      </w:r>
    </w:p>
    <w:p w14:paraId="4DC13881" w14:textId="77853B93" w:rsidR="00CF25E4" w:rsidRDefault="00CF25E4" w:rsidP="00CE5AEC">
      <w:pPr>
        <w:pStyle w:val="Para0"/>
        <w:widowControl w:val="0"/>
        <w:spacing w:before="120"/>
      </w:pPr>
      <w:r>
        <w:t xml:space="preserve">As a forest ages after disturbance, it changes from a very dense young forest to a mature </w:t>
      </w:r>
      <w:r w:rsidR="00126862">
        <w:t xml:space="preserve">forest </w:t>
      </w:r>
      <w:r>
        <w:t>(around 120 years) that exhibits large gaps in the overstorey canopy. It is the change in the density of forest stands with age that produces a marked difference in AET and thus streamflow.</w:t>
      </w:r>
    </w:p>
    <w:p w14:paraId="098F0B09" w14:textId="3FA1EB7C" w:rsidR="006146D0" w:rsidRDefault="006146D0" w:rsidP="006146D0">
      <w:pPr>
        <w:pStyle w:val="Para0"/>
      </w:pPr>
      <w:r>
        <w:lastRenderedPageBreak/>
        <w:t xml:space="preserve">Bushfires in Melbourne’s catchments can have a strong influence on catchment yield, depending on fire severity and forest type and age. Obligate seeder eucalypt forests (eucalypt species that are usually killed by fire of moderate to high intensity and can only regenerate from seeds), such as mountain ash, occupy the wetter half of Melbourne’s catchments, which produce about 80% of the streamflow. </w:t>
      </w:r>
    </w:p>
    <w:p w14:paraId="49EC5BE2" w14:textId="30580C67" w:rsidR="006B2FA7" w:rsidRDefault="00CF25E4" w:rsidP="00B038EC">
      <w:pPr>
        <w:pStyle w:val="Para0"/>
      </w:pPr>
      <w:r>
        <w:t xml:space="preserve">Many experimental studies investigating the hydrologic </w:t>
      </w:r>
      <w:r w:rsidR="00E51535">
        <w:t xml:space="preserve">effects </w:t>
      </w:r>
      <w:r>
        <w:t xml:space="preserve">of forest disturbance on </w:t>
      </w:r>
      <w:r w:rsidR="00622EAA">
        <w:t xml:space="preserve">evapotranspiration </w:t>
      </w:r>
      <w:r>
        <w:t xml:space="preserve">and on catchment water yield have been carried out in eucalypt forests in Australia, particularly in the past two decades. This work </w:t>
      </w:r>
      <w:r w:rsidR="00622EAA">
        <w:t>w</w:t>
      </w:r>
      <w:r>
        <w:t xml:space="preserve">as initiated </w:t>
      </w:r>
      <w:r w:rsidR="00622EAA">
        <w:t xml:space="preserve">following </w:t>
      </w:r>
      <w:r>
        <w:t xml:space="preserve">research in the 1970s and </w:t>
      </w:r>
      <w:r w:rsidR="00622EAA">
        <w:t>19</w:t>
      </w:r>
      <w:r>
        <w:t>80s on the mountain ash forests that are dominated by</w:t>
      </w:r>
      <w:r w:rsidR="00760EBC">
        <w:t xml:space="preserve"> that species (</w:t>
      </w:r>
      <w:r w:rsidRPr="002A792F">
        <w:rPr>
          <w:i/>
          <w:iCs/>
        </w:rPr>
        <w:t>Eucalyptus regnans</w:t>
      </w:r>
      <w:r w:rsidR="00760EBC">
        <w:t>)</w:t>
      </w:r>
      <w:r>
        <w:t xml:space="preserve"> and </w:t>
      </w:r>
      <w:r w:rsidR="00E51535">
        <w:t xml:space="preserve">occupy </w:t>
      </w:r>
      <w:r>
        <w:t xml:space="preserve">much of Melbourne’s water catchments. </w:t>
      </w:r>
      <w:r w:rsidR="00433E13">
        <w:fldChar w:fldCharType="begin" w:fldLock="1"/>
      </w:r>
      <w:r w:rsidR="00D11C5B">
        <w:instrText>ADDIN CSL_CITATION {"citationItems":[{"id":"ITEM-1","itemData":{"DOI":"10.1016/0022-1694(76)90007-X","author":[{"dropping-particle":"","family":"Langford","given":"K.J.","non-dropping-particle":"","parse-names":false,"suffix":""}],"container-title":"Journal of Hydrology","id":"ITEM-1","issue":"1-2","issued":{"date-parts":[["1976"]]},"page":"87-114","title":"Change in yield of water following a bushfire in a forest of Eucalyptus regnans","type":"article-journal","volume":"29"},"uris":["http://www.mendeley.com/documents/?uuid=64ae9071-ab74-4cb1-b15c-d5cd83e799cc"]}],"mendeley":{"formattedCitation":"(Langford, 1976)","manualFormatting":"Langford (1976)","plainTextFormattedCitation":"(Langford, 1976)","previouslyFormattedCitation":"(Langford, 1976)"},"properties":{"noteIndex":0},"schema":"https://github.com/citation-style-language/schema/raw/master/csl-citation.json"}</w:instrText>
      </w:r>
      <w:r w:rsidR="00433E13">
        <w:fldChar w:fldCharType="separate"/>
      </w:r>
      <w:r w:rsidR="00433E13">
        <w:rPr>
          <w:noProof/>
        </w:rPr>
        <w:t>Langford (</w:t>
      </w:r>
      <w:r w:rsidR="00433E13" w:rsidRPr="00433E13">
        <w:rPr>
          <w:noProof/>
        </w:rPr>
        <w:t>1976)</w:t>
      </w:r>
      <w:r w:rsidR="00433E13">
        <w:fldChar w:fldCharType="end"/>
      </w:r>
      <w:r w:rsidR="00433E13">
        <w:t xml:space="preserve"> </w:t>
      </w:r>
      <w:r>
        <w:t xml:space="preserve">demonstrated that regenerating </w:t>
      </w:r>
      <w:r w:rsidRPr="002A792F">
        <w:rPr>
          <w:i/>
        </w:rPr>
        <w:t>E.</w:t>
      </w:r>
      <w:r w:rsidR="00126862">
        <w:rPr>
          <w:i/>
        </w:rPr>
        <w:t xml:space="preserve"> </w:t>
      </w:r>
      <w:r w:rsidRPr="002A792F">
        <w:rPr>
          <w:i/>
        </w:rPr>
        <w:t>regnans</w:t>
      </w:r>
      <w:r>
        <w:t xml:space="preserve"> forests burnt in the severe 1939 bushfires were using more water than the mature forests they replaced. </w:t>
      </w:r>
      <w:r w:rsidR="00E51535">
        <w:t>Langford</w:t>
      </w:r>
      <w:r>
        <w:t xml:space="preserve"> found there was an average 24% reduction in yield over 21</w:t>
      </w:r>
      <w:r w:rsidR="00622EAA">
        <w:t> </w:t>
      </w:r>
      <w:r>
        <w:t>years following the fires, with yields diminishing beneath pre-fire levels within five years of the fires. Th</w:t>
      </w:r>
      <w:r w:rsidR="00E51535">
        <w:t>o</w:t>
      </w:r>
      <w:r>
        <w:t>se findings have been supported by a large body of research</w:t>
      </w:r>
      <w:r w:rsidR="00D50DCE">
        <w:t xml:space="preserve"> </w:t>
      </w:r>
      <w:r w:rsidR="00927754">
        <w:fldChar w:fldCharType="begin" w:fldLock="1"/>
      </w:r>
      <w:r w:rsidR="00066D74">
        <w:instrText>ADDIN CSL_CITATION {"citationItems":[{"id":"ITEM-1","itemData":{"DOI":"10.1016/0022-1694(87)90054-0","author":[{"dropping-particle":"","family":"Kuczera","given":"George","non-dropping-particle":"","parse-names":false,"suffix":""}],"container-title":"Journal of Hydrology","id":"ITEM-1","issued":{"date-parts":[["1987"]]},"page":"215-236","publisher":"Journal of Hydrology","publisher-place":"Amsterdam","title":"Predction of water yield reductions following a bushfire in ash-mixed species eucalypt forest","type":"article-journal","volume":"94"},"uris":["http://www.mendeley.com/documents/?uuid=c54d6334-d945-4271-8c27-85eb8def6bf7"]},{"id":"ITEM-2","itemData":{"DOI":"10.1016/0022-1694(93)90131-R","author":[{"dropping-particle":"","family":"Vertessy","given":"R A","non-dropping-particle":"","parse-names":false,"suffix":""},{"dropping-particle":"","family":"Hatton","given":"T J","non-dropping-particle":"","parse-names":false,"suffix":""},{"dropping-particle":"","family":"O'Shaughnessy","given":"P J","non-dropping-particle":"","parse-names":false,"suffix":""},{"dropping-particle":"","family":"Jayasuriya","given":"M D A","non-dropping-particle":"","parse-names":false,"suffix":""}],"container-title":"Journal of Hydrology","id":"ITEM-2","issue":"2-4","issued":{"date-parts":[["1993"]]},"page":"665-700","publisher":"Elsevier","title":"Predicting water yield from a mountain ash forest catchment using a terrain analysis based catchment model","type":"article-journal","volume":"150"},"uris":["http://www.mendeley.com/documents/?uuid=56c90aba-d684-402c-99bc-43fd078f541e"]},{"id":"ITEM-3","itemData":{"author":[{"dropping-particle":"","family":"Vertessy","given":"R A","non-dropping-particle":"","parse-names":false,"suffix":""},{"dropping-particle":"","family":"Hatton","given":"T J","non-dropping-particle":"","parse-names":false,"suffix":""},{"dropping-particle":"","family":"Benyon","given":"R G","non-dropping-particle":"","parse-names":false,"suffix":""},{"dropping-particle":"","family":"Dawes","given":"W R","non-dropping-particle":"","parse-names":false,"suffix":""}],"container-title":"Tree Physiology","id":"ITEM-3","issue":"1-2","issued":{"date-parts":[["1996"]]},"page":"221-232","publisher":"Heron Publishing","title":"Long-term growth and water balance predictions for a mountain ash (Eucalyptus regnans) forest catchment subject to clear-felling and regeneration","type":"article-journal","volume":"16"},"uris":["http://www.mendeley.com/documents/?uuid=82ba7d08-3cff-4b08-8a62-1f9b98880f34"]},{"id":"ITEM-4","itemData":{"DOI":"10.1093/treephys/15.9.559","author":[{"dropping-particle":"","family":"Vertessy","given":"R A","non-dropping-particle":"","parse-names":false,"suffix":""},{"dropping-particle":"","family":"Benyon","given":"R G","non-dropping-particle":"","parse-names":false,"suffix":""},{"dropping-particle":"","family":"O'Sullivan","given":"S K","non-dropping-particle":"","parse-names":false,"suffix":""},{"dropping-particle":"","family":"Gribben","given":"P R","non-dropping-particle":"","parse-names":false,"suffix":""}],"container-title":"Tree Physiology","id":"ITEM-4","issue":"9","issued":{"date-parts":[["1995"]]},"page":"559-567","publisher":"Heron Publishing","title":"Relationships between stem diameter, sapwood area, leaf area and transpiration in a young mountain ash forest","type":"article-journal","volume":"15"},"uris":["http://www.mendeley.com/documents/?uuid=6621f92c-e6a2-49fd-9527-2c6edf29296f"]},{"id":"ITEM-5","itemData":{"DOI":"10.1016/S0378-1127(00)00501-6","ISSN":"03781127","abstract":"There is a well-documented empirical relationship between stand age and water yield for mountain ash (Eucalyptus regnans) forested catchments in the Central Highlands of Victoria, Australia. Catchments covered with old-growth stands of mountain ash yield almost twice the amount of water annually as those covered with re-growth stands aged 25 years. In this paper, we provide a mechanistic hydro-ecologic explanation for this phenomenon. We measured leaf area index (LAI), sapwood area index (SAI) and various water balance components in several mountain ash stands, ranging in age between 5 and 240 years. Sap flow measurements show that sap velocity does not vary appreciably amongst stands of different ages, but a systematic decline in SAI with age produces a concomitant decrease in stand transpiration. The decline in overstory SAI is accompanied by a decline in overstory LAI. Understory LAI increases as the overstory LAI decreases, but this layer transpires at only about 63% of the mountain ash rate on a per unit leaf area basis. Hence, while total stand LAI decreases are modest over time, the trend is for a significant decline in total stand transpiration as the forest ages. Rainfall interception also declined over time and there was some indication that interception per unit leaf area also declined. Such reductions can be explained by lesser turbulent mixing and elevated humidity around the bulk of the leaf area in the mature forest. There were small decreases in forest floor evaporation through time, though this only accounted for about 5-8% of the site water balance. Our water balance measurements agree qualitatively with empirical water yield relationships developed for mountain ash forests, though the magnitudes of change differ. © 2001 Elsevier Science B.V.","author":[{"dropping-particle":"","family":"Vertessy","given":"Robert A.","non-dropping-particle":"","parse-names":false,"suffix":""},{"dropping-particle":"","family":"Watson","given":"Fred G.R.","non-dropping-particle":"","parse-names":false,"suffix":""},{"dropping-particle":"","family":"O'Sullivan","given":"Sharon K.","non-dropping-particle":"","parse-names":false,"suffix":""}],"container-title":"Forest Ecology and Management","id":"ITEM-5","issue":"1-3","issued":{"date-parts":[["2001"]]},"page":"13-26","title":"Factors determining relations between stand age and catchment water balance in mountain ash forests","type":"article-journal","volume":"143"},"uris":["http://www.mendeley.com/documents/?uuid=fea57314-c762-4fbf-85bf-f1d02b0c38ab"]},{"id":"ITEM-6","itemData":{"DOI":"10.1002/(SICI)1099-1085(19990415)13:5&lt;689::AID-HYP773&gt;3.0.CO;2-D","author":[{"dropping-particle":"","family":"Watson","given":"Fred R","non-dropping-particle":"","parse-names":false,"suffix":""},{"dropping-particle":"","family":"Vertessey","given":"Robert A","non-dropping-particle":"","parse-names":false,"suffix":""},{"dropping-particle":"","family":"Grayson","given":"Rodger B","non-dropping-particle":"","parse-names":false,"suffix":""}],"container-title":"Hydrological Processes","id":"ITEM-6","issued":{"date-parts":[["1999"]]},"page":"689-700","title":"Large-scale modelling of forest hydrological processes and their long-term effect on water yield","type":"article-journal","volume":"13"},"uris":["http://www.mendeley.com/documents/?uuid=aa3dd823-23c9-4807-b3a6-8ffafdcad5a6"]},{"id":"ITEM-7","itemData":{"DOI":"10.1016/S0378-1127(00)00517-X","author":[{"dropping-particle":"","family":"Watson","given":"Fred","non-dropping-particle":"","parse-names":false,"suffix":""},{"dropping-particle":"","family":"Vertessy","given":"Rob A","non-dropping-particle":"","parse-names":false,"suffix":""},{"dropping-particle":"","family":"McMahon","given":"Tom","non-dropping-particle":"","parse-names":false,"suffix":""},{"dropping-particle":"","family":"Rhodes","given":"Bruce","non-dropping-particle":"","parse-names":false,"suffix":""},{"dropping-particle":"","family":"Watson","given":"Ian","non-dropping-particle":"","parse-names":false,"suffix":""}],"container-title":"Forest Ecology and Management","id":"ITEM-7","issue":"1-3","issued":{"date-parts":[["2001"]]},"page":"189-204","publisher":"Elsevier","title":"Improved methods to assess water yield changes from paired-catchment studies: application to the Maroondah catchments","type":"article-journal","volume":"143"},"uris":["http://www.mendeley.com/documents/?uuid=a92fceb4-1b69-47bd-9528-f48f4d0c1919"]}],"mendeley":{"formattedCitation":"(Kuczera, 1987; Vertessy &lt;i&gt;et al.&lt;/i&gt;, 1993, 1995, 1996, 2001; Watson &lt;i&gt;et al.&lt;/i&gt;, 1999, 2001)","manualFormatting":"(e.g. Kuczera, 1987; Vertessy et al., 1993, 1995, 1996, 2001; Watson et al., 1999, 2001)","plainTextFormattedCitation":"(Kuczera, 1987; Vertessy et al., 1993, 1995, 1996, 2001; Watson et al., 1999, 2001)","previouslyFormattedCitation":"(Kuczera, 1987; Vertessy &lt;i&gt;et al.&lt;/i&gt;, 1993, 1995, 1996, 2001; Watson &lt;i&gt;et al.&lt;/i&gt;, 1999, 2001)"},"properties":{"noteIndex":0},"schema":"https://github.com/citation-style-language/schema/raw/master/csl-citation.json"}</w:instrText>
      </w:r>
      <w:r w:rsidR="00927754">
        <w:fldChar w:fldCharType="separate"/>
      </w:r>
      <w:r w:rsidR="00927754" w:rsidRPr="00927754">
        <w:rPr>
          <w:noProof/>
        </w:rPr>
        <w:t>(</w:t>
      </w:r>
      <w:r w:rsidR="00927754">
        <w:rPr>
          <w:noProof/>
        </w:rPr>
        <w:t xml:space="preserve">e.g. </w:t>
      </w:r>
      <w:r w:rsidR="00927754" w:rsidRPr="00927754">
        <w:rPr>
          <w:noProof/>
        </w:rPr>
        <w:t xml:space="preserve">Kuczera, 1987; Vertessy </w:t>
      </w:r>
      <w:r w:rsidR="001C1F9A" w:rsidRPr="001C1F9A">
        <w:rPr>
          <w:i/>
          <w:noProof/>
        </w:rPr>
        <w:t>et al.</w:t>
      </w:r>
      <w:r w:rsidR="00927754" w:rsidRPr="00927754">
        <w:rPr>
          <w:noProof/>
        </w:rPr>
        <w:t xml:space="preserve">, 1993, 1995, 1996, 2001; Watson </w:t>
      </w:r>
      <w:r w:rsidR="001C1F9A" w:rsidRPr="001C1F9A">
        <w:rPr>
          <w:i/>
          <w:noProof/>
        </w:rPr>
        <w:t>et al.</w:t>
      </w:r>
      <w:r w:rsidR="00927754" w:rsidRPr="00927754">
        <w:rPr>
          <w:noProof/>
        </w:rPr>
        <w:t>, 1999, 2001)</w:t>
      </w:r>
      <w:r w:rsidR="00927754">
        <w:fldChar w:fldCharType="end"/>
      </w:r>
      <w:r>
        <w:t xml:space="preserve"> </w:t>
      </w:r>
      <w:r w:rsidR="006146D0">
        <w:t>which</w:t>
      </w:r>
      <w:r>
        <w:t xml:space="preserve"> ha</w:t>
      </w:r>
      <w:r w:rsidR="00622EAA">
        <w:t>s</w:t>
      </w:r>
      <w:r>
        <w:t xml:space="preserve"> both confirmed the impacts and identified the causal processes.</w:t>
      </w:r>
      <w:r w:rsidR="006B2FA7">
        <w:t xml:space="preserve"> </w:t>
      </w:r>
      <w:r w:rsidR="00B038EC">
        <w:t xml:space="preserve">Kuczera (1987) derived a relationship between annual water yield and age for catchments dominated by </w:t>
      </w:r>
      <w:r w:rsidR="00760EBC">
        <w:t>m</w:t>
      </w:r>
      <w:r w:rsidR="00B038EC">
        <w:t xml:space="preserve">ountain ash forests, now known as the “Kuczera curve”, which is shown in </w:t>
      </w:r>
      <w:r w:rsidR="00B038EC">
        <w:fldChar w:fldCharType="begin"/>
      </w:r>
      <w:r w:rsidR="00B038EC">
        <w:instrText xml:space="preserve"> REF _Ref24063175 \h </w:instrText>
      </w:r>
      <w:r w:rsidR="00B038EC">
        <w:fldChar w:fldCharType="separate"/>
      </w:r>
      <w:r w:rsidR="00062E08">
        <w:t xml:space="preserve">Figure </w:t>
      </w:r>
      <w:r w:rsidR="00062E08">
        <w:rPr>
          <w:noProof/>
        </w:rPr>
        <w:t>2</w:t>
      </w:r>
      <w:r w:rsidR="00B038EC">
        <w:fldChar w:fldCharType="end"/>
      </w:r>
      <w:r w:rsidR="00B038EC">
        <w:t>.</w:t>
      </w:r>
      <w:r w:rsidR="006146D0">
        <w:t xml:space="preserve"> Conversion of these forests from old to young by fire usually results in a long-term decrease in </w:t>
      </w:r>
      <w:r w:rsidR="00F94370">
        <w:t>catchment water yield</w:t>
      </w:r>
      <w:r w:rsidR="006146D0">
        <w:t xml:space="preserve">, followed by a slow recovery. </w:t>
      </w:r>
    </w:p>
    <w:p w14:paraId="43C3066A" w14:textId="25DDD2CA" w:rsidR="003D395B" w:rsidRDefault="006146D0" w:rsidP="00B038EC">
      <w:pPr>
        <w:pStyle w:val="Para0"/>
      </w:pPr>
      <w:r>
        <w:t xml:space="preserve">Resprouting eucalypts (eucalypt species that usually recover by resprouting of mature trees after fire) mainly occupy the drier 50% of Melbourne’s catchments and produce about 20% of the total streamflow. Because these forests do not undergo major long-term changes in structure or density after fire, streamflow does not change </w:t>
      </w:r>
      <w:r w:rsidR="00C95629">
        <w:t>substantia</w:t>
      </w:r>
      <w:r w:rsidR="003D395B">
        <w:t>l</w:t>
      </w:r>
      <w:r w:rsidR="00C95629">
        <w:t>l</w:t>
      </w:r>
      <w:r w:rsidR="003D395B">
        <w:t>y</w:t>
      </w:r>
      <w:r>
        <w:t xml:space="preserve"> and usually recovers quickly to pre-fire levels.</w:t>
      </w:r>
      <w:r w:rsidR="00931929">
        <w:t xml:space="preserve"> </w:t>
      </w:r>
    </w:p>
    <w:p w14:paraId="14630F1D" w14:textId="1F26A02C" w:rsidR="00A16928" w:rsidRDefault="00A16928" w:rsidP="00A16928">
      <w:pPr>
        <w:pStyle w:val="Para0"/>
      </w:pPr>
      <w:r>
        <w:t xml:space="preserve">Using a longer calibration period, </w:t>
      </w:r>
      <w:r>
        <w:fldChar w:fldCharType="begin" w:fldLock="1"/>
      </w:r>
      <w:r w:rsidR="007416C7">
        <w:instrText xml:space="preserve">ADDIN CSL_CITATION {"citationItems":[{"id":"ITEM-1","itemData":{"DOI":"10.1002/wrcr.20351","ISSN":"00431397","abstract":"Widespread disturbance within forested catchments typically increases runoff. However, following widespread fire in 1939 throughout south-east Australia, Kuczera (1987) reported persistent reductions in runoff that were attributed to increased evapotranspiration from regenerating “ash” forests. Kuczera projected ongoing reductions of water yield for </w:instrText>
      </w:r>
      <w:r w:rsidR="007416C7">
        <w:rPr>
          <w:rFonts w:ascii="Cambria Math" w:hAnsi="Cambria Math" w:cs="Cambria Math"/>
        </w:rPr>
        <w:instrText>∼</w:instrText>
      </w:r>
      <w:r w:rsidR="007416C7">
        <w:instrText>150 years. In 2003, widespread fire in the headwaters of the Murray-Darling Basin (MDB) again stimulated extensive regeneration of ash forests, raising the prospect of subsequent water yield reductions. To understand the potential impact of the 2003 bushfires, we re-evaluated yield reductions from three of the catchments originally studied by Kuczera using the same calibration period. We also used an expanded prefire calibration period (1908–1938) based on data not originally available to Kuczera. The trend of postfire water yield that we observed in 1939-affected catchments is qualitatively consistent with Kuczera's projections, but the quantitative details were, as expected, sensitive to the prefire calibration period used. We then used a simplified method to examine a further five ash-dominated catchments affected by the 2003 fires. We report relative reductions in mean annual stream flow in all five catchments and a statistically significant (α = 0.05) postfire reduction in one of five catchments. Postfire yield reductions during the austral summer (October to April) were greater in relative magnitude in all five catchments and were statistically significant (α = 0.05) in three of five catchments. We conclude that a postbushfire Kuczera-type response may be widespread in regenerating ash forests. On that basis, we anticipate postfire yield reductions in ash forests elsewhere and conclude that further reductions in stream flow are likely in the MDB for at least another decade.","author":[{"dropping-particle":"","family":"Brookhouse","given":"Matthew T.","non-dropping-particle":"","parse-names":false,"suffix":""},{"dropping-particle":"","family":"Farquhar","given":"Graham D.","non-dropping-particle":"","parse-names":false,"suffix":""},{"dropping-particle":"","family":"Roderick","given":"Michael L.","non-dropping-particle":"","parse-names":false,"suffix":""}],"container-title":"Water Resources Research","id":"ITEM-1","issue":"7","issued":{"date-parts":[["2013"]]},"page":"4493-4505","title":"The impact of bushfires on water yield from south-east Australia's ash forests","type":"article-journal","volume":"49"},"uris":["http://www.mendeley.com/documents/?uuid=eedcbcf3-9f03-4ead-923a-5476c88989ba"]}],"mendeley":{"formattedCitation":"(Brookhouse &lt;i&gt;et al.&lt;/i&gt;, 2013)","manualFormatting":"Brookhouse et al. (2013)","plainTextFormattedCitation":"(Brookhouse et al., 2013)","previouslyFormattedCitation":"(Brookhouse &lt;i&gt;et al.&lt;/i&gt;, 2013)"},"properties":{"noteIndex":0},"schema":"https://github.com/citation-style-language/schema/raw/master/csl-citation.json"}</w:instrText>
      </w:r>
      <w:r>
        <w:fldChar w:fldCharType="separate"/>
      </w:r>
      <w:r w:rsidRPr="00171410">
        <w:rPr>
          <w:noProof/>
        </w:rPr>
        <w:t xml:space="preserve">Brookhouse </w:t>
      </w:r>
      <w:r w:rsidR="001C1F9A" w:rsidRPr="001C1F9A">
        <w:rPr>
          <w:i/>
          <w:noProof/>
        </w:rPr>
        <w:t>et al.</w:t>
      </w:r>
      <w:r w:rsidRPr="00171410">
        <w:rPr>
          <w:noProof/>
        </w:rPr>
        <w:t xml:space="preserve"> </w:t>
      </w:r>
      <w:r>
        <w:rPr>
          <w:noProof/>
        </w:rPr>
        <w:t>(</w:t>
      </w:r>
      <w:r w:rsidRPr="00171410">
        <w:rPr>
          <w:noProof/>
        </w:rPr>
        <w:t>2013)</w:t>
      </w:r>
      <w:r>
        <w:fldChar w:fldCharType="end"/>
      </w:r>
      <w:r>
        <w:t xml:space="preserve"> re-analysed streamflow responses to the 1939 fires in three of the catchments originally used to develop the Kuczera curve. Results were qualitatively similar to Kuczera’s but maximum </w:t>
      </w:r>
      <w:r w:rsidR="00F94370">
        <w:t>catchment water yield</w:t>
      </w:r>
      <w:r>
        <w:t xml:space="preserve"> reduction was less and occurred sooner with a faster recovery predicted, as shown in </w:t>
      </w:r>
      <w:r>
        <w:fldChar w:fldCharType="begin"/>
      </w:r>
      <w:r>
        <w:instrText xml:space="preserve"> REF _Ref25057836 \h </w:instrText>
      </w:r>
      <w:r>
        <w:fldChar w:fldCharType="separate"/>
      </w:r>
      <w:r w:rsidR="00062E08">
        <w:t xml:space="preserve">Figure </w:t>
      </w:r>
      <w:r w:rsidR="00062E08">
        <w:rPr>
          <w:noProof/>
        </w:rPr>
        <w:t>3</w:t>
      </w:r>
      <w:r>
        <w:fldChar w:fldCharType="end"/>
      </w:r>
      <w:r>
        <w:t>. Their results suggest catchment</w:t>
      </w:r>
      <w:r w:rsidR="006B2FA7">
        <w:t>-</w:t>
      </w:r>
      <w:r>
        <w:t xml:space="preserve">level </w:t>
      </w:r>
      <w:r w:rsidRPr="00651D07">
        <w:t xml:space="preserve">evapotranspiration </w:t>
      </w:r>
      <w:r w:rsidR="006B2FA7">
        <w:t xml:space="preserve">peaks </w:t>
      </w:r>
      <w:r>
        <w:t xml:space="preserve">6 to 11 years earlier than indicated by the Kuczera curve, with a more rapid decline following the peak. Similar analysis of responses of other ash forest catchments to the 2003 fires in catchments in North East Victoria indicated that “a post-bushfire Kuczera-type response may be widespread in regenerating ash”, which was also supported by the plot-scale transpiration measurements of </w:t>
      </w:r>
      <w:r>
        <w:fldChar w:fldCharType="begin" w:fldLock="1"/>
      </w:r>
      <w:r w:rsidR="007416C7">
        <w:instrText>ADDIN CSL_CITATION {"citationItems":[{"id":"ITEM-1","itemData":{"DOI":"10.1016/j.foreco.2012.01.008","ISSN":"03781127","abstract":"We estimated plot level water use from sap flux measurements over a 9-month period, in post-fire regrowth and mature plots of Eucalyptus delegatensis R. Baker (Alpine ash) in high elevation catchments near Falls Creek, Victoria, Australia, seven years after a major stand-replacing bushfire. Water use was more than double (460±100mmyear -1 more) in regrowth as compared to mature plots, whereas sap flux was similar between age classes. This difference in water use reflected 72% greater sapwood area index and 35% greater leaf area index in regrowth than in mature plots. A small part of the difference in water use can be attributed to nocturnal transpiration, which was greater in regrowth than in mature plots (10.3±0.8% vs 7.3±0.8% of diel totals). As evaporative demand was 41% greater in mature than in regrowth plots, these data suggest mean transpiration rate and stomatal conductance per unit leaf area were approximately 1.6 and 2.3 times greater, respectively, in the regrowth. However, mid-day leaf water potential and photosynthetic capacity were similar in both age classes. Evaporative demand was the primary environmental driver of water use in all cases, whereas soil moisture was not a strong driver of either water use or canopy conductance (estimated as sap flux/evaporative demand). Together, our results suggest (a) stand water use rapidly recovers after fire in these high elevation forests and quickly surpasses rates in mature stands, confirming projections by Kuczera (1987) for lower-elevation Mountain Ash (E. regnans) forests and highlighting the potential impact of tree water use on water yield in the first decade of forest regeneration after fires, and (b) stomatal conductance and sapwood area/leaf area ratio are both less in tall, older Alpine ash trees, whereas leaf water status and photosynthetic capacity appear to be sustained - consistent with predictions from optimisation theory but not Pipe-Model Theory. © 2012 Elsevier B.V.","author":[{"dropping-particle":"","family":"Buckley","given":"Thomas N.","non-dropping-particle":"","parse-names":false,"suffix":""},{"dropping-particle":"","family":"Turnbull","given":"Tarryn L.","non-dropping-particle":"","parse-names":false,"suffix":""},{"dropping-particle":"","family":"Pfautsch","given":"Sebastian","non-dropping-particle":"","parse-names":false,"suffix":""},{"dropping-particle":"","family":"Gharun","given":"Mana","non-dropping-particle":"","parse-names":false,"suffix":""},{"dropping-particle":"","family":"Adams","given":"Mark A.","non-dropping-particle":"","parse-names":false,"suffix":""}],"container-title":"Forest Ecology and Management","id":"ITEM-1","issued":{"date-parts":[["2012"]]},"page":"1-10","publisher":"Elsevier B.V.","title":"Differences in water use between mature and post-fire regrowth stands of subalpine Eucalyptus delegatensis R. Baker","type":"article-journal","volume":"270"},"uris":["http://www.mendeley.com/documents/?uuid=56780b8c-898b-4054-bd5f-d27f3333ae7c"]}],"mendeley":{"formattedCitation":"(Buckley &lt;i&gt;et al.&lt;/i&gt;, 2012)","manualFormatting":"Buckley et al. (2012)","plainTextFormattedCitation":"(Buckley et al., 2012)","previouslyFormattedCitation":"(Buckley &lt;i&gt;et al.&lt;/i&gt;, 2012)"},"properties":{"noteIndex":0},"schema":"https://github.com/citation-style-language/schema/raw/master/csl-citation.json"}</w:instrText>
      </w:r>
      <w:r>
        <w:fldChar w:fldCharType="separate"/>
      </w:r>
      <w:r w:rsidRPr="00171410">
        <w:rPr>
          <w:noProof/>
        </w:rPr>
        <w:t xml:space="preserve">Buckley </w:t>
      </w:r>
      <w:r w:rsidR="001C1F9A" w:rsidRPr="001C1F9A">
        <w:rPr>
          <w:i/>
          <w:noProof/>
        </w:rPr>
        <w:t>et al.</w:t>
      </w:r>
      <w:r w:rsidRPr="00171410">
        <w:rPr>
          <w:noProof/>
        </w:rPr>
        <w:t xml:space="preserve"> </w:t>
      </w:r>
      <w:r>
        <w:rPr>
          <w:noProof/>
        </w:rPr>
        <w:t>(</w:t>
      </w:r>
      <w:r w:rsidRPr="00171410">
        <w:rPr>
          <w:noProof/>
        </w:rPr>
        <w:t>2012)</w:t>
      </w:r>
      <w:r>
        <w:fldChar w:fldCharType="end"/>
      </w:r>
      <w:r>
        <w:t>.</w:t>
      </w:r>
    </w:p>
    <w:p w14:paraId="6E557119" w14:textId="27DB7BB9" w:rsidR="00B038EC" w:rsidRDefault="00931929" w:rsidP="00B038EC">
      <w:pPr>
        <w:pStyle w:val="Para0"/>
      </w:pPr>
      <w:r>
        <w:t xml:space="preserve">As discussed further in Section </w:t>
      </w:r>
      <w:r>
        <w:fldChar w:fldCharType="begin"/>
      </w:r>
      <w:r>
        <w:instrText xml:space="preserve"> REF _Ref24450916 \r \h </w:instrText>
      </w:r>
      <w:r>
        <w:fldChar w:fldCharType="separate"/>
      </w:r>
      <w:r w:rsidR="00062E08">
        <w:t>4.2.1</w:t>
      </w:r>
      <w:r>
        <w:fldChar w:fldCharType="end"/>
      </w:r>
      <w:r>
        <w:t>, more recent analyses have cautioned against the general applicability of the Kuczera curve to drier catch</w:t>
      </w:r>
      <w:r w:rsidR="0012311E">
        <w:t xml:space="preserve">ments </w:t>
      </w:r>
      <w:r w:rsidR="006356D7">
        <w:fldChar w:fldCharType="begin" w:fldLock="1"/>
      </w:r>
      <w:r w:rsidR="00544257">
        <w:instrText>ADDIN CSL_CITATION {"citationItems":[{"id":"ITEM-1","itemData":{"DOI":"10.1016/j.jhydrol.2010.01.007","ISSN":"00221694","abstract":"The Coranderrk Project, located 70 km east of Melbourne, is Australia's longest-running paired catchment study. Three small catchments (\"Slip Creek\", \"Blue Jacket Creek\", and \"Picaninny Creek\") originally carrying old growth mountain ash and mixed species have been gauged since 1958. In 1971/72 Picaninny Creek catchment was substantially clear-felled and regenerated, predominantly with mountain ash (Eucalyptus regnans). The annual flow increased for the next 3 years (relative to the control), reaching a peak of almost 300 mm increase relative to the control catchment. Flow then declined; 8 years after the logging the annual flow had returned to pre-logging levels. Annual flow then continued to decline with a maximum reduction of around 200 mm per annum. Thirty-four years after logging the flow was still below the pre-treatment flow and showing no sign of recovery, although there were year to year variations associated with rainfall and drought. In 1972/73 Blue Jacket Creek had a \"sawmiller selection\" cutting in which approximately 50% of the basal area was removed. The response was a similar but muted version of the Picaninny Creek response. A statistical analysis used 1 year of the pre-treatment period to establish error limits. This showed that in both cases there was a statistically significant increase in flow followed by a statistically significant decrease in flow relative to old growth. Measurement of two of the catchments is continuing. © 2010 Elsevier B.V. All rights reserved.","author":[{"dropping-particle":"","family":"Bren","given":"Leon","non-dropping-particle":"","parse-names":false,"suffix":""},{"dropping-particle":"","family":"Lane","given":"Patrick","non-dropping-particle":"","parse-names":false,"suffix":""},{"dropping-particle":"","family":"Hepworth","given":"Graham","non-dropping-particle":"","parse-names":false,"suffix":""}],"container-title":"Journal of Hydrology","id":"ITEM-1","issue":"1-2","issued":{"date-parts":[["2010"]]},"page":"52-64","title":"Longer-term water use of native eucalyptus forest after logging and regeneration: The Coranderrk experiment","type":"article-journal","volume":"384"},"uris":["http://www.mendeley.com/documents/?uuid=16e351f8-5b26-4efc-88b6-0c81e999a219"]},{"id":"ITEM-2","itemData":{"author":[{"dropping-particle":"","family":"McGuire","given":"D","non-dropping-particle":"","parse-names":false,"suffix":""},{"dropping-particle":"","family":"Bren","given":"L","non-dropping-particle":"","parse-names":false,"suffix":""}],"container-title":"Institute of Foresters of Australia National Conference","id":"ITEM-2","issued":{"date-parts":[["2013"]]},"page":"176-184","publisher-place":"Canberra","title":"The curse of the curves: misuse of simple hydrologic models in forestry","type":"paper-conference"},"uris":["http://www.mendeley.com/documents/?uuid=212e4596-c7cf-4730-82cb-ae28ae11e425"]}],"mendeley":{"formattedCitation":"(Bren &lt;i&gt;et al.&lt;/i&gt;, 2010; McGuire and Bren, 2013)","plainTextFormattedCitation":"(Bren et al., 2010; McGuire and Bren, 2013)","previouslyFormattedCitation":"(Bren &lt;i&gt;et al.&lt;/i&gt;, 2010; McGuire and Bren, 2013)"},"properties":{"noteIndex":0},"schema":"https://github.com/citation-style-language/schema/raw/master/csl-citation.json"}</w:instrText>
      </w:r>
      <w:r w:rsidR="006356D7">
        <w:fldChar w:fldCharType="separate"/>
      </w:r>
      <w:r w:rsidR="007416C7" w:rsidRPr="007416C7">
        <w:rPr>
          <w:noProof/>
        </w:rPr>
        <w:t xml:space="preserve">(Bren </w:t>
      </w:r>
      <w:r w:rsidR="007416C7" w:rsidRPr="007416C7">
        <w:rPr>
          <w:i/>
          <w:noProof/>
        </w:rPr>
        <w:t>et al.</w:t>
      </w:r>
      <w:r w:rsidR="007416C7" w:rsidRPr="007416C7">
        <w:rPr>
          <w:noProof/>
        </w:rPr>
        <w:t>, 2010; McGuire and Bren, 2013)</w:t>
      </w:r>
      <w:r w:rsidR="006356D7">
        <w:fldChar w:fldCharType="end"/>
      </w:r>
      <w:r w:rsidR="0012311E">
        <w:t xml:space="preserve">, to disturbance caused by timber harvesting rather than </w:t>
      </w:r>
      <w:r w:rsidR="00A66E96">
        <w:t xml:space="preserve">bushfires </w:t>
      </w:r>
      <w:r w:rsidR="00D51BBA">
        <w:fldChar w:fldCharType="begin" w:fldLock="1"/>
      </w:r>
      <w:r w:rsidR="00D11C5B">
        <w:instrText>ADDIN CSL_CITATION {"citationItems":[{"id":"ITEM-1","itemData":{"DOI":"10.1002/(SICI)1099-1085(19990415)13:5&lt;689::AID-HYP773&gt;3.0.CO;2-D","author":[{"dropping-particle":"","family":"Watson","given":"Fred R","non-dropping-particle":"","parse-names":false,"suffix":""},{"dropping-particle":"","family":"Vertessey","given":"Robert A","non-dropping-particle":"","parse-names":false,"suffix":""},{"dropping-particle":"","family":"Grayson","given":"Rodger B","non-dropping-particle":"","parse-names":false,"suffix":""}],"container-title":"Hydrological Processes","id":"ITEM-1","issued":{"date-parts":[["1999"]]},"page":"689-700","title":"Large-scale modelling of forest hydrological processes and their long-term effect on water yield","type":"article-journal","volume":"13"},"uris":["http://www.mendeley.com/documents/?uuid=aa3dd823-23c9-4807-b3a6-8ffafdcad5a6"]}],"mendeley":{"formattedCitation":"(Watson &lt;i&gt;et al.&lt;/i&gt;, 1999)","plainTextFormattedCitation":"(Watson et al., 1999)","previouslyFormattedCitation":"(Watson &lt;i&gt;et al.&lt;/i&gt;, 1999)"},"properties":{"noteIndex":0},"schema":"https://github.com/citation-style-language/schema/raw/master/csl-citation.json"}</w:instrText>
      </w:r>
      <w:r w:rsidR="00D51BBA">
        <w:fldChar w:fldCharType="separate"/>
      </w:r>
      <w:r w:rsidR="007416C7" w:rsidRPr="007416C7">
        <w:rPr>
          <w:noProof/>
        </w:rPr>
        <w:t xml:space="preserve">(Watson </w:t>
      </w:r>
      <w:r w:rsidR="007416C7" w:rsidRPr="007416C7">
        <w:rPr>
          <w:i/>
          <w:noProof/>
        </w:rPr>
        <w:t>et al.</w:t>
      </w:r>
      <w:r w:rsidR="007416C7" w:rsidRPr="007416C7">
        <w:rPr>
          <w:noProof/>
        </w:rPr>
        <w:t>, 1999)</w:t>
      </w:r>
      <w:r w:rsidR="00D51BBA">
        <w:fldChar w:fldCharType="end"/>
      </w:r>
      <w:r w:rsidR="005B0CEB">
        <w:t>,</w:t>
      </w:r>
      <w:r w:rsidR="00A66E96">
        <w:t xml:space="preserve"> </w:t>
      </w:r>
      <w:r w:rsidR="0012311E">
        <w:t xml:space="preserve">and to catchments with different forest types, notably </w:t>
      </w:r>
      <w:r w:rsidR="005A53E6">
        <w:t>mixed-species</w:t>
      </w:r>
      <w:r w:rsidR="0012311E">
        <w:t xml:space="preserve"> eucalypt forest</w:t>
      </w:r>
      <w:r w:rsidR="00D51BBA">
        <w:t xml:space="preserve"> </w:t>
      </w:r>
      <w:r w:rsidR="006356D7">
        <w:fldChar w:fldCharType="begin" w:fldLock="1"/>
      </w:r>
      <w:r w:rsidR="00544257">
        <w:instrText>ADDIN CSL_CITATION {"citationItems":[{"id":"ITEM-1","itemData":{"DOI":"10.1016/j.jhydrol.2010.01.007","ISSN":"00221694","abstract":"The Coranderrk Project, located 70 km east of Melbourne, is Australia's longest-running paired catchment study. Three small catchments (\"Slip Creek\", \"Blue Jacket Creek\", and \"Picaninny Creek\") originally carrying old growth mountain ash and mixed species have been gauged since 1958. In 1971/72 Picaninny Creek catchment was substantially clear-felled and regenerated, predominantly with mountain ash (Eucalyptus regnans). The annual flow increased for the next 3 years (relative to the control), reaching a peak of almost 300 mm increase relative to the control catchment. Flow then declined; 8 years after the logging the annual flow had returned to pre-logging levels. Annual flow then continued to decline with a maximum reduction of around 200 mm per annum. Thirty-four years after logging the flow was still below the pre-treatment flow and showing no sign of recovery, although there were year to year variations associated with rainfall and drought. In 1972/73 Blue Jacket Creek had a \"sawmiller selection\" cutting in which approximately 50% of the basal area was removed. The response was a similar but muted version of the Picaninny Creek response. A statistical analysis used 1 year of the pre-treatment period to establish error limits. This showed that in both cases there was a statistically significant increase in flow followed by a statistically significant decrease in flow relative to old growth. Measurement of two of the catchments is continuing. © 2010 Elsevier B.V. All rights reserved.","author":[{"dropping-particle":"","family":"Bren","given":"Leon","non-dropping-particle":"","parse-names":false,"suffix":""},{"dropping-particle":"","family":"Lane","given":"Patrick","non-dropping-particle":"","parse-names":false,"suffix":""},{"dropping-particle":"","family":"Hepworth","given":"Graham","non-dropping-particle":"","parse-names":false,"suffix":""}],"container-title":"Journal of Hydrology","id":"ITEM-1","issue":"1-2","issued":{"date-parts":[["2010"]]},"page":"52-64","title":"Longer-term water use of native eucalyptus forest after logging and regeneration: The Coranderrk experiment","type":"article-journal","volume":"384"},"uris":["http://www.mendeley.com/documents/?uuid=16e351f8-5b26-4efc-88b6-0c81e999a219"]},{"id":"ITEM-2","itemData":{"DOI":"10.1016/j.jhydrol.2012.07.034","ISSN":"00221694","abstract":"The Karuah replicated paired catchment experiment was initiated in the 1970s to examine the hydrological effects of eucalypt-to-eucalypt forest succession in New South Wales, Australia. Treatments were conducted on 25.4-78.8% of the area of six small catchments in 1983. Five of the treated catchments experienced a significant increase in streamflow following forest disturbance, equivalent to annual water yield changes ranging from 120mm to 319.6mm which varied in proportion to the percentage of each catchment logged. This initial increase lasted for greater than 5years in the logged and unburnt Bollygum (L-) catchment, but had returned to pre-treatment levels within 2.5years in the logged and burnt (L+) Corkwood and Jackwood catchments, and within 2years in the Kokata and Coachwood plantation catchments (P). A significant reduction in streamflow then occurred in three catchments - Corkwood (113.5mma -1), Bollygum (72.7mma -1) and Kokata (68.9mma -1) - but had returned to the pre-treatment level within 7years post-harvest in the Corkwood catchment. A continuing suppression of streamflow after 27years is evident in two of the catchments, Bollygum and Kokata, with Kokata experiencing a further decline from 2005 onwards to a mean annual reduction of 172.4mm. By contrast a significant increase in streamflow relative to the pre-treatment level has been recorded in the Jackwood catchment after 23years (157.6mma -1). Relative changes in streamflow measured in this experiment can be explained largely by changes in forest species composition, basal area and stocking rates. The eucalypt stands have variously self-thinned and in some cases forest growth appears to have been slowed by insect attack and bell miner associated dieback. Contrary to earlier published findings, while this study confirms that Mountain ash type water yield reductions can occur in other forest types, this response appears to be the exception rather than the rule. These findings have implications for the modelling and management of water yield impacts of mixed species eucalypt forest disturbance. © 2012 Elsevier B.V.","author":[{"dropping-particle":"","family":"Webb","given":"Ashley A.","non-dropping-particle":"","parse-names":false,"suffix":""},{"dropping-particle":"","family":"Kathuria","given":"Amrit","non-dropping-particle":"","parse-names":false,"suffix":""},{"dropping-particle":"","family":"Turner","given":"Lisa","non-dropping-particle":"","parse-names":false,"suffix":""}],"container-title":"Journal of Hydrology","id":"ITEM-2","issued":{"date-parts":[["2012"]]},"page":"412-422","publisher":"Elsevier B.V.","title":"Longer-term changes in streamflow following logging and mixed species eucalypt forest regeneration: The Karuah experiment","type":"article-journal","volume":"464-465"},"uris":["http://www.mendeley.com/documents/?uuid=2b68f6b0-7b2c-4e73-b222-64aa3fe074ed"]},{"id":"ITEM-3","itemData":{"author":[{"dropping-particle":"","family":"McGuire","given":"D","non-dropping-particle":"","parse-names":false,"suffix":""},{"dropping-particle":"","family":"Bren","given":"L","non-dropping-particle":"","parse-names":false,"suffix":""}],"container-title":"Institute of Foresters of Australia National Conference","id":"ITEM-3","issued":{"date-parts":[["2013"]]},"page":"176-184","publisher-place":"Canberra","title":"The curse of the curves: misuse of simple hydrologic models in forestry","type":"paper-conference"},"uris":["http://www.mendeley.com/documents/?uuid=212e4596-c7cf-4730-82cb-ae28ae11e425"]}],"mendeley":{"formattedCitation":"(Bren &lt;i&gt;et al.&lt;/i&gt;, 2010; Webb &lt;i&gt;et al.&lt;/i&gt;, 2012; McGuire and Bren, 2013)","plainTextFormattedCitation":"(Bren et al., 2010; Webb et al., 2012; McGuire and Bren, 2013)","previouslyFormattedCitation":"(Bren &lt;i&gt;et al.&lt;/i&gt;, 2010; Webb &lt;i&gt;et al.&lt;/i&gt;, 2012; McGuire and Bren, 2013)"},"properties":{"noteIndex":0},"schema":"https://github.com/citation-style-language/schema/raw/master/csl-citation.json"}</w:instrText>
      </w:r>
      <w:r w:rsidR="006356D7">
        <w:fldChar w:fldCharType="separate"/>
      </w:r>
      <w:r w:rsidR="007416C7" w:rsidRPr="007416C7">
        <w:rPr>
          <w:noProof/>
        </w:rPr>
        <w:t xml:space="preserve">(Bren </w:t>
      </w:r>
      <w:r w:rsidR="007416C7" w:rsidRPr="007416C7">
        <w:rPr>
          <w:i/>
          <w:noProof/>
        </w:rPr>
        <w:t>et al.</w:t>
      </w:r>
      <w:r w:rsidR="007416C7" w:rsidRPr="007416C7">
        <w:rPr>
          <w:noProof/>
        </w:rPr>
        <w:t xml:space="preserve">, 2010; Webb </w:t>
      </w:r>
      <w:r w:rsidR="007416C7" w:rsidRPr="007416C7">
        <w:rPr>
          <w:i/>
          <w:noProof/>
        </w:rPr>
        <w:t>et al.</w:t>
      </w:r>
      <w:r w:rsidR="007416C7" w:rsidRPr="007416C7">
        <w:rPr>
          <w:noProof/>
        </w:rPr>
        <w:t>, 2012; McGuire and Bren, 2013)</w:t>
      </w:r>
      <w:r w:rsidR="006356D7">
        <w:fldChar w:fldCharType="end"/>
      </w:r>
      <w:r w:rsidR="0012311E">
        <w:t>.</w:t>
      </w:r>
    </w:p>
    <w:p w14:paraId="5EE0B19C" w14:textId="0BBBD8F5" w:rsidR="00B038EC" w:rsidRDefault="00BC36A5" w:rsidP="00826B62">
      <w:pPr>
        <w:pStyle w:val="Para0"/>
        <w:spacing w:line="240" w:lineRule="auto"/>
      </w:pPr>
      <w:r>
        <w:rPr>
          <w:noProof/>
          <w:lang w:val="en-AU" w:eastAsia="en-AU"/>
        </w:rPr>
        <w:lastRenderedPageBreak/>
        <w:drawing>
          <wp:inline distT="0" distB="0" distL="0" distR="0" wp14:anchorId="342631CB" wp14:editId="407ED4EB">
            <wp:extent cx="5400000" cy="288720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2887200"/>
                    </a:xfrm>
                    <a:prstGeom prst="rect">
                      <a:avLst/>
                    </a:prstGeom>
                    <a:noFill/>
                  </pic:spPr>
                </pic:pic>
              </a:graphicData>
            </a:graphic>
          </wp:inline>
        </w:drawing>
      </w:r>
    </w:p>
    <w:p w14:paraId="6D0A8C4E" w14:textId="139E89A5" w:rsidR="00B038EC" w:rsidRDefault="00B038EC" w:rsidP="00B038EC">
      <w:pPr>
        <w:pStyle w:val="Caption"/>
      </w:pPr>
      <w:bookmarkStart w:id="9" w:name="_Ref24063175"/>
      <w:r>
        <w:t xml:space="preserve">Figure </w:t>
      </w:r>
      <w:r>
        <w:fldChar w:fldCharType="begin"/>
      </w:r>
      <w:r>
        <w:instrText xml:space="preserve"> SEQ Figure \* ARABIC </w:instrText>
      </w:r>
      <w:r>
        <w:fldChar w:fldCharType="separate"/>
      </w:r>
      <w:r w:rsidR="00062E08">
        <w:rPr>
          <w:noProof/>
        </w:rPr>
        <w:t>2</w:t>
      </w:r>
      <w:r>
        <w:fldChar w:fldCharType="end"/>
      </w:r>
      <w:bookmarkEnd w:id="9"/>
      <w:r>
        <w:t xml:space="preserve"> Difference in annual </w:t>
      </w:r>
      <w:r w:rsidR="00F94370">
        <w:t>catchment water yield</w:t>
      </w:r>
      <w:r>
        <w:t xml:space="preserve"> with forest age derived by Kuczera (1987) for </w:t>
      </w:r>
      <w:r w:rsidR="003D395B">
        <w:t>m</w:t>
      </w:r>
      <w:r>
        <w:t>ountain ash forested catchments</w:t>
      </w:r>
      <w:r w:rsidR="002A792F">
        <w:t xml:space="preserve"> with mean</w:t>
      </w:r>
      <w:r>
        <w:t xml:space="preserve"> annual rainfall of between </w:t>
      </w:r>
      <w:r w:rsidR="002A792F">
        <w:t xml:space="preserve">1600 and 1800 </w:t>
      </w:r>
      <w:r w:rsidR="002A792F" w:rsidRPr="002A792F">
        <w:t xml:space="preserve">mm </w:t>
      </w:r>
      <w:r w:rsidR="002A792F" w:rsidRPr="005570B8">
        <w:fldChar w:fldCharType="begin" w:fldLock="1"/>
      </w:r>
      <w:r w:rsidR="00D11C5B" w:rsidRPr="006B2FA7">
        <w:instrText>ADDIN CSL_CITATION {"citationItems":[{"id":"ITEM-1","itemData":{"DOI":"10.1002/(SICI)1099-1085(199805)12:6&lt;873::AID-HYP660&gt;3.0.CO;2-A","author":[{"dropping-particle":"","family":"Watson","given":"Fred G R","non-dropping-particle":"","parse-names":false,"suffix":""},{"dropping-particle":"","family":"Grayson","given":"Rodger B","non-dropping-particle":"","parse-names":false,"suffix":""},{"dropping-particle":"","family":"Vertessy","given":"Robert A","non-dropping-particle":"","parse-names":false,"suffix":""},{"dropping-particle":"","family":"McMahon","given":"Thomas A","non-dropping-particle":"","parse-names":false,"suffix":""}],"container-title":"Hydrological Processes","id":"ITEM-1","issue":"6","issued":{"date-parts":[["1998"]]},"page":"873-888","publisher":"Wiley Online Library","title":"Large-scale distribution modelling and the utility of detailed ground data","type":"article-journal","volume":"12"},"uris":["http://www.mendeley.com/documents/?uuid=c7f0b1d8-5c23-479a-ab42-a2c7dbb756d0"]}],"mendeley":{"formattedCitation":"(Watson &lt;i&gt;et al.&lt;/i&gt;, 1998a)","plainTextFormattedCitation":"(Watson et al., 1998a)","previouslyFormattedCitation":"(Watson &lt;i&gt;et al.&lt;/i&gt;, 1998a)"},"properties":{"noteIndex":0},"schema":"https://github.com/citation-style-language/schema/raw/master/csl-citation.json"}</w:instrText>
      </w:r>
      <w:r w:rsidR="002A792F" w:rsidRPr="005570B8">
        <w:fldChar w:fldCharType="separate"/>
      </w:r>
      <w:r w:rsidR="007416C7" w:rsidRPr="00544DCE">
        <w:rPr>
          <w:noProof/>
        </w:rPr>
        <w:t xml:space="preserve">(Watson </w:t>
      </w:r>
      <w:r w:rsidR="007416C7" w:rsidRPr="00544DCE">
        <w:rPr>
          <w:i/>
          <w:noProof/>
        </w:rPr>
        <w:t>et al.</w:t>
      </w:r>
      <w:r w:rsidR="007416C7" w:rsidRPr="00544DCE">
        <w:rPr>
          <w:noProof/>
        </w:rPr>
        <w:t>, 1998a)</w:t>
      </w:r>
      <w:r w:rsidR="002A792F" w:rsidRPr="005570B8">
        <w:fldChar w:fldCharType="end"/>
      </w:r>
      <w:r w:rsidR="00544DCE">
        <w:t xml:space="preserve"> (90% confidence limits shown as dashed lines) </w:t>
      </w:r>
    </w:p>
    <w:p w14:paraId="2D947F4E" w14:textId="16B5BC8B" w:rsidR="00A16928" w:rsidRDefault="00BC36A5" w:rsidP="00826B62">
      <w:pPr>
        <w:pStyle w:val="Para0"/>
        <w:spacing w:line="240" w:lineRule="auto"/>
      </w:pPr>
      <w:r>
        <w:rPr>
          <w:noProof/>
          <w:lang w:val="en-AU" w:eastAsia="en-AU"/>
        </w:rPr>
        <w:drawing>
          <wp:inline distT="0" distB="0" distL="0" distR="0" wp14:anchorId="70A97250" wp14:editId="5CBB11C3">
            <wp:extent cx="5400000" cy="352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3524400"/>
                    </a:xfrm>
                    <a:prstGeom prst="rect">
                      <a:avLst/>
                    </a:prstGeom>
                    <a:noFill/>
                  </pic:spPr>
                </pic:pic>
              </a:graphicData>
            </a:graphic>
          </wp:inline>
        </w:drawing>
      </w:r>
    </w:p>
    <w:p w14:paraId="34E4AEAD" w14:textId="37AC5C9A" w:rsidR="00A16928" w:rsidRDefault="00A16928" w:rsidP="00A16928">
      <w:pPr>
        <w:pStyle w:val="Caption"/>
        <w:keepNext w:val="0"/>
      </w:pPr>
      <w:bookmarkStart w:id="10" w:name="_Ref25057836"/>
      <w:r>
        <w:t xml:space="preserve">Figure </w:t>
      </w:r>
      <w:r>
        <w:fldChar w:fldCharType="begin"/>
      </w:r>
      <w:r>
        <w:instrText xml:space="preserve"> SEQ Figure \* ARABIC </w:instrText>
      </w:r>
      <w:r>
        <w:fldChar w:fldCharType="separate"/>
      </w:r>
      <w:r w:rsidR="00062E08">
        <w:rPr>
          <w:noProof/>
        </w:rPr>
        <w:t>3</w:t>
      </w:r>
      <w:r>
        <w:fldChar w:fldCharType="end"/>
      </w:r>
      <w:bookmarkEnd w:id="10"/>
      <w:r>
        <w:t xml:space="preserve"> Comparison between responses in </w:t>
      </w:r>
      <w:r w:rsidR="00F94370">
        <w:t>catchment water yield</w:t>
      </w:r>
      <w:r>
        <w:t xml:space="preserve"> with forest age for mountain ash catchments from Kuczera (1987) and from </w:t>
      </w:r>
      <w:r w:rsidRPr="005570B8">
        <w:fldChar w:fldCharType="begin" w:fldLock="1"/>
      </w:r>
      <w:r w:rsidR="007416C7" w:rsidRPr="006B2FA7">
        <w:instrText xml:space="preserve">ADDIN CSL_CITATION {"citationItems":[{"id":"ITEM-1","itemData":{"DOI":"10.1002/wrcr.20351","ISSN":"00431397","abstract":"Widespread disturbance within forested catchments typically increases runoff. However, following widespread fire in 1939 throughout south-east Australia, Kuczera (1987) reported persistent reductions in runoff that were attributed to increased evapotranspiration from regenerating “ash” forests. Kuczera projected ongoing reductions of water yield for </w:instrText>
      </w:r>
      <w:r w:rsidR="007416C7" w:rsidRPr="006B2FA7">
        <w:rPr>
          <w:rFonts w:ascii="Cambria Math" w:hAnsi="Cambria Math" w:cs="Cambria Math"/>
        </w:rPr>
        <w:instrText>∼</w:instrText>
      </w:r>
      <w:r w:rsidR="007416C7" w:rsidRPr="006B2FA7">
        <w:instrText>150 years. In 2003, widespread fire in the headwaters of the Murray-Darling Basin (MDB) again stimulated extensive regeneration of ash forests, raising the prospect of subsequent water yield reductions. To understand the potential impact of the 2003 bushfires, we re-evaluated yield reductions from three of the catchments originally studied by Kuczera using the same calibration period. We also used an expanded prefire calibration period (1908–1938) based on data not originally available to Kuczera. The trend of postfire water yield that we observed in 1939-affected catchments is qualitatively consistent with Kuczera's projections, but the quantitative details were, as expected, sensitive to the prefire calibration period used. We then used a simplified method to examine a further five ash-dominated catchments affected by the 2003 fires. We report relative reductions in mean annual stream flow in all five catchments and a statistically significant (α = 0.05) postfire reduction in one of five catchments. Postfire yield reductions during the austral summer (October to April) were greater in relative magnitude in all five catchments and were statistically significant (α = 0.05) in three of five catchments. We conclude that a postbushfire Kuczera-type response may be widespread in regenerating ash forests. On that basis, we anticipate postfire yield reductions in ash forests elsewhere and conclude that further reductions in stream flow are likely in the MDB for at least another decade.","author":[{"dropping-particle":"","family":"Brookhouse","given":"Matthew T.","non-dropping-particle":"","parse-names":false,"suffix":""},{"dropping-particle":"","family":"Farquhar","given":"Graham D.","non-dropping-particle":"","parse-names":false,"suffix":""},{"dropping-particle":"","family":"Roderick","given":"Michael L.","non-dropping-particle":"","parse-names":false,"suffix":""}],"container-title":"Water Resources Research","id":"ITEM-1","issue":"7","issued":{"date-parts":[["2013"]]},"page":"4493-4505","title":"The impact of bushfires on water yield from south-east Australia's ash forests","type":"article-journal","volume":"49"},"uris":["http://www.mendeley.com/documents/?uuid=eedcbcf3-9f03-4ead-923a-5476c88989ba"]}],"mendeley":{"formattedCitation":"(Brookhouse &lt;i&gt;et al.&lt;/i&gt;, 2013)","manualFormatting":"Brookhouse et al. (2013)","plainTextFormattedCitation":"(Brookhouse et al., 2013)","previouslyFormattedCitation":"(Brookhouse &lt;i&gt;et al.&lt;/i&gt;, 2013)"},"properties":{"noteIndex":0},"schema":"https://github.com/citation-style-language/schema/raw/master/csl-citation.json"}</w:instrText>
      </w:r>
      <w:r w:rsidRPr="005570B8">
        <w:fldChar w:fldCharType="separate"/>
      </w:r>
      <w:r w:rsidRPr="00FA1991">
        <w:rPr>
          <w:noProof/>
        </w:rPr>
        <w:t xml:space="preserve">Brookhouse </w:t>
      </w:r>
      <w:r w:rsidR="001C1F9A" w:rsidRPr="00FA1991">
        <w:rPr>
          <w:i/>
          <w:noProof/>
        </w:rPr>
        <w:t>et al.</w:t>
      </w:r>
      <w:r w:rsidRPr="00FA1991">
        <w:rPr>
          <w:noProof/>
        </w:rPr>
        <w:t xml:space="preserve"> (2013)</w:t>
      </w:r>
      <w:r w:rsidRPr="005570B8">
        <w:fldChar w:fldCharType="end"/>
      </w:r>
      <w:r w:rsidR="006B2FA7">
        <w:t>,</w:t>
      </w:r>
      <w:r>
        <w:t xml:space="preserve"> based on re-analysis of streamflow data from the Watts, Graceburn and Maroondah catchments</w:t>
      </w:r>
    </w:p>
    <w:p w14:paraId="17AA866D" w14:textId="2368FA9F" w:rsidR="00BE6DF5" w:rsidRDefault="00BE6DF5" w:rsidP="00BE6DF5">
      <w:pPr>
        <w:pStyle w:val="Heading1"/>
      </w:pPr>
      <w:bookmarkStart w:id="11" w:name="_Ref24469605"/>
      <w:bookmarkStart w:id="12" w:name="_Toc36033078"/>
      <w:r>
        <w:lastRenderedPageBreak/>
        <w:t>Overview of Wood and Water Study 2008 method</w:t>
      </w:r>
      <w:r w:rsidR="005700FA">
        <w:t>s</w:t>
      </w:r>
      <w:r>
        <w:t xml:space="preserve"> and findings</w:t>
      </w:r>
      <w:bookmarkEnd w:id="11"/>
      <w:bookmarkEnd w:id="12"/>
    </w:p>
    <w:p w14:paraId="1F96FE76" w14:textId="16C09531" w:rsidR="002D19BF" w:rsidRDefault="00F94370" w:rsidP="002D19BF">
      <w:pPr>
        <w:pStyle w:val="Para0"/>
      </w:pPr>
      <w:r>
        <w:t>Catchment w</w:t>
      </w:r>
      <w:r w:rsidR="002D19BF">
        <w:t>ater yield (also referred to as catchment runoff, or streamflows) in Melbourne’s forested catchments is influenced by three main factors:</w:t>
      </w:r>
    </w:p>
    <w:p w14:paraId="7EACAC3C" w14:textId="77777777" w:rsidR="002D19BF" w:rsidRDefault="002D19BF" w:rsidP="002D19BF">
      <w:pPr>
        <w:pStyle w:val="Para0bullet"/>
        <w:numPr>
          <w:ilvl w:val="0"/>
          <w:numId w:val="27"/>
        </w:numPr>
      </w:pPr>
      <w:r>
        <w:t>climate variability and climate change – how the catchments respond to variations in rainfall, temperature, humidity, wind speed, solar radiation and other meteorological influences,</w:t>
      </w:r>
    </w:p>
    <w:p w14:paraId="415882EA" w14:textId="77777777" w:rsidR="002D19BF" w:rsidRDefault="002D19BF" w:rsidP="002D19BF">
      <w:pPr>
        <w:pStyle w:val="Para0bullet"/>
        <w:numPr>
          <w:ilvl w:val="0"/>
          <w:numId w:val="27"/>
        </w:numPr>
      </w:pPr>
      <w:r>
        <w:t>bushfires and the recovery from bushfires – which modify the vegetation species and cover over time, and</w:t>
      </w:r>
    </w:p>
    <w:p w14:paraId="7BA3346E" w14:textId="77777777" w:rsidR="002D19BF" w:rsidRDefault="002D19BF" w:rsidP="002D19BF">
      <w:pPr>
        <w:pStyle w:val="Para0bullet"/>
        <w:numPr>
          <w:ilvl w:val="0"/>
          <w:numId w:val="27"/>
        </w:numPr>
      </w:pPr>
      <w:r>
        <w:t>timber harvesting, in the locations where it is permitted.</w:t>
      </w:r>
    </w:p>
    <w:p w14:paraId="3F1F4F9B" w14:textId="33461E63" w:rsidR="002D19BF" w:rsidRDefault="002D19BF" w:rsidP="002D19BF">
      <w:pPr>
        <w:pStyle w:val="Para0"/>
      </w:pPr>
      <w:r>
        <w:t>These influences were investigated in WWS2008. This section provides an overview of WWS2008 and its findings.</w:t>
      </w:r>
    </w:p>
    <w:p w14:paraId="03F3CA8F" w14:textId="4CA0F926" w:rsidR="00BE6DF5" w:rsidRDefault="00E80142" w:rsidP="00BE6DF5">
      <w:pPr>
        <w:pStyle w:val="Para0"/>
      </w:pPr>
      <w:r w:rsidRPr="00E80142">
        <w:t>WWS2008</w:t>
      </w:r>
      <w:r w:rsidR="00BE6DF5">
        <w:t xml:space="preserve"> was documented in </w:t>
      </w:r>
      <w:r w:rsidR="002B5A2B">
        <w:t>the following six reports</w:t>
      </w:r>
      <w:r w:rsidR="00BE6DF5">
        <w:t>:</w:t>
      </w:r>
    </w:p>
    <w:p w14:paraId="3AAE83F3" w14:textId="797330FB" w:rsidR="00BE6DF5" w:rsidRPr="00A02427" w:rsidRDefault="00BE6DF5" w:rsidP="00C95629">
      <w:pPr>
        <w:pStyle w:val="Para0bullet"/>
        <w:numPr>
          <w:ilvl w:val="0"/>
          <w:numId w:val="15"/>
        </w:numPr>
        <w:ind w:left="426" w:hanging="426"/>
      </w:pPr>
      <w:r w:rsidRPr="00A02427">
        <w:t xml:space="preserve">Mein (2008) Potential impacts of forest management on streamflow in Melbourne’s water supply catchments Summary </w:t>
      </w:r>
      <w:r w:rsidR="00C52773">
        <w:t>R</w:t>
      </w:r>
      <w:r w:rsidR="00C52773" w:rsidRPr="00A02427">
        <w:t>eport</w:t>
      </w:r>
      <w:r w:rsidRPr="00A02427">
        <w:t>.</w:t>
      </w:r>
    </w:p>
    <w:p w14:paraId="5408DD5D" w14:textId="3C511D86" w:rsidR="00BE6DF5" w:rsidRPr="00A02427" w:rsidRDefault="00BE6DF5" w:rsidP="00C95629">
      <w:pPr>
        <w:pStyle w:val="Para0bullet"/>
        <w:numPr>
          <w:ilvl w:val="0"/>
          <w:numId w:val="15"/>
        </w:numPr>
        <w:ind w:left="426" w:hanging="426"/>
      </w:pPr>
      <w:r w:rsidRPr="00A02427">
        <w:fldChar w:fldCharType="begin" w:fldLock="1"/>
      </w:r>
      <w:r w:rsidR="00544257">
        <w:instrText>ADDIN CSL_CITATION {"citationItems":[{"id":"ITEM-1","itemData":{"author":[{"dropping-particle":"","family":"Feikema","given":"Paul","non-dropping-particle":"","parse-names":false,"suffix":""},{"dropping-particle":"","family":"Lane","given":"Patrick","non-dropping-particle":"","parse-names":false,"suffix":""},{"dropping-particle":"","family":"Peel","given":"Murray","non-dropping-particle":"","parse-names":false,"suffix":""},{"dropping-particle":"","family":"Sherwin","given":"Chris","non-dropping-particle":"","parse-names":false,"suffix":""},{"dropping-particle":"","family":"Freebairn","given":"Andrew","non-dropping-particle":"","parse-names":false,"suffix":""},{"dropping-particle":"","family":"Salkin","given":"Owen","non-dropping-particle":"","parse-names":false,"suffix":""}],"id":"ITEM-1","issued":{"date-parts":[["2006"]]},"number-of-pages":"119","title":"Hydrological studies into the impact of timber harvesting on water yield in state forests supplying water to Melbourne – Part 1 of Hydrological studies","type":"report"},"uris":["http://www.mendeley.com/documents/?uuid=185559a6-5efc-4614-b9f8-1a239b325832"]}],"mendeley":{"formattedCitation":"(Feikema &lt;i&gt;et al.&lt;/i&gt;, 2006)","manualFormatting":"Feikema et al. (2006)","plainTextFormattedCitation":"(Feikema et al., 2006)","previouslyFormattedCitation":"(Feikema &lt;i&gt;et al.&lt;/i&gt;, 2006)"},"properties":{"noteIndex":0},"schema":"https://github.com/citation-style-language/schema/raw/master/csl-citation.json"}</w:instrText>
      </w:r>
      <w:r w:rsidRPr="00A02427">
        <w:fldChar w:fldCharType="separate"/>
      </w:r>
      <w:r w:rsidRPr="00A02427">
        <w:rPr>
          <w:noProof/>
        </w:rPr>
        <w:t xml:space="preserve">Feikema </w:t>
      </w:r>
      <w:r w:rsidR="001C1F9A" w:rsidRPr="001C1F9A">
        <w:rPr>
          <w:i/>
          <w:noProof/>
        </w:rPr>
        <w:t>et al.</w:t>
      </w:r>
      <w:r w:rsidRPr="00A02427">
        <w:rPr>
          <w:noProof/>
        </w:rPr>
        <w:t xml:space="preserve"> (2006)</w:t>
      </w:r>
      <w:r w:rsidRPr="00A02427">
        <w:fldChar w:fldCharType="end"/>
      </w:r>
      <w:r w:rsidRPr="00A02427">
        <w:t xml:space="preserve"> Hydrological studies into the impact of timber harvesting on water yield in state forests supplying water to Melbourne – Part 1 of Hydrological studies.</w:t>
      </w:r>
    </w:p>
    <w:p w14:paraId="73211BB0" w14:textId="09BD342C" w:rsidR="00BE6DF5" w:rsidRPr="00A02427" w:rsidRDefault="00C611F3" w:rsidP="00C95629">
      <w:pPr>
        <w:pStyle w:val="Para0bullet"/>
        <w:numPr>
          <w:ilvl w:val="0"/>
          <w:numId w:val="15"/>
        </w:numPr>
        <w:ind w:left="426" w:hanging="426"/>
      </w:pPr>
      <w:r>
        <w:fldChar w:fldCharType="begin" w:fldLock="1"/>
      </w:r>
      <w:r>
        <w:instrText>ADDIN CSL_CITATION {"citationItems":[{"id":"ITEM-1","itemData":{"author":[{"dropping-particle":"","family":"Feikema","given":"PM","non-dropping-particle":"","parse-names":false,"suffix":""},{"dropping-particle":"","family":"Lane","given":"PNJ","non-dropping-particle":"","parse-names":false,"suffix":""},{"dropping-particle":"","family":"Sherwin","given":"CB","non-dropping-particle":"","parse-names":false,"suffix":""}],"id":"ITEM-1","issued":{"date-parts":[["2008"]]},"title":"Hydrological studies into the impact of timber harvesting on water yield in state forests supplying water to Melbourne – Part 2 of Hydrological studies (Climate change and Bushfire)","type":"report"},"uris":["http://www.mendeley.com/documents/?uuid=c6d63285-7e7e-4e77-ae35-e785fc2967c2"]}],"mendeley":{"formattedCitation":"(Feikema &lt;i&gt;et al.&lt;/i&gt;, 2008)","manualFormatting":"Feikema et al. (2008)","plainTextFormattedCitation":"(Feikema et al., 2008)","previouslyFormattedCitation":"(Feikema &lt;i&gt;et al.&lt;/i&gt;, 2008)"},"properties":{"noteIndex":0},"schema":"https://github.com/citation-style-language/schema/raw/master/csl-citation.json"}</w:instrText>
      </w:r>
      <w:r>
        <w:fldChar w:fldCharType="separate"/>
      </w:r>
      <w:r w:rsidRPr="00C611F3">
        <w:rPr>
          <w:noProof/>
        </w:rPr>
        <w:t xml:space="preserve">Feikema </w:t>
      </w:r>
      <w:r w:rsidRPr="00C611F3">
        <w:rPr>
          <w:i/>
          <w:noProof/>
        </w:rPr>
        <w:t>et al.</w:t>
      </w:r>
      <w:r w:rsidRPr="00C611F3">
        <w:rPr>
          <w:noProof/>
        </w:rPr>
        <w:t xml:space="preserve"> </w:t>
      </w:r>
      <w:r>
        <w:rPr>
          <w:noProof/>
        </w:rPr>
        <w:t>(</w:t>
      </w:r>
      <w:r w:rsidRPr="00C611F3">
        <w:rPr>
          <w:noProof/>
        </w:rPr>
        <w:t>2008)</w:t>
      </w:r>
      <w:r>
        <w:fldChar w:fldCharType="end"/>
      </w:r>
      <w:r>
        <w:t xml:space="preserve"> </w:t>
      </w:r>
      <w:r w:rsidR="00BE6DF5" w:rsidRPr="00A02427">
        <w:t>Hydrological studies into the impact of timber harvesting on water yield in state forests supplying water to Melbourne – Part 2 of Hydrological studies (Climate change and Bushfire).</w:t>
      </w:r>
    </w:p>
    <w:p w14:paraId="58302626" w14:textId="3ECC320C" w:rsidR="00BE6DF5" w:rsidRPr="00A02427" w:rsidRDefault="00BE6DF5" w:rsidP="00C95629">
      <w:pPr>
        <w:pStyle w:val="Para0bullet"/>
        <w:numPr>
          <w:ilvl w:val="0"/>
          <w:numId w:val="15"/>
        </w:numPr>
        <w:ind w:left="426" w:hanging="426"/>
      </w:pPr>
      <w:r w:rsidRPr="00A02427">
        <w:fldChar w:fldCharType="begin" w:fldLock="1"/>
      </w:r>
      <w:r w:rsidRPr="00A02427">
        <w:instrText>ADDIN CSL_CITATION {"citationItems":[{"id":"ITEM-1","itemData":{"author":[{"dropping-particle":"","family":"Walker","given":"Bernard","non-dropping-particle":"","parse-names":false,"suffix":""}],"id":"ITEM-1","issued":{"date-parts":[["2008"]]},"title":"Woodstock Modeling – Hydrological Studies into the Impact of Timber Harvesting on Water Yields and Options Aimed at Improving Water Yields in State Forests Supplying Water to Melbourne","type":"report"},"uris":["http://www.mendeley.com/documents/?uuid=4d2dcb11-38c0-4283-8550-ad1563d76d76"]}],"mendeley":{"formattedCitation":"(Walker, 2008)","manualFormatting":"Walker (2008)","plainTextFormattedCitation":"(Walker, 2008)","previouslyFormattedCitation":"(Walker, 2008)"},"properties":{"noteIndex":0},"schema":"https://github.com/citation-style-language/schema/raw/master/csl-citation.json"}</w:instrText>
      </w:r>
      <w:r w:rsidRPr="00A02427">
        <w:fldChar w:fldCharType="separate"/>
      </w:r>
      <w:r w:rsidRPr="00A02427">
        <w:rPr>
          <w:noProof/>
        </w:rPr>
        <w:t>Walker (2008)</w:t>
      </w:r>
      <w:r w:rsidRPr="00A02427">
        <w:fldChar w:fldCharType="end"/>
      </w:r>
      <w:r w:rsidRPr="00A02427">
        <w:t xml:space="preserve"> Woodstock </w:t>
      </w:r>
      <w:r w:rsidR="00C95629" w:rsidRPr="00A02427">
        <w:t>Modelling</w:t>
      </w:r>
      <w:r w:rsidRPr="00A02427">
        <w:t xml:space="preserve"> – Hydrological Studies into the Impact of Timber Harvesting on Water Yields and Options Aimed at Improving Water Yields in State Forests Supplying Water to Melbourne.</w:t>
      </w:r>
    </w:p>
    <w:p w14:paraId="4A345958" w14:textId="6B2D0FAC" w:rsidR="00BE6DF5" w:rsidRPr="00A02427" w:rsidRDefault="00BE6DF5" w:rsidP="00C95629">
      <w:pPr>
        <w:pStyle w:val="Para0bullet"/>
        <w:numPr>
          <w:ilvl w:val="0"/>
          <w:numId w:val="15"/>
        </w:numPr>
        <w:ind w:left="426" w:hanging="426"/>
      </w:pPr>
      <w:r w:rsidRPr="00A02427">
        <w:fldChar w:fldCharType="begin" w:fldLock="1"/>
      </w:r>
      <w:r w:rsidR="007416C7">
        <w:instrText>ADDIN CSL_CITATION {"citationItems":[{"id":"ITEM-1","itemData":{"author":[{"dropping-particle":"","family":"Battad","given":"Dionisio","non-dropping-particle":"","parse-names":false,"suffix":""},{"dropping-particle":"","family":"Sutton","given":"Mike","non-dropping-particle":"","parse-names":false,"suffix":""},{"dropping-particle":"","family":"Miller","given":"Valerie","non-dropping-particle":"","parse-names":false,"suffix":""},{"dropping-particle":"","family":"Villanueva","given":"Grimaldo","non-dropping-particle":"","parse-names":false,"suffix":""},{"dropping-particle":"","family":"Li","given":"Cai","non-dropping-particle":"","parse-names":false,"suffix":""}],"id":"ITEM-1","issued":{"date-parts":[["2007"]]},"title":"Impacts of Forest Management Options on Water Yield, Central Gippsland and Dandenong Forest Management Areas","type":"report"},"uris":["http://www.mendeley.com/documents/?uuid=83a2b213-afa9-4944-aae1-17ec38b38eef"]}],"mendeley":{"formattedCitation":"(Battad &lt;i&gt;et al.&lt;/i&gt;, 2007)","manualFormatting":"Battad et al. (2007)","plainTextFormattedCitation":"(Battad et al., 2007)","previouslyFormattedCitation":"(Battad &lt;i&gt;et al.&lt;/i&gt;, 2007)"},"properties":{"noteIndex":0},"schema":"https://github.com/citation-style-language/schema/raw/master/csl-citation.json"}</w:instrText>
      </w:r>
      <w:r w:rsidRPr="00A02427">
        <w:fldChar w:fldCharType="separate"/>
      </w:r>
      <w:r w:rsidRPr="00A02427">
        <w:rPr>
          <w:noProof/>
        </w:rPr>
        <w:t xml:space="preserve">Battad </w:t>
      </w:r>
      <w:r w:rsidR="001C1F9A" w:rsidRPr="001C1F9A">
        <w:rPr>
          <w:i/>
          <w:noProof/>
        </w:rPr>
        <w:t>et al.</w:t>
      </w:r>
      <w:r w:rsidRPr="00A02427">
        <w:rPr>
          <w:noProof/>
        </w:rPr>
        <w:t xml:space="preserve"> (2007)</w:t>
      </w:r>
      <w:r w:rsidRPr="00A02427">
        <w:fldChar w:fldCharType="end"/>
      </w:r>
      <w:r w:rsidRPr="00A02427">
        <w:t xml:space="preserve"> Impacts of Forest Management Options on Water Yield, Central Gippsland and Dandenong Forest Management Areas.</w:t>
      </w:r>
    </w:p>
    <w:p w14:paraId="55546121" w14:textId="77777777" w:rsidR="00BE6DF5" w:rsidRPr="00A02427" w:rsidRDefault="00BE6DF5" w:rsidP="00C95629">
      <w:pPr>
        <w:pStyle w:val="Para0bullet"/>
        <w:numPr>
          <w:ilvl w:val="0"/>
          <w:numId w:val="15"/>
        </w:numPr>
        <w:ind w:left="426" w:hanging="426"/>
      </w:pPr>
      <w:r w:rsidRPr="00A02427">
        <w:fldChar w:fldCharType="begin" w:fldLock="1"/>
      </w:r>
      <w:r w:rsidRPr="00A02427">
        <w:instrText>ADDIN CSL_CITATION {"citationItems":[{"id":"ITEM-1","itemData":{"author":[{"dropping-particle":"","family":"Salkin","given":"Owen","non-dropping-particle":"","parse-names":false,"suffix":""}],"id":"ITEM-1","issued":{"date-parts":[["2008"]]},"title":"Modelling of Options for Management of Catchments supplying Water to Melbourne - Post 2006/07 Fire, Thinning and Reduced Rainfall","type":"report"},"uris":["http://www.mendeley.com/documents/?uuid=64647e23-365b-4ef0-b8af-baddaf7ff91c"]}],"mendeley":{"formattedCitation":"(Salkin, 2008)","manualFormatting":"Salkin (2008)","plainTextFormattedCitation":"(Salkin, 2008)","previouslyFormattedCitation":"(Salkin, 2008)"},"properties":{"noteIndex":0},"schema":"https://github.com/citation-style-language/schema/raw/master/csl-citation.json"}</w:instrText>
      </w:r>
      <w:r w:rsidRPr="00A02427">
        <w:fldChar w:fldCharType="separate"/>
      </w:r>
      <w:r w:rsidRPr="00A02427">
        <w:rPr>
          <w:noProof/>
        </w:rPr>
        <w:t>Salkin (2008)</w:t>
      </w:r>
      <w:r w:rsidRPr="00A02427">
        <w:fldChar w:fldCharType="end"/>
      </w:r>
      <w:r w:rsidRPr="00A02427">
        <w:t xml:space="preserve"> Modelling of Options for Management of Catchments supplying Water to Melbourne – Post 2006/07 Fire, Thinning and Reduced Rainfall.</w:t>
      </w:r>
    </w:p>
    <w:p w14:paraId="3D070C2F" w14:textId="77777777" w:rsidR="001653B6" w:rsidRDefault="00BE6DF5" w:rsidP="00BE6DF5">
      <w:pPr>
        <w:pStyle w:val="Para0"/>
      </w:pPr>
      <w:r>
        <w:t xml:space="preserve">The purpose of </w:t>
      </w:r>
      <w:r w:rsidR="00E80142" w:rsidRPr="00E80142">
        <w:t>WWS2008</w:t>
      </w:r>
      <w:r>
        <w:t xml:space="preserve"> was to, </w:t>
      </w:r>
    </w:p>
    <w:p w14:paraId="211F18DD" w14:textId="321CB9BC" w:rsidR="00BE6DF5" w:rsidRDefault="00BE6DF5" w:rsidP="00FA1991">
      <w:pPr>
        <w:pStyle w:val="Para0"/>
        <w:spacing w:before="60"/>
        <w:ind w:left="709"/>
      </w:pPr>
      <w:r w:rsidRPr="00FA1991">
        <w:rPr>
          <w:i/>
          <w:iCs/>
        </w:rPr>
        <w:t xml:space="preserve">estimate the impacts of different timber management regimes, bushfire, and climate change on water yield in Melbourne’s water supply catchments. Its aim </w:t>
      </w:r>
      <w:r w:rsidR="002B5A2B" w:rsidRPr="00FA1991">
        <w:rPr>
          <w:i/>
          <w:iCs/>
        </w:rPr>
        <w:t>[was]</w:t>
      </w:r>
      <w:r w:rsidRPr="00FA1991">
        <w:rPr>
          <w:i/>
          <w:iCs/>
        </w:rPr>
        <w:t xml:space="preserve"> also to show how these regimes impact on timber yield from the associated Forest Management Areas</w:t>
      </w:r>
      <w:r w:rsidR="003D395B">
        <w:t>.</w:t>
      </w:r>
    </w:p>
    <w:p w14:paraId="4109A303" w14:textId="751D4AB8" w:rsidR="00BE6DF5" w:rsidRDefault="00BE6DF5" w:rsidP="00BE6DF5">
      <w:pPr>
        <w:pStyle w:val="Para0"/>
      </w:pPr>
      <w:r>
        <w:t xml:space="preserve">The scope of this review of WWS2008 is confined to the </w:t>
      </w:r>
      <w:r w:rsidR="007877C7">
        <w:t>catchment water yield</w:t>
      </w:r>
      <w:r>
        <w:t xml:space="preserve"> aspect</w:t>
      </w:r>
      <w:r w:rsidR="003D395B">
        <w:t>s</w:t>
      </w:r>
      <w:r>
        <w:t xml:space="preserve"> of the </w:t>
      </w:r>
      <w:r w:rsidR="00C95629">
        <w:t>trade-off</w:t>
      </w:r>
      <w:r>
        <w:t xml:space="preserve"> between wood and water. Review of the timber yield component of WWS2008 </w:t>
      </w:r>
      <w:r w:rsidR="00A244AC">
        <w:t>i</w:t>
      </w:r>
      <w:r>
        <w:t xml:space="preserve">s outside the scope of </w:t>
      </w:r>
      <w:r w:rsidR="0080442A">
        <w:t xml:space="preserve">this current </w:t>
      </w:r>
      <w:r w:rsidR="00C95629">
        <w:t>review</w:t>
      </w:r>
      <w:r>
        <w:t>.</w:t>
      </w:r>
    </w:p>
    <w:p w14:paraId="29BF83EE" w14:textId="765026EB" w:rsidR="00BE6DF5" w:rsidRDefault="00E80142" w:rsidP="002D19BF">
      <w:pPr>
        <w:pStyle w:val="Para0"/>
        <w:keepNext/>
      </w:pPr>
      <w:r w:rsidRPr="00E80142">
        <w:lastRenderedPageBreak/>
        <w:t>WWS2008</w:t>
      </w:r>
      <w:r w:rsidR="00BE6DF5">
        <w:t xml:space="preserve"> us</w:t>
      </w:r>
      <w:r w:rsidR="002547C1">
        <w:t>ed</w:t>
      </w:r>
      <w:r w:rsidR="00BE6DF5">
        <w:t xml:space="preserve"> two modelling tools:</w:t>
      </w:r>
    </w:p>
    <w:p w14:paraId="33351322" w14:textId="0C9663B4" w:rsidR="00BE6DF5" w:rsidRDefault="00BE6DF5" w:rsidP="00C95629">
      <w:pPr>
        <w:pStyle w:val="Para0bullet"/>
        <w:numPr>
          <w:ilvl w:val="0"/>
          <w:numId w:val="18"/>
        </w:numPr>
        <w:ind w:left="426" w:hanging="426"/>
      </w:pPr>
      <w:r>
        <w:t xml:space="preserve">the Macaque hydrological model, which was originally developed by Dr Fred Watson at the CRC for Catchment Hydrology (CRCCH) for the specific purpose of evaluating the impacts of forest disturbance on eucalypt forests. There were several improvements made to Macaque during </w:t>
      </w:r>
      <w:r w:rsidR="00E80142" w:rsidRPr="00E80142">
        <w:t>WWS2008</w:t>
      </w:r>
      <w:r w:rsidR="002547C1">
        <w:t>.</w:t>
      </w:r>
    </w:p>
    <w:p w14:paraId="162BD8BE" w14:textId="25412B2E" w:rsidR="00BE6DF5" w:rsidRDefault="00BE6DF5" w:rsidP="00C95629">
      <w:pPr>
        <w:pStyle w:val="Para0bullet"/>
        <w:numPr>
          <w:ilvl w:val="0"/>
          <w:numId w:val="18"/>
        </w:numPr>
        <w:ind w:left="426" w:hanging="426"/>
      </w:pPr>
      <w:r>
        <w:t xml:space="preserve">the Woodstock model, which was used to </w:t>
      </w:r>
      <w:r w:rsidR="00B67BDE">
        <w:t>optimise timber and water</w:t>
      </w:r>
      <w:r>
        <w:t xml:space="preserve"> yields from a range of different forest management regimes in the </w:t>
      </w:r>
      <w:r w:rsidR="002547C1">
        <w:t>s</w:t>
      </w:r>
      <w:r>
        <w:t xml:space="preserve">tate </w:t>
      </w:r>
      <w:r w:rsidR="002547C1">
        <w:t>f</w:t>
      </w:r>
      <w:r>
        <w:t>orest areas.</w:t>
      </w:r>
    </w:p>
    <w:p w14:paraId="0D5E4A7E" w14:textId="257BC053" w:rsidR="00BE6DF5" w:rsidRDefault="00E80142" w:rsidP="00BE6DF5">
      <w:pPr>
        <w:pStyle w:val="Para0"/>
      </w:pPr>
      <w:r w:rsidRPr="00E80142">
        <w:t>WWS2008</w:t>
      </w:r>
      <w:r w:rsidR="00BE6DF5">
        <w:t xml:space="preserve"> established Macaque models for each of the forested catchments where timber harvesting was permitted: Thomson, Tarago, Bunyip River, Armstrong Creek</w:t>
      </w:r>
      <w:r w:rsidR="00C92B66">
        <w:t xml:space="preserve"> Main</w:t>
      </w:r>
      <w:r w:rsidR="00BE6DF5">
        <w:t xml:space="preserve">, Armstrong Creek East, Cement Creek, Starvation Creek and McMahons Creek. The Macaque models were run on a daily timestep, although most attention was paid to </w:t>
      </w:r>
      <w:r w:rsidR="007877C7">
        <w:t>catchment water yield</w:t>
      </w:r>
      <w:r w:rsidR="00BE6DF5">
        <w:t>s at annual, seasonal and monthly timesteps.</w:t>
      </w:r>
    </w:p>
    <w:p w14:paraId="5B2270D7" w14:textId="534FC6BD" w:rsidR="00AB1C03" w:rsidRDefault="00AB1C03" w:rsidP="00AB1C03">
      <w:pPr>
        <w:pStyle w:val="Heading2"/>
      </w:pPr>
      <w:bookmarkStart w:id="13" w:name="_Toc36033079"/>
      <w:r>
        <w:t>Macaque model calibration</w:t>
      </w:r>
      <w:bookmarkEnd w:id="13"/>
    </w:p>
    <w:p w14:paraId="755C71ED" w14:textId="07522335" w:rsidR="00BE6DF5" w:rsidRDefault="00BE6DF5" w:rsidP="00BE6DF5">
      <w:pPr>
        <w:pStyle w:val="Para0"/>
      </w:pPr>
      <w:r>
        <w:t xml:space="preserve">The Macaque models in each catchment were calibrated to monthly streamflows. In the Thomson and Tarago catchments, the </w:t>
      </w:r>
      <w:r w:rsidR="00EC65CB">
        <w:t xml:space="preserve">historical </w:t>
      </w:r>
      <w:r>
        <w:t>monthly flows were obtained by undertaking a volume balance</w:t>
      </w:r>
      <w:r w:rsidR="000B3A59">
        <w:t>,</w:t>
      </w:r>
      <w:r>
        <w:t xml:space="preserve"> based on changing water levels</w:t>
      </w:r>
      <w:r w:rsidR="000B3A59">
        <w:t>. F</w:t>
      </w:r>
      <w:r>
        <w:t xml:space="preserve">or all other catchments the flows were obtained from gauged records. At the time, the observed monthly streamflow records for Thomson, Tarago, Bunyip, Armstrong Creek Main, McMahons </w:t>
      </w:r>
      <w:r w:rsidR="005570B8">
        <w:t xml:space="preserve">Creek </w:t>
      </w:r>
      <w:r>
        <w:t xml:space="preserve">and Starvation </w:t>
      </w:r>
      <w:r w:rsidR="000B3A59">
        <w:t>C</w:t>
      </w:r>
      <w:r w:rsidR="00C92B66">
        <w:t xml:space="preserve">reek </w:t>
      </w:r>
      <w:r>
        <w:t>varied between 28 and 45</w:t>
      </w:r>
      <w:r w:rsidR="006E43FD">
        <w:t> </w:t>
      </w:r>
      <w:r>
        <w:t>years in length. Shorter streamflow records were available for Cement Creek (2 years) and Armstrong Creek East (11 years).</w:t>
      </w:r>
    </w:p>
    <w:p w14:paraId="3DBE3166" w14:textId="5215A764" w:rsidR="00BE6DF5" w:rsidRDefault="00BE6DF5" w:rsidP="00BE6DF5">
      <w:pPr>
        <w:pStyle w:val="Para0"/>
      </w:pPr>
      <w:r>
        <w:t>The Macaque model calibrations employed split-sample fitting and validation, which demonstrated that the</w:t>
      </w:r>
      <w:r w:rsidR="00C92B66">
        <w:t>se</w:t>
      </w:r>
      <w:r>
        <w:t xml:space="preserve"> calibrations were relatively robust to variations in climatic conditions across the calibration periods that were available at the time of </w:t>
      </w:r>
      <w:r w:rsidR="00E80142" w:rsidRPr="00E80142">
        <w:t>WWS2008</w:t>
      </w:r>
      <w:r>
        <w:t xml:space="preserve">. For </w:t>
      </w:r>
      <w:r w:rsidR="00C77B0A">
        <w:t xml:space="preserve">the </w:t>
      </w:r>
      <w:r>
        <w:t xml:space="preserve">Thomson, the standard of calibration achieved was “Good” or “Very Good” for all calibration and validation periods when assessed against the </w:t>
      </w:r>
      <w:r>
        <w:fldChar w:fldCharType="begin" w:fldLock="1"/>
      </w:r>
      <w:r w:rsidR="007416C7">
        <w:instrText>ADDIN CSL_CITATION {"citationItems":[{"id":"ITEM-1","itemData":{"author":[{"dropping-particle":"","family":"Moriasi","given":"D. N.","non-dropping-particle":"","parse-names":false,"suffix":""},{"dropping-particle":"","family":"Arnold","given":"J. G.","non-dropping-particle":"","parse-names":false,"suffix":""},{"dropping-particle":"","family":"Liew","given":"M. W.","non-dropping-particle":"Van","parse-names":false,"suffix":""},{"dropping-particle":"","family":"Bingner","given":"R. L.","non-dropping-particle":"","parse-names":false,"suffix":""},{"dropping-particle":"","family":"Harmel","given":"R. D.","non-dropping-particle":"","parse-names":false,"suffix":""},{"dropping-particle":"","family":"Veith","given":"T. L.","non-dropping-particle":"","parse-names":false,"suffix":""}],"container-title":"American Society of Agricultural and Biological Engineers","id":"ITEM-1","issue":"3","issued":{"date-parts":[["2007"]]},"page":"885-900","title":"Model evaluation guidelines for systematic quantification of accuracy in watershed simulations","type":"article-journal","volume":"50"},"uris":["http://www.mendeley.com/documents/?uuid=2d4b2f63-caa3-444c-a7ff-b4d5cc2c6543"]}],"mendeley":{"formattedCitation":"(Moriasi &lt;i&gt;et al.&lt;/i&gt;, 2007)","plainTextFormattedCitation":"(Moriasi et al., 2007)","previouslyFormattedCitation":"(Moriasi &lt;i&gt;et al.&lt;/i&gt;, 2007)"},"properties":{"noteIndex":0},"schema":"https://github.com/citation-style-language/schema/raw/master/csl-citation.json"}</w:instrText>
      </w:r>
      <w:r>
        <w:fldChar w:fldCharType="separate"/>
      </w:r>
      <w:r w:rsidR="007416C7" w:rsidRPr="007416C7">
        <w:rPr>
          <w:noProof/>
        </w:rPr>
        <w:t xml:space="preserve">(Moriasi </w:t>
      </w:r>
      <w:r w:rsidR="007416C7" w:rsidRPr="007416C7">
        <w:rPr>
          <w:i/>
          <w:noProof/>
        </w:rPr>
        <w:t>et al.</w:t>
      </w:r>
      <w:r w:rsidR="007416C7" w:rsidRPr="007416C7">
        <w:rPr>
          <w:noProof/>
        </w:rPr>
        <w:t>, 2007)</w:t>
      </w:r>
      <w:r>
        <w:fldChar w:fldCharType="end"/>
      </w:r>
      <w:r>
        <w:t xml:space="preserve"> criteria. Calibration results were more variable across other catchments, although </w:t>
      </w:r>
      <w:r w:rsidR="00C92B66">
        <w:t xml:space="preserve">a </w:t>
      </w:r>
      <w:r>
        <w:t xml:space="preserve">“Satisfactory”, “Good” or “Very Good” </w:t>
      </w:r>
      <w:r w:rsidR="00C92B66">
        <w:t xml:space="preserve">standard was </w:t>
      </w:r>
      <w:r>
        <w:t>achieved for most of the other catchments for the calibration and validation periods.</w:t>
      </w:r>
    </w:p>
    <w:p w14:paraId="553877E4" w14:textId="02B5DA3D" w:rsidR="00AB1C03" w:rsidRDefault="00AB1C03" w:rsidP="00AB1C03">
      <w:pPr>
        <w:pStyle w:val="Heading2"/>
      </w:pPr>
      <w:bookmarkStart w:id="14" w:name="_Ref24439551"/>
      <w:bookmarkStart w:id="15" w:name="_Toc36033080"/>
      <w:r>
        <w:t>Future scenario m</w:t>
      </w:r>
      <w:r w:rsidR="00BC0CF0">
        <w:t>o</w:t>
      </w:r>
      <w:r>
        <w:t>delling</w:t>
      </w:r>
      <w:bookmarkEnd w:id="14"/>
      <w:bookmarkEnd w:id="15"/>
    </w:p>
    <w:p w14:paraId="20152126" w14:textId="61309614" w:rsidR="00B67BDE" w:rsidRDefault="00B67BDE" w:rsidP="00B67BDE">
      <w:pPr>
        <w:pStyle w:val="Para0"/>
      </w:pPr>
      <w:r>
        <w:t>Modelling was undertaken in WWS2008 to represent the influences of bushfires, climate change and timber harvesting. The results from the Macaque modelling were applied in two different ways in WWS2008:</w:t>
      </w:r>
    </w:p>
    <w:p w14:paraId="65A58498" w14:textId="5B04D435" w:rsidR="00B67BDE" w:rsidRDefault="00EC39F0" w:rsidP="002A792F">
      <w:pPr>
        <w:pStyle w:val="Para0bullet"/>
        <w:numPr>
          <w:ilvl w:val="0"/>
          <w:numId w:val="28"/>
        </w:numPr>
      </w:pPr>
      <w:r>
        <w:t>f</w:t>
      </w:r>
      <w:r w:rsidR="00B67BDE">
        <w:t>or future bushfire and climate change scenarios, t</w:t>
      </w:r>
      <w:r w:rsidR="00B67BDE" w:rsidRPr="00E45974">
        <w:t>he time series of annual total streamflow</w:t>
      </w:r>
      <w:r w:rsidR="00B67BDE">
        <w:t>s</w:t>
      </w:r>
      <w:r w:rsidR="00B67BDE" w:rsidRPr="00E45974">
        <w:t xml:space="preserve"> at the outlet of each of the modelled catchments were analysed</w:t>
      </w:r>
      <w:r w:rsidR="00B67BDE">
        <w:t xml:space="preserve"> to estimate annual impacts; and</w:t>
      </w:r>
    </w:p>
    <w:p w14:paraId="19DCBA99" w14:textId="3A5F5DC8" w:rsidR="00B67BDE" w:rsidRDefault="00EC39F0" w:rsidP="002A792F">
      <w:pPr>
        <w:pStyle w:val="Para0bullet"/>
        <w:numPr>
          <w:ilvl w:val="0"/>
          <w:numId w:val="28"/>
        </w:numPr>
      </w:pPr>
      <w:r>
        <w:t>f</w:t>
      </w:r>
      <w:r w:rsidR="00B67BDE">
        <w:t xml:space="preserve">or the timber harvesting scenarios, the Macaque outputs of annual runoff for multiple elementary spatial units that shared the same forest type and age were analysed to produce curves for the projected change in streamflow response. These streamflow response curves were then used as an input to Woodstock, which was used to provide projections of timber and </w:t>
      </w:r>
      <w:r w:rsidR="007877C7">
        <w:t>catchment water yield</w:t>
      </w:r>
      <w:r w:rsidR="00B67BDE">
        <w:t xml:space="preserve">. For each timber harvesting scenario, Woodstock performed a </w:t>
      </w:r>
      <w:r w:rsidR="00B67BDE">
        <w:lastRenderedPageBreak/>
        <w:t xml:space="preserve">constrained optimisation of the area and age of timber harvested in each year of the projection, to maximise </w:t>
      </w:r>
      <w:r w:rsidR="007877C7">
        <w:t>catchment water yield</w:t>
      </w:r>
      <w:r w:rsidR="00B67BDE">
        <w:t xml:space="preserve"> given a specified annual volume of </w:t>
      </w:r>
      <w:r w:rsidR="00C95629">
        <w:t>saw logs</w:t>
      </w:r>
      <w:r w:rsidR="00B67BDE">
        <w:t xml:space="preserve"> harvested.</w:t>
      </w:r>
    </w:p>
    <w:p w14:paraId="1EECA1B3" w14:textId="0F1DEBCF" w:rsidR="002D05F9" w:rsidRDefault="00B67BDE" w:rsidP="002D05F9">
      <w:pPr>
        <w:pStyle w:val="Para0"/>
      </w:pPr>
      <w:r>
        <w:fldChar w:fldCharType="begin"/>
      </w:r>
      <w:r>
        <w:instrText xml:space="preserve"> REF _Ref24432213 \h </w:instrText>
      </w:r>
      <w:r>
        <w:fldChar w:fldCharType="separate"/>
      </w:r>
      <w:r w:rsidR="00062E08">
        <w:t xml:space="preserve">Table </w:t>
      </w:r>
      <w:r w:rsidR="00062E08">
        <w:rPr>
          <w:noProof/>
        </w:rPr>
        <w:t>1</w:t>
      </w:r>
      <w:r>
        <w:fldChar w:fldCharType="end"/>
      </w:r>
      <w:r>
        <w:t xml:space="preserve"> summarises the Macaque and Woodstock model runs that were undertaken in WWS2008 to analyse influences of future potential bushfires, climate change and timber harvesting. Each of the Macaque model runs </w:t>
      </w:r>
      <w:r w:rsidR="00EC39F0">
        <w:t xml:space="preserve">was </w:t>
      </w:r>
      <w:r>
        <w:t>undertaken by repeating the climate data from a single representative year 300 times.</w:t>
      </w:r>
      <w:r w:rsidR="002D05F9">
        <w:t xml:space="preserve"> The representative years selected for each catchment (Salkin, 2008, p. 20) were:</w:t>
      </w:r>
    </w:p>
    <w:p w14:paraId="77042345" w14:textId="26BBF617" w:rsidR="002D05F9" w:rsidRDefault="002D05F9" w:rsidP="002D05F9">
      <w:pPr>
        <w:pStyle w:val="Para0bullet"/>
      </w:pPr>
      <w:r>
        <w:t>Thomson</w:t>
      </w:r>
      <w:r>
        <w:tab/>
      </w:r>
      <w:r w:rsidR="00EC39F0">
        <w:tab/>
      </w:r>
      <w:r>
        <w:t>1989</w:t>
      </w:r>
    </w:p>
    <w:p w14:paraId="74CA06B3" w14:textId="77777777" w:rsidR="002D05F9" w:rsidRDefault="002D05F9" w:rsidP="002D05F9">
      <w:pPr>
        <w:pStyle w:val="Para0bullet"/>
      </w:pPr>
      <w:r>
        <w:t>Tarago</w:t>
      </w:r>
      <w:r>
        <w:tab/>
      </w:r>
      <w:r>
        <w:tab/>
        <w:t>1958</w:t>
      </w:r>
    </w:p>
    <w:p w14:paraId="056FEBF4" w14:textId="77777777" w:rsidR="002D05F9" w:rsidRDefault="002D05F9" w:rsidP="002D05F9">
      <w:pPr>
        <w:pStyle w:val="Para0bullet"/>
      </w:pPr>
      <w:r>
        <w:t>Bunyip</w:t>
      </w:r>
      <w:r>
        <w:tab/>
      </w:r>
      <w:r>
        <w:tab/>
        <w:t>1966</w:t>
      </w:r>
    </w:p>
    <w:p w14:paraId="31BBAAE9" w14:textId="64B55052" w:rsidR="002D05F9" w:rsidRDefault="002D05F9" w:rsidP="002D05F9">
      <w:pPr>
        <w:pStyle w:val="Para0bullet"/>
      </w:pPr>
      <w:r>
        <w:t>Yarra Tributaries</w:t>
      </w:r>
      <w:r>
        <w:tab/>
        <w:t>1988 (Cement, Starvation, McMahons and Armstrong Creeks)</w:t>
      </w:r>
      <w:r w:rsidR="006E43FD">
        <w:t>.</w:t>
      </w:r>
    </w:p>
    <w:p w14:paraId="07987A20" w14:textId="77777777" w:rsidR="002D05F9" w:rsidRDefault="002D05F9" w:rsidP="002D05F9">
      <w:pPr>
        <w:pStyle w:val="Para0"/>
      </w:pPr>
      <w:r>
        <w:t>The representative year varied between catchments because the selection was made, for each individual catchment, of a year that was close to the long-term average for rainfall and streamflow</w:t>
      </w:r>
      <w:r w:rsidRPr="00354494">
        <w:rPr>
          <w:rStyle w:val="FootnoteReference"/>
        </w:rPr>
        <w:footnoteReference w:id="2"/>
      </w:r>
      <w:r>
        <w:t>.</w:t>
      </w:r>
    </w:p>
    <w:p w14:paraId="585EF0BA" w14:textId="622B4D14" w:rsidR="00B67BDE" w:rsidRDefault="00133140" w:rsidP="00BE6DF5">
      <w:pPr>
        <w:pStyle w:val="Para0"/>
      </w:pPr>
      <w:r>
        <w:t xml:space="preserve">The future potential bushfire and climate change runs were undertaken in </w:t>
      </w:r>
      <w:r w:rsidR="005570B8">
        <w:t xml:space="preserve">only </w:t>
      </w:r>
      <w:r>
        <w:t xml:space="preserve">three catchments: Thomson (as the largest harvesting catchment), Armstrong Creek Main (representing the wettest of the Yarra tributary subcatchments) and Starvation Creek (representing the driest of the Yarra tributary subcatchments). However, for assessing timber harvesting impacts, Macaque was used in each of the eight catchments to derive </w:t>
      </w:r>
      <w:r w:rsidR="005570B8">
        <w:t xml:space="preserve">curves of </w:t>
      </w:r>
      <w:r w:rsidR="007877C7">
        <w:t>catchment water yield</w:t>
      </w:r>
      <w:r>
        <w:t xml:space="preserve"> versus vegetation age, which were then </w:t>
      </w:r>
      <w:r w:rsidR="004E599A">
        <w:t>used as inputs to the</w:t>
      </w:r>
      <w:r>
        <w:t xml:space="preserve"> Woodstock</w:t>
      </w:r>
      <w:r w:rsidR="004E599A">
        <w:t xml:space="preserve"> model</w:t>
      </w:r>
      <w:r>
        <w:t>.</w:t>
      </w:r>
    </w:p>
    <w:p w14:paraId="20CBF6E3" w14:textId="40B580E2" w:rsidR="00AB1C03" w:rsidRPr="000378E1" w:rsidRDefault="00AB1C03" w:rsidP="00AB1C03">
      <w:pPr>
        <w:pStyle w:val="Para0"/>
        <w:rPr>
          <w:lang w:val="en-AU"/>
        </w:rPr>
      </w:pPr>
      <w:r>
        <w:rPr>
          <w:lang w:val="en-AU"/>
        </w:rPr>
        <w:t xml:space="preserve">The </w:t>
      </w:r>
      <w:r w:rsidR="001A76DD">
        <w:rPr>
          <w:lang w:val="en-AU"/>
        </w:rPr>
        <w:t xml:space="preserve">climate change projection </w:t>
      </w:r>
      <w:r>
        <w:rPr>
          <w:lang w:val="en-AU"/>
        </w:rPr>
        <w:t>scenarios considered “Slight”, “Moderate” and “Extreme” projections of climate change for 2050</w:t>
      </w:r>
      <w:r w:rsidR="00C77B0A">
        <w:rPr>
          <w:lang w:val="en-AU"/>
        </w:rPr>
        <w:t>,</w:t>
      </w:r>
      <w:r>
        <w:rPr>
          <w:lang w:val="en-AU"/>
        </w:rPr>
        <w:t xml:space="preserve"> based on </w:t>
      </w:r>
      <w:r w:rsidR="00C95629">
        <w:rPr>
          <w:lang w:val="en-AU"/>
        </w:rPr>
        <w:t>assumptions</w:t>
      </w:r>
      <w:r>
        <w:rPr>
          <w:lang w:val="en-AU"/>
        </w:rPr>
        <w:t xml:space="preserve"> adopted at the time by Melbourne Water and CSIRO </w:t>
      </w:r>
      <w:r>
        <w:rPr>
          <w:lang w:val="en-AU"/>
        </w:rPr>
        <w:fldChar w:fldCharType="begin" w:fldLock="1"/>
      </w:r>
      <w:r w:rsidR="002F7553">
        <w:rPr>
          <w:lang w:val="en-AU"/>
        </w:rPr>
        <w:instrText>ADDIN CSL_CITATION {"citationItems":[{"id":"ITEM-1","itemData":{"abstract":"Abstract This study investigates the implications of climate change for Melbourne Water's water , sewerage and drainage systems. It includes Melbourne area climate change scenarios for 2020 and 2050, implications of potential water demand scenarios and case ...","author":[{"dropping-particle":"","family":"Howe","given":"C","non-dropping-particle":"","parse-names":false,"suffix":""},{"dropping-particle":"","family":"Jones","given":"R N","non-dropping-particle":"","parse-names":false,"suffix":""},{"dropping-particle":"","family":"Maheepala","given":"S.","non-dropping-particle":"","parse-names":false,"suffix":""},{"dropping-particle":"","family":"Rhodes","given":"B.","non-dropping-particle":"","parse-names":false,"suffix":""}],"container-title":"Water and Climate","id":"ITEM-1","issued":{"date-parts":[["2005"]]},"publisher-place":"Melbourne, Australia","title":"Melbourne Water Climate Change Study: Implications of potential climate change for Melbourne's water resources","type":"report"},"uris":["http://www.mendeley.com/documents/?uuid=fb6733d2-c379-44dd-bb47-8b86a9f2fff8"]}],"mendeley":{"formattedCitation":"(Howe &lt;i&gt;et al.&lt;/i&gt;, 2005)","plainTextFormattedCitation":"(Howe et al., 2005)","previouslyFormattedCitation":"(Howe &lt;i&gt;et al.&lt;/i&gt;, 2005)"},"properties":{"noteIndex":0},"schema":"https://github.com/citation-style-language/schema/raw/master/csl-citation.json"}</w:instrText>
      </w:r>
      <w:r>
        <w:rPr>
          <w:lang w:val="en-AU"/>
        </w:rPr>
        <w:fldChar w:fldCharType="separate"/>
      </w:r>
      <w:r w:rsidR="007416C7" w:rsidRPr="007416C7">
        <w:rPr>
          <w:noProof/>
          <w:lang w:val="en-AU"/>
        </w:rPr>
        <w:t xml:space="preserve">(Howe </w:t>
      </w:r>
      <w:r w:rsidR="007416C7" w:rsidRPr="007416C7">
        <w:rPr>
          <w:i/>
          <w:noProof/>
          <w:lang w:val="en-AU"/>
        </w:rPr>
        <w:t>et al.</w:t>
      </w:r>
      <w:r w:rsidR="007416C7" w:rsidRPr="007416C7">
        <w:rPr>
          <w:noProof/>
          <w:lang w:val="en-AU"/>
        </w:rPr>
        <w:t>, 2005)</w:t>
      </w:r>
      <w:r>
        <w:rPr>
          <w:lang w:val="en-AU"/>
        </w:rPr>
        <w:fldChar w:fldCharType="end"/>
      </w:r>
      <w:r>
        <w:rPr>
          <w:lang w:val="en-AU"/>
        </w:rPr>
        <w:t xml:space="preserve">. </w:t>
      </w:r>
      <w:r w:rsidR="00C77B0A">
        <w:rPr>
          <w:lang w:val="en-AU"/>
        </w:rPr>
        <w:t>For the c</w:t>
      </w:r>
      <w:r>
        <w:rPr>
          <w:lang w:val="en-AU"/>
        </w:rPr>
        <w:t>limate change runs in each catchment</w:t>
      </w:r>
      <w:r w:rsidR="00C77B0A">
        <w:rPr>
          <w:lang w:val="en-AU"/>
        </w:rPr>
        <w:t>,</w:t>
      </w:r>
      <w:r>
        <w:rPr>
          <w:lang w:val="en-AU"/>
        </w:rPr>
        <w:t xml:space="preserve"> the 300 years of repeated “average” climate year</w:t>
      </w:r>
      <w:r w:rsidR="00C77B0A">
        <w:rPr>
          <w:lang w:val="en-AU"/>
        </w:rPr>
        <w:t xml:space="preserve"> were modified by</w:t>
      </w:r>
      <w:r>
        <w:rPr>
          <w:lang w:val="en-AU"/>
        </w:rPr>
        <w:t xml:space="preserve"> adjusting the monthly rainfall totals by the projected percentage change for the selected scenario</w:t>
      </w:r>
      <w:r w:rsidR="005570B8">
        <w:rPr>
          <w:lang w:val="en-AU"/>
        </w:rPr>
        <w:t>,</w:t>
      </w:r>
      <w:r>
        <w:rPr>
          <w:lang w:val="en-AU"/>
        </w:rPr>
        <w:t xml:space="preserve"> and increasing the minimum and maximum daily temperatures by the projected change for the same scenario. The climate change scenario</w:t>
      </w:r>
      <w:r w:rsidR="00C77B0A">
        <w:rPr>
          <w:lang w:val="en-AU"/>
        </w:rPr>
        <w:t>s</w:t>
      </w:r>
      <w:r>
        <w:rPr>
          <w:lang w:val="en-AU"/>
        </w:rPr>
        <w:t xml:space="preserve"> were </w:t>
      </w:r>
      <w:r w:rsidR="00C77B0A">
        <w:rPr>
          <w:lang w:val="en-AU"/>
        </w:rPr>
        <w:t xml:space="preserve">run with </w:t>
      </w:r>
      <w:r>
        <w:rPr>
          <w:lang w:val="en-AU"/>
        </w:rPr>
        <w:t>two forest</w:t>
      </w:r>
      <w:r w:rsidR="00C77B0A">
        <w:rPr>
          <w:lang w:val="en-AU"/>
        </w:rPr>
        <w:t>-</w:t>
      </w:r>
      <w:r>
        <w:rPr>
          <w:lang w:val="en-AU"/>
        </w:rPr>
        <w:t xml:space="preserve">disturbance assumptions </w:t>
      </w:r>
      <w:r w:rsidRPr="00284D0B">
        <w:rPr>
          <w:lang w:val="en-AU"/>
        </w:rPr>
        <w:t xml:space="preserve">to test the influence on the recovery of </w:t>
      </w:r>
      <w:r w:rsidR="007877C7">
        <w:rPr>
          <w:lang w:val="en-AU"/>
        </w:rPr>
        <w:t>catchment water yield</w:t>
      </w:r>
      <w:r w:rsidRPr="00284D0B">
        <w:rPr>
          <w:lang w:val="en-AU"/>
        </w:rPr>
        <w:t xml:space="preserve"> after disturbance under each of the climate change scenarios</w:t>
      </w:r>
      <w:r>
        <w:rPr>
          <w:lang w:val="en-AU"/>
        </w:rPr>
        <w:t>. The disturbance scenarios considered were: 1) no future disturbance, and 2) 100% disturbance, effectively 100% mortality of all vegetation.</w:t>
      </w:r>
    </w:p>
    <w:p w14:paraId="1030A913" w14:textId="77777777" w:rsidR="00B67BDE" w:rsidRDefault="00B67BDE" w:rsidP="00BE6DF5">
      <w:pPr>
        <w:pStyle w:val="Para0"/>
      </w:pPr>
    </w:p>
    <w:p w14:paraId="12965FDF" w14:textId="3F75A9B8" w:rsidR="0045315A" w:rsidRDefault="007C505D" w:rsidP="007C505D">
      <w:pPr>
        <w:pStyle w:val="Caption"/>
      </w:pPr>
      <w:bookmarkStart w:id="16" w:name="_Ref24432213"/>
      <w:r>
        <w:lastRenderedPageBreak/>
        <w:t xml:space="preserve">Table </w:t>
      </w:r>
      <w:r>
        <w:fldChar w:fldCharType="begin"/>
      </w:r>
      <w:r>
        <w:instrText xml:space="preserve"> SEQ Table \* ARABIC </w:instrText>
      </w:r>
      <w:r>
        <w:fldChar w:fldCharType="separate"/>
      </w:r>
      <w:r w:rsidR="00062E08">
        <w:rPr>
          <w:noProof/>
        </w:rPr>
        <w:t>1</w:t>
      </w:r>
      <w:r>
        <w:fldChar w:fldCharType="end"/>
      </w:r>
      <w:bookmarkEnd w:id="16"/>
      <w:r>
        <w:t xml:space="preserve"> Summary of model runs undertaken in WWS2008</w:t>
      </w:r>
    </w:p>
    <w:tbl>
      <w:tblPr>
        <w:tblStyle w:val="TableGrid"/>
        <w:tblW w:w="8784"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2194"/>
        <w:gridCol w:w="2194"/>
        <w:gridCol w:w="4396"/>
      </w:tblGrid>
      <w:tr w:rsidR="007C505D" w14:paraId="5225DF30" w14:textId="77777777" w:rsidTr="007C505D">
        <w:tc>
          <w:tcPr>
            <w:tcW w:w="2194" w:type="dxa"/>
            <w:shd w:val="clear" w:color="auto" w:fill="959595"/>
          </w:tcPr>
          <w:p w14:paraId="6432CFF5" w14:textId="3238D3C1" w:rsidR="007C505D" w:rsidRDefault="007C505D" w:rsidP="0045315A">
            <w:pPr>
              <w:pStyle w:val="TableFontH"/>
            </w:pPr>
            <w:r>
              <w:t xml:space="preserve">Influence </w:t>
            </w:r>
            <w:r w:rsidR="009217CB">
              <w:t>i</w:t>
            </w:r>
            <w:r>
              <w:t>nvestigated</w:t>
            </w:r>
          </w:p>
        </w:tc>
        <w:tc>
          <w:tcPr>
            <w:tcW w:w="2194" w:type="dxa"/>
            <w:shd w:val="clear" w:color="auto" w:fill="959595"/>
          </w:tcPr>
          <w:p w14:paraId="0C60E185" w14:textId="17D540CF" w:rsidR="007C505D" w:rsidRDefault="007C505D" w:rsidP="0045315A">
            <w:pPr>
              <w:pStyle w:val="TableFontH"/>
            </w:pPr>
            <w:r>
              <w:t>Catchment</w:t>
            </w:r>
          </w:p>
        </w:tc>
        <w:tc>
          <w:tcPr>
            <w:tcW w:w="4396" w:type="dxa"/>
            <w:shd w:val="clear" w:color="auto" w:fill="959595"/>
          </w:tcPr>
          <w:p w14:paraId="7BB853ED" w14:textId="3B5B3C7A" w:rsidR="007C505D" w:rsidRDefault="007C505D" w:rsidP="0045315A">
            <w:pPr>
              <w:pStyle w:val="TableFontH"/>
            </w:pPr>
            <w:r>
              <w:t>Number and brief description of model runs</w:t>
            </w:r>
          </w:p>
        </w:tc>
      </w:tr>
      <w:tr w:rsidR="007C505D" w14:paraId="1255EA1E" w14:textId="77777777" w:rsidTr="007C505D">
        <w:tc>
          <w:tcPr>
            <w:tcW w:w="2194" w:type="dxa"/>
            <w:vMerge w:val="restart"/>
          </w:tcPr>
          <w:p w14:paraId="11F0200A" w14:textId="17047B4D" w:rsidR="007C505D" w:rsidRDefault="007C505D" w:rsidP="0045315A">
            <w:pPr>
              <w:pStyle w:val="TableFont"/>
            </w:pPr>
            <w:r>
              <w:t>Future potential bushfire</w:t>
            </w:r>
          </w:p>
        </w:tc>
        <w:tc>
          <w:tcPr>
            <w:tcW w:w="2194" w:type="dxa"/>
            <w:tcBorders>
              <w:bottom w:val="nil"/>
            </w:tcBorders>
          </w:tcPr>
          <w:p w14:paraId="4409CCD1" w14:textId="18C22AD1" w:rsidR="007C505D" w:rsidRDefault="007C505D" w:rsidP="0045315A">
            <w:pPr>
              <w:pStyle w:val="TableFont"/>
            </w:pPr>
            <w:r>
              <w:t>Thomson</w:t>
            </w:r>
          </w:p>
        </w:tc>
        <w:tc>
          <w:tcPr>
            <w:tcW w:w="4396" w:type="dxa"/>
            <w:tcBorders>
              <w:bottom w:val="nil"/>
            </w:tcBorders>
          </w:tcPr>
          <w:p w14:paraId="470335B5" w14:textId="63F1FB23" w:rsidR="007C505D" w:rsidRDefault="00CF0DEE" w:rsidP="0045315A">
            <w:pPr>
              <w:pStyle w:val="TableFont"/>
            </w:pPr>
            <w:r>
              <w:t xml:space="preserve">Eight </w:t>
            </w:r>
            <w:r w:rsidR="007C505D">
              <w:t xml:space="preserve">runs of Macaque, ranging from 0.1% to 47% </w:t>
            </w:r>
            <w:r>
              <w:t xml:space="preserve">forest </w:t>
            </w:r>
            <w:r w:rsidR="007C505D">
              <w:t>mortality</w:t>
            </w:r>
            <w:r w:rsidR="00C77B0A">
              <w:t>.</w:t>
            </w:r>
          </w:p>
        </w:tc>
      </w:tr>
      <w:tr w:rsidR="007C505D" w14:paraId="4C98C204" w14:textId="77777777" w:rsidTr="007C505D">
        <w:tc>
          <w:tcPr>
            <w:tcW w:w="2194" w:type="dxa"/>
            <w:vMerge/>
          </w:tcPr>
          <w:p w14:paraId="05034191" w14:textId="77777777" w:rsidR="007C505D" w:rsidRDefault="007C505D" w:rsidP="0045315A">
            <w:pPr>
              <w:pStyle w:val="TableFont"/>
            </w:pPr>
          </w:p>
        </w:tc>
        <w:tc>
          <w:tcPr>
            <w:tcW w:w="2194" w:type="dxa"/>
            <w:tcBorders>
              <w:top w:val="nil"/>
              <w:bottom w:val="nil"/>
            </w:tcBorders>
          </w:tcPr>
          <w:p w14:paraId="68F701C9" w14:textId="19C7E591" w:rsidR="007C505D" w:rsidRDefault="007C505D" w:rsidP="0045315A">
            <w:pPr>
              <w:pStyle w:val="TableFont"/>
            </w:pPr>
            <w:r>
              <w:t>Armstrong Creek Main</w:t>
            </w:r>
          </w:p>
        </w:tc>
        <w:tc>
          <w:tcPr>
            <w:tcW w:w="4396" w:type="dxa"/>
            <w:tcBorders>
              <w:top w:val="nil"/>
              <w:bottom w:val="nil"/>
            </w:tcBorders>
          </w:tcPr>
          <w:p w14:paraId="670C5901" w14:textId="553C4CDF" w:rsidR="007C505D" w:rsidRDefault="00CF0DEE" w:rsidP="0045315A">
            <w:pPr>
              <w:pStyle w:val="TableFont"/>
            </w:pPr>
            <w:r>
              <w:t xml:space="preserve">Six </w:t>
            </w:r>
            <w:r w:rsidR="007C505D">
              <w:t xml:space="preserve">runs of Macaque, ranging from 10% to 90% </w:t>
            </w:r>
            <w:r w:rsidRPr="00CF0DEE">
              <w:t xml:space="preserve">forest </w:t>
            </w:r>
            <w:r w:rsidR="007C505D">
              <w:t>mortality</w:t>
            </w:r>
            <w:r w:rsidR="00C77B0A">
              <w:t>.</w:t>
            </w:r>
          </w:p>
        </w:tc>
      </w:tr>
      <w:tr w:rsidR="007C505D" w14:paraId="69E23D26" w14:textId="77777777" w:rsidTr="007C505D">
        <w:tc>
          <w:tcPr>
            <w:tcW w:w="2194" w:type="dxa"/>
            <w:vMerge/>
          </w:tcPr>
          <w:p w14:paraId="042A8EBF" w14:textId="77777777" w:rsidR="007C505D" w:rsidRDefault="007C505D" w:rsidP="0045315A">
            <w:pPr>
              <w:pStyle w:val="TableFont"/>
            </w:pPr>
          </w:p>
        </w:tc>
        <w:tc>
          <w:tcPr>
            <w:tcW w:w="2194" w:type="dxa"/>
            <w:tcBorders>
              <w:top w:val="nil"/>
            </w:tcBorders>
          </w:tcPr>
          <w:p w14:paraId="6FB2E7E3" w14:textId="2750D038" w:rsidR="007C505D" w:rsidRDefault="007C505D" w:rsidP="0045315A">
            <w:pPr>
              <w:pStyle w:val="TableFont"/>
            </w:pPr>
            <w:r>
              <w:t>Starvation Creek</w:t>
            </w:r>
          </w:p>
        </w:tc>
        <w:tc>
          <w:tcPr>
            <w:tcW w:w="4396" w:type="dxa"/>
            <w:tcBorders>
              <w:top w:val="nil"/>
            </w:tcBorders>
          </w:tcPr>
          <w:p w14:paraId="3D76D9A4" w14:textId="055DFB14" w:rsidR="007C505D" w:rsidRDefault="00CF0DEE" w:rsidP="0045315A">
            <w:pPr>
              <w:pStyle w:val="TableFont"/>
            </w:pPr>
            <w:r w:rsidRPr="00CF0DEE">
              <w:t xml:space="preserve">Six </w:t>
            </w:r>
            <w:r w:rsidR="007C505D">
              <w:t xml:space="preserve">runs of Macaque, ranging from 12% to 88% </w:t>
            </w:r>
            <w:r w:rsidRPr="00CF0DEE">
              <w:t xml:space="preserve">forest </w:t>
            </w:r>
            <w:r w:rsidR="007C505D">
              <w:t>mortality</w:t>
            </w:r>
            <w:r w:rsidR="00C77B0A">
              <w:t>.</w:t>
            </w:r>
          </w:p>
        </w:tc>
      </w:tr>
      <w:tr w:rsidR="007C505D" w14:paraId="2056E88B" w14:textId="77777777" w:rsidTr="007C505D">
        <w:tc>
          <w:tcPr>
            <w:tcW w:w="2194" w:type="dxa"/>
          </w:tcPr>
          <w:p w14:paraId="1B4E1EB8" w14:textId="6F415293" w:rsidR="007C505D" w:rsidRDefault="007C505D" w:rsidP="0045315A">
            <w:pPr>
              <w:pStyle w:val="TableFont"/>
            </w:pPr>
            <w:r>
              <w:t>Climate change</w:t>
            </w:r>
          </w:p>
        </w:tc>
        <w:tc>
          <w:tcPr>
            <w:tcW w:w="2194" w:type="dxa"/>
          </w:tcPr>
          <w:p w14:paraId="0AD79871" w14:textId="6BF15197" w:rsidR="007C505D" w:rsidRDefault="007C505D" w:rsidP="0045315A">
            <w:pPr>
              <w:pStyle w:val="TableFont"/>
            </w:pPr>
            <w:r>
              <w:t>Thomson</w:t>
            </w:r>
          </w:p>
          <w:p w14:paraId="57B03EBC" w14:textId="77777777" w:rsidR="007C505D" w:rsidRDefault="007C505D" w:rsidP="0045315A">
            <w:pPr>
              <w:pStyle w:val="TableFont"/>
            </w:pPr>
            <w:r>
              <w:t>Armstrong Creek Main</w:t>
            </w:r>
          </w:p>
          <w:p w14:paraId="1EFD43B3" w14:textId="1F638DDD" w:rsidR="007C505D" w:rsidRDefault="007C505D" w:rsidP="0045315A">
            <w:pPr>
              <w:pStyle w:val="TableFont"/>
            </w:pPr>
            <w:r>
              <w:t>Starvation Creek</w:t>
            </w:r>
          </w:p>
        </w:tc>
        <w:tc>
          <w:tcPr>
            <w:tcW w:w="4396" w:type="dxa"/>
          </w:tcPr>
          <w:p w14:paraId="05F809D0" w14:textId="708B78A5" w:rsidR="007C505D" w:rsidRDefault="00CF0DEE" w:rsidP="0045315A">
            <w:pPr>
              <w:pStyle w:val="TableFont"/>
            </w:pPr>
            <w:r>
              <w:t xml:space="preserve">Three </w:t>
            </w:r>
            <w:r w:rsidR="007C505D">
              <w:t>runs of Macaque per catchment, represen</w:t>
            </w:r>
            <w:r w:rsidR="00F6484F">
              <w:t>ting “Slight”, “Moderate” and “E</w:t>
            </w:r>
            <w:r w:rsidR="007C505D">
              <w:t xml:space="preserve">xtreme” climate change projections from Howe </w:t>
            </w:r>
            <w:r w:rsidR="001C1F9A" w:rsidRPr="001C1F9A">
              <w:rPr>
                <w:i/>
              </w:rPr>
              <w:t>et al.</w:t>
            </w:r>
            <w:r w:rsidR="007C505D">
              <w:t xml:space="preserve"> (2005) with no future disturbance</w:t>
            </w:r>
            <w:r>
              <w:t xml:space="preserve"> to forest cover</w:t>
            </w:r>
            <w:r w:rsidR="00C77B0A">
              <w:t>.</w:t>
            </w:r>
          </w:p>
          <w:p w14:paraId="751AEF1C" w14:textId="6EA46560" w:rsidR="007C505D" w:rsidRDefault="00CF0DEE" w:rsidP="007C505D">
            <w:pPr>
              <w:pStyle w:val="TableFont"/>
            </w:pPr>
            <w:r w:rsidRPr="00CF0DEE">
              <w:t>Three</w:t>
            </w:r>
            <w:r w:rsidR="007C505D">
              <w:t xml:space="preserve"> runs of Macaque per catchment, represen</w:t>
            </w:r>
            <w:r w:rsidR="00F6484F">
              <w:t>ting “Slight”, “Moderate” and “E</w:t>
            </w:r>
            <w:r w:rsidR="007C505D">
              <w:t xml:space="preserve">xtreme” climate change projections from Howe </w:t>
            </w:r>
            <w:r w:rsidR="001C1F9A" w:rsidRPr="001C1F9A">
              <w:rPr>
                <w:i/>
              </w:rPr>
              <w:t>et al.</w:t>
            </w:r>
            <w:r w:rsidR="007C505D">
              <w:t xml:space="preserve"> (2005) with 100% disturbance </w:t>
            </w:r>
            <w:r>
              <w:t>to forest cover</w:t>
            </w:r>
            <w:r w:rsidR="007C505D">
              <w:t xml:space="preserve"> (bushfire or clearing)</w:t>
            </w:r>
            <w:r>
              <w:t xml:space="preserve"> at the beginning of the simulation period</w:t>
            </w:r>
            <w:r w:rsidR="00C77B0A">
              <w:t>.</w:t>
            </w:r>
          </w:p>
        </w:tc>
      </w:tr>
      <w:tr w:rsidR="007C505D" w14:paraId="570EEB46" w14:textId="77777777" w:rsidTr="007C505D">
        <w:tc>
          <w:tcPr>
            <w:tcW w:w="2194" w:type="dxa"/>
          </w:tcPr>
          <w:p w14:paraId="69B07050" w14:textId="05042D19" w:rsidR="007C505D" w:rsidRDefault="007C505D" w:rsidP="0045315A">
            <w:pPr>
              <w:pStyle w:val="TableFont"/>
            </w:pPr>
            <w:r>
              <w:t>Timber harvesting</w:t>
            </w:r>
          </w:p>
        </w:tc>
        <w:tc>
          <w:tcPr>
            <w:tcW w:w="2194" w:type="dxa"/>
          </w:tcPr>
          <w:p w14:paraId="4DA2E14B" w14:textId="77777777" w:rsidR="007C505D" w:rsidRDefault="007C505D" w:rsidP="0045315A">
            <w:pPr>
              <w:pStyle w:val="TableFont"/>
            </w:pPr>
            <w:r>
              <w:t>Thomson</w:t>
            </w:r>
          </w:p>
          <w:p w14:paraId="49460969" w14:textId="77777777" w:rsidR="007C505D" w:rsidRDefault="007C505D" w:rsidP="0045315A">
            <w:pPr>
              <w:pStyle w:val="TableFont"/>
            </w:pPr>
            <w:r>
              <w:t>Tarago</w:t>
            </w:r>
          </w:p>
          <w:p w14:paraId="294E84F3" w14:textId="77777777" w:rsidR="007C505D" w:rsidRDefault="007C505D" w:rsidP="0045315A">
            <w:pPr>
              <w:pStyle w:val="TableFont"/>
            </w:pPr>
            <w:r>
              <w:t>Bunyip</w:t>
            </w:r>
          </w:p>
          <w:p w14:paraId="2B686842" w14:textId="77777777" w:rsidR="007C505D" w:rsidRDefault="007C505D" w:rsidP="0045315A">
            <w:pPr>
              <w:pStyle w:val="TableFont"/>
            </w:pPr>
            <w:r>
              <w:t>Armstrong Creek Main</w:t>
            </w:r>
          </w:p>
          <w:p w14:paraId="10420283" w14:textId="77777777" w:rsidR="007C505D" w:rsidRDefault="007C505D" w:rsidP="0045315A">
            <w:pPr>
              <w:pStyle w:val="TableFont"/>
            </w:pPr>
            <w:r>
              <w:t>Armstrong Creek East</w:t>
            </w:r>
          </w:p>
          <w:p w14:paraId="406EE8B3" w14:textId="77777777" w:rsidR="007C505D" w:rsidRDefault="007C505D" w:rsidP="0045315A">
            <w:pPr>
              <w:pStyle w:val="TableFont"/>
            </w:pPr>
            <w:r>
              <w:t>Cement</w:t>
            </w:r>
          </w:p>
          <w:p w14:paraId="6DC08BB4" w14:textId="77777777" w:rsidR="007C505D" w:rsidRDefault="007C505D" w:rsidP="0045315A">
            <w:pPr>
              <w:pStyle w:val="TableFont"/>
            </w:pPr>
            <w:r>
              <w:t>McMahons Creek</w:t>
            </w:r>
          </w:p>
          <w:p w14:paraId="30D18EB2" w14:textId="6E90BACB" w:rsidR="007C505D" w:rsidRDefault="007C505D" w:rsidP="0045315A">
            <w:pPr>
              <w:pStyle w:val="TableFont"/>
            </w:pPr>
            <w:r>
              <w:t>Starvation Creek</w:t>
            </w:r>
          </w:p>
        </w:tc>
        <w:tc>
          <w:tcPr>
            <w:tcW w:w="4396" w:type="dxa"/>
          </w:tcPr>
          <w:p w14:paraId="508C6E08" w14:textId="492064A3" w:rsidR="007C505D" w:rsidRDefault="00CF0DEE" w:rsidP="0045315A">
            <w:pPr>
              <w:pStyle w:val="TableFont"/>
            </w:pPr>
            <w:r>
              <w:t xml:space="preserve">One </w:t>
            </w:r>
            <w:r w:rsidR="007C505D">
              <w:t>run of Macaque per catchment, which was used to fit</w:t>
            </w:r>
            <w:r w:rsidR="00337D9B">
              <w:t xml:space="preserve"> curves of</w:t>
            </w:r>
            <w:r w:rsidR="007C505D">
              <w:t xml:space="preserve"> annual </w:t>
            </w:r>
            <w:r w:rsidR="007877C7">
              <w:t>catchment water yield</w:t>
            </w:r>
            <w:r w:rsidR="007C505D">
              <w:t xml:space="preserve"> versus vegetation age.</w:t>
            </w:r>
          </w:p>
          <w:p w14:paraId="725C1023" w14:textId="7219EC43" w:rsidR="007C505D" w:rsidRDefault="00CF0DEE" w:rsidP="0045315A">
            <w:pPr>
              <w:pStyle w:val="TableFont"/>
            </w:pPr>
            <w:r>
              <w:t xml:space="preserve">Eleven </w:t>
            </w:r>
            <w:r w:rsidR="007C505D">
              <w:t>runs of Woodstock were then undertaken to estimate water yield for each catchment under each timber harvesting regime</w:t>
            </w:r>
            <w:r w:rsidR="00C77B0A">
              <w:t>.</w:t>
            </w:r>
          </w:p>
        </w:tc>
      </w:tr>
    </w:tbl>
    <w:p w14:paraId="2DE8B9FE" w14:textId="0EBC72E7" w:rsidR="0045315A" w:rsidRDefault="0045315A" w:rsidP="00BE6DF5">
      <w:pPr>
        <w:pStyle w:val="Para0"/>
      </w:pPr>
    </w:p>
    <w:p w14:paraId="43D90544" w14:textId="2CBE0986" w:rsidR="002D05F9" w:rsidRDefault="007877C7" w:rsidP="002D05F9">
      <w:pPr>
        <w:pStyle w:val="Heading2"/>
      </w:pPr>
      <w:bookmarkStart w:id="17" w:name="_Toc36033081"/>
      <w:r>
        <w:t xml:space="preserve">Catchment water </w:t>
      </w:r>
      <w:r w:rsidR="002D05F9">
        <w:t>yield results</w:t>
      </w:r>
      <w:bookmarkEnd w:id="17"/>
    </w:p>
    <w:p w14:paraId="6A022590" w14:textId="77777777" w:rsidR="0000010A" w:rsidRDefault="00BE6DF5" w:rsidP="00BE6DF5">
      <w:pPr>
        <w:pStyle w:val="Para0"/>
      </w:pPr>
      <w:r>
        <w:t>Eleven scenarios representing different timber harvesting regimes were undertaken in all of the Macaque model catchments (Thomson, Tarago, Bunyip River, Armstrong Creek</w:t>
      </w:r>
      <w:r w:rsidR="00C77B0A">
        <w:t xml:space="preserve"> Main</w:t>
      </w:r>
      <w:r>
        <w:t xml:space="preserve">, Armstrong Creek East, Cement Creek, Starvation Creek and McMahons Creek). </w:t>
      </w:r>
      <w:r>
        <w:fldChar w:fldCharType="begin" w:fldLock="1"/>
      </w:r>
      <w:r w:rsidR="00D11C5B">
        <w:instrText>ADDIN CSL_CITATION {"citationItems":[{"id":"ITEM-1","itemData":{"author":[{"dropping-particle":"","family":"Mein","given":"Russell","non-dropping-particle":"","parse-names":false,"suffix":""}],"id":"ITEM-1","issue":"May","issued":{"date-parts":[["2008"]]},"number-of-pages":"24","title":"Potential impacts of forest management on streamflow in Melbourne’s water supply catchments Summary report","type":"report"},"uris":["http://www.mendeley.com/documents/?uuid=8b5f64af-8bc5-46a2-bf12-c3f57288c5f8"]}],"mendeley":{"formattedCitation":"(Mein, 2008)","manualFormatting":"Mein (2008)","plainTextFormattedCitation":"(Mein, 2008)","previouslyFormattedCitation":"(Mein, 2008)"},"properties":{"noteIndex":0},"schema":"https://github.com/citation-style-language/schema/raw/master/csl-citation.json"}</w:instrText>
      </w:r>
      <w:r>
        <w:fldChar w:fldCharType="separate"/>
      </w:r>
      <w:r w:rsidRPr="005838E8">
        <w:rPr>
          <w:noProof/>
        </w:rPr>
        <w:t>Mein</w:t>
      </w:r>
      <w:r>
        <w:rPr>
          <w:noProof/>
        </w:rPr>
        <w:t xml:space="preserve"> (</w:t>
      </w:r>
      <w:r w:rsidRPr="005838E8">
        <w:rPr>
          <w:noProof/>
        </w:rPr>
        <w:t>2008)</w:t>
      </w:r>
      <w:r>
        <w:fldChar w:fldCharType="end"/>
      </w:r>
      <w:r>
        <w:t xml:space="preserve"> only presented the aggregate total water yield </w:t>
      </w:r>
      <w:r w:rsidR="004E660A">
        <w:t xml:space="preserve">impacts </w:t>
      </w:r>
      <w:r>
        <w:t>across all catchments for a given scenario</w:t>
      </w:r>
      <w:r w:rsidR="00C77B0A">
        <w:t>,</w:t>
      </w:r>
      <w:r>
        <w:t xml:space="preserve"> rather than providing separate impacts for each </w:t>
      </w:r>
      <w:r w:rsidR="004E660A">
        <w:t xml:space="preserve">individual </w:t>
      </w:r>
      <w:r>
        <w:t>catchment.</w:t>
      </w:r>
      <w:r w:rsidR="00145D17">
        <w:t xml:space="preserve"> Separate results for </w:t>
      </w:r>
      <w:r w:rsidR="007877C7">
        <w:t>catchment water yield</w:t>
      </w:r>
      <w:r w:rsidR="00145D17">
        <w:t xml:space="preserve"> are provided for Thomson, Tarago, Bunyip and the combined Yarra tributary catchments in </w:t>
      </w:r>
      <w:r w:rsidR="00145D17">
        <w:fldChar w:fldCharType="begin" w:fldLock="1"/>
      </w:r>
      <w:r w:rsidR="002A792F">
        <w:instrText>ADDIN CSL_CITATION {"citationItems":[{"id":"ITEM-1","itemData":{"author":[{"dropping-particle":"","family":"Salkin","given":"Owen","non-dropping-particle":"","parse-names":false,"suffix":""}],"id":"ITEM-1","issued":{"date-parts":[["2008"]]},"title":"Modelling of Options for Management of Catchments supplying Water to Melbourne - Post 2006/07 Fire, Thinning and Reduced Rainfall","type":"report"},"uris":["http://www.mendeley.com/documents/?uuid=64647e23-365b-4ef0-b8af-baddaf7ff91c"]}],"mendeley":{"formattedCitation":"(Salkin, 2008)","manualFormatting":"Salkin (2008)","plainTextFormattedCitation":"(Salkin, 2008)","previouslyFormattedCitation":"(Salkin, 2008)"},"properties":{"noteIndex":0},"schema":"https://github.com/citation-style-language/schema/raw/master/csl-citation.json"}</w:instrText>
      </w:r>
      <w:r w:rsidR="00145D17">
        <w:fldChar w:fldCharType="separate"/>
      </w:r>
      <w:r w:rsidR="00145D17" w:rsidRPr="00145D17">
        <w:rPr>
          <w:noProof/>
        </w:rPr>
        <w:t>Salkin</w:t>
      </w:r>
      <w:r w:rsidR="00C77B0A">
        <w:rPr>
          <w:noProof/>
        </w:rPr>
        <w:t xml:space="preserve"> (</w:t>
      </w:r>
      <w:r w:rsidR="00145D17" w:rsidRPr="00145D17">
        <w:rPr>
          <w:noProof/>
        </w:rPr>
        <w:t>2008)</w:t>
      </w:r>
      <w:r w:rsidR="00145D17">
        <w:fldChar w:fldCharType="end"/>
      </w:r>
      <w:r w:rsidR="00145D17">
        <w:t>.</w:t>
      </w:r>
      <w:r>
        <w:t xml:space="preserve"> </w:t>
      </w:r>
    </w:p>
    <w:p w14:paraId="12964205" w14:textId="6E3E5296" w:rsidR="00BE6DF5" w:rsidRDefault="00E80142" w:rsidP="00BE6DF5">
      <w:pPr>
        <w:pStyle w:val="Para0"/>
      </w:pPr>
      <w:r w:rsidRPr="00E80142">
        <w:t>WWS2008</w:t>
      </w:r>
      <w:r w:rsidR="00BE6DF5">
        <w:t xml:space="preserve"> (Table 5 of Mein, 2008) found that if timber harvesting were to cease completely in all catchments in 2009</w:t>
      </w:r>
      <w:r w:rsidR="00C77B0A">
        <w:rPr>
          <w:rFonts w:cs="Arial"/>
        </w:rPr>
        <w:t>–</w:t>
      </w:r>
      <w:r w:rsidR="00BE6DF5">
        <w:t xml:space="preserve">10, the annual </w:t>
      </w:r>
      <w:r w:rsidR="007877C7">
        <w:t>catchment water yield</w:t>
      </w:r>
      <w:r w:rsidR="00BE6DF5">
        <w:t xml:space="preserve"> in 2050 would be 16 GL/year larger than </w:t>
      </w:r>
      <w:r w:rsidR="0000010A">
        <w:t xml:space="preserve">the yield </w:t>
      </w:r>
      <w:r w:rsidRPr="00E80142">
        <w:t>WWS2008</w:t>
      </w:r>
      <w:r w:rsidR="00BE6DF5">
        <w:t xml:space="preserve"> assessed </w:t>
      </w:r>
      <w:r w:rsidR="0000010A">
        <w:t xml:space="preserve">assuming </w:t>
      </w:r>
      <w:r w:rsidR="00BE6DF5">
        <w:t xml:space="preserve">a continuation of status quo timber harvesting. </w:t>
      </w:r>
      <w:r w:rsidRPr="00E80142">
        <w:t>WWS2008</w:t>
      </w:r>
      <w:r w:rsidR="00BE6DF5">
        <w:t xml:space="preserve"> stated that the cumulative increase in yield for the 40</w:t>
      </w:r>
      <w:r w:rsidR="00C77B0A">
        <w:t>-</w:t>
      </w:r>
      <w:r w:rsidR="00BE6DF5">
        <w:t>year period (2009</w:t>
      </w:r>
      <w:r w:rsidR="00C77B0A">
        <w:rPr>
          <w:rFonts w:cs="Arial"/>
        </w:rPr>
        <w:t>–</w:t>
      </w:r>
      <w:r w:rsidR="00BE6DF5">
        <w:t>10 to 2050) due to cessation of timber harvesting in 2009</w:t>
      </w:r>
      <w:r w:rsidR="00C77B0A">
        <w:rPr>
          <w:rFonts w:cs="Arial"/>
        </w:rPr>
        <w:t>–</w:t>
      </w:r>
      <w:r w:rsidR="00BE6DF5">
        <w:t xml:space="preserve">10 would be 190 GL. WWS2008 identified that the increase in cumulative </w:t>
      </w:r>
      <w:r w:rsidR="007877C7">
        <w:t>catchment water yield</w:t>
      </w:r>
      <w:r w:rsidR="00BE6DF5">
        <w:t xml:space="preserve"> over the 40 year projection (to 2050) of 190 GL was approximately 1% of the total </w:t>
      </w:r>
      <w:r w:rsidR="007877C7">
        <w:t>catchment water yield</w:t>
      </w:r>
      <w:r w:rsidR="00BE6DF5">
        <w:t xml:space="preserve"> from the harvested catchments (assessed as 18,687 GL for status quo harvesting, Table 5 of Mein, 2008).</w:t>
      </w:r>
    </w:p>
    <w:p w14:paraId="296F6461" w14:textId="662ED210" w:rsidR="00BE6DF5" w:rsidRPr="00CE01C0" w:rsidRDefault="00BE6DF5" w:rsidP="00BE6DF5">
      <w:pPr>
        <w:pStyle w:val="Para0"/>
      </w:pPr>
      <w:r>
        <w:lastRenderedPageBreak/>
        <w:t xml:space="preserve">It should be noted that the eleven scenarios for different timber harvesting regimes that were investigated by </w:t>
      </w:r>
      <w:r w:rsidR="00E80142" w:rsidRPr="00E80142">
        <w:t>WWS2008</w:t>
      </w:r>
      <w:r>
        <w:t xml:space="preserve"> assumed that there would be no future bushfires in any of the catchments.</w:t>
      </w:r>
    </w:p>
    <w:p w14:paraId="316A974F" w14:textId="786BCBC1" w:rsidR="00BE6DF5" w:rsidRDefault="00E80142" w:rsidP="00BE6DF5">
      <w:pPr>
        <w:pStyle w:val="Para0"/>
      </w:pPr>
      <w:r w:rsidRPr="00E80142">
        <w:t>WWS2008</w:t>
      </w:r>
      <w:r w:rsidR="00BE6DF5">
        <w:t xml:space="preserve"> ran several different scenarios to estimate the influence of other timber harvesting practices</w:t>
      </w:r>
      <w:r w:rsidR="0000010A">
        <w:t xml:space="preserve"> </w:t>
      </w:r>
      <w:r w:rsidR="00BE6DF5">
        <w:t xml:space="preserve">on projected </w:t>
      </w:r>
      <w:r w:rsidR="007877C7">
        <w:t>catchment water yield</w:t>
      </w:r>
      <w:r w:rsidR="00BE6DF5">
        <w:t>s</w:t>
      </w:r>
      <w:r w:rsidR="0000010A">
        <w:t>: for example, changes in rotation periods and changes in thinning practices</w:t>
      </w:r>
      <w:r w:rsidR="00BE6DF5">
        <w:t xml:space="preserve">. These alternative timber harvesting scenarios produced </w:t>
      </w:r>
      <w:r w:rsidR="007877C7">
        <w:t>catchment water yield</w:t>
      </w:r>
      <w:r w:rsidR="00BE6DF5">
        <w:t xml:space="preserve"> results that were intermediate between continuation of status quo harvesting and cessation in 2009</w:t>
      </w:r>
      <w:r w:rsidR="002D620D">
        <w:rPr>
          <w:rFonts w:cs="Arial"/>
        </w:rPr>
        <w:t>–</w:t>
      </w:r>
      <w:r w:rsidR="00BE6DF5">
        <w:t xml:space="preserve">10. Tables 5 and 6 of Mein (2008) illustrated the trade-offs between </w:t>
      </w:r>
      <w:r w:rsidR="007877C7">
        <w:t>catchment water yield</w:t>
      </w:r>
      <w:r w:rsidR="00BE6DF5">
        <w:t xml:space="preserve"> and cumulative saw log yields across the Central Gippsland and Dandenong </w:t>
      </w:r>
      <w:r w:rsidR="00BE6DF5" w:rsidRPr="000A024A">
        <w:t>FMA</w:t>
      </w:r>
      <w:r w:rsidR="00BE6DF5">
        <w:t>.</w:t>
      </w:r>
    </w:p>
    <w:p w14:paraId="613B82C5" w14:textId="0ACC2685" w:rsidR="00BE6DF5" w:rsidRDefault="00BE6DF5" w:rsidP="00BE6DF5">
      <w:pPr>
        <w:pStyle w:val="Para0"/>
      </w:pPr>
      <w:r>
        <w:t xml:space="preserve">WWS2008 </w:t>
      </w:r>
      <w:r w:rsidR="00354494">
        <w:fldChar w:fldCharType="begin" w:fldLock="1"/>
      </w:r>
      <w:r w:rsidR="0005134E">
        <w:instrText>ADDIN CSL_CITATION {"citationItems":[{"id":"ITEM-1","itemData":{"author":[{"dropping-particle":"","family":"Battad","given":"Dionisio","non-dropping-particle":"","parse-names":false,"suffix":""},{"dropping-particle":"","family":"Sutton","given":"Mike","non-dropping-particle":"","parse-names":false,"suffix":""},{"dropping-particle":"","family":"Miller","given":"Valerie","non-dropping-particle":"","parse-names":false,"suffix":""},{"dropping-particle":"","family":"Villanueva","given":"Grimaldo","non-dropping-particle":"","parse-names":false,"suffix":""},{"dropping-particle":"","family":"Li","given":"Cai","non-dropping-particle":"","parse-names":false,"suffix":""}],"id":"ITEM-1","issued":{"date-parts":[["2007"]]},"title":"Impacts of Forest Management Options on Water Yield, Central Gippsland and Dandenong Forest Management Areas","type":"report"},"uris":["http://www.mendeley.com/documents/?uuid=83a2b213-afa9-4944-aae1-17ec38b38eef"]}],"mendeley":{"formattedCitation":"(Battad &lt;i&gt;et al.&lt;/i&gt;, 2007)","manualFormatting":"(Table 7 of Battad et al., 2007)","plainTextFormattedCitation":"(Battad et al., 2007)","previouslyFormattedCitation":"(Battad &lt;i&gt;et al.&lt;/i&gt;, 2007)"},"properties":{"noteIndex":0},"schema":"https://github.com/citation-style-language/schema/raw/master/csl-citation.json"}</w:instrText>
      </w:r>
      <w:r w:rsidR="00354494">
        <w:fldChar w:fldCharType="separate"/>
      </w:r>
      <w:r w:rsidR="007416C7" w:rsidRPr="007416C7">
        <w:rPr>
          <w:noProof/>
        </w:rPr>
        <w:t>(</w:t>
      </w:r>
      <w:r w:rsidR="0000010A">
        <w:rPr>
          <w:noProof/>
        </w:rPr>
        <w:t xml:space="preserve">Table 7 of </w:t>
      </w:r>
      <w:r w:rsidR="007416C7" w:rsidRPr="007416C7">
        <w:rPr>
          <w:noProof/>
        </w:rPr>
        <w:t xml:space="preserve">Battad </w:t>
      </w:r>
      <w:r w:rsidR="007416C7" w:rsidRPr="007416C7">
        <w:rPr>
          <w:i/>
          <w:noProof/>
        </w:rPr>
        <w:t>et al.</w:t>
      </w:r>
      <w:r w:rsidR="007416C7" w:rsidRPr="007416C7">
        <w:rPr>
          <w:noProof/>
        </w:rPr>
        <w:t>, 2007)</w:t>
      </w:r>
      <w:r w:rsidR="00354494">
        <w:fldChar w:fldCharType="end"/>
      </w:r>
      <w:r>
        <w:t xml:space="preserve"> provides areas logged of ash an</w:t>
      </w:r>
      <w:r w:rsidR="00805139">
        <w:t xml:space="preserve">d </w:t>
      </w:r>
      <w:r w:rsidR="005A53E6">
        <w:t>mixed-species</w:t>
      </w:r>
      <w:r w:rsidR="00805139">
        <w:t xml:space="preserve"> eucalypt forest </w:t>
      </w:r>
      <w:r>
        <w:t>for each of the modelled scenarios. Key are the areas assumed under the status-quo simulation, for the Thomson and for all catchments. Ta</w:t>
      </w:r>
      <w:r w:rsidR="00354494">
        <w:t>ble 9 of Batta</w:t>
      </w:r>
      <w:r>
        <w:t xml:space="preserve">d </w:t>
      </w:r>
      <w:r w:rsidR="001C1F9A" w:rsidRPr="001C1F9A">
        <w:rPr>
          <w:i/>
        </w:rPr>
        <w:t>et al.</w:t>
      </w:r>
      <w:r>
        <w:t xml:space="preserve"> (2007) provides </w:t>
      </w:r>
      <w:r w:rsidR="007877C7">
        <w:t>catchment water yield</w:t>
      </w:r>
      <w:r>
        <w:t>s for the Thomson catchment, derived from Woodstock.</w:t>
      </w:r>
    </w:p>
    <w:p w14:paraId="2A16A818" w14:textId="6960B21D" w:rsidR="00BE6DF5" w:rsidRDefault="00837DB3" w:rsidP="00190D36">
      <w:pPr>
        <w:pStyle w:val="Para0"/>
      </w:pPr>
      <w:r>
        <w:t>The broad conclusions from Mein (2008) were:</w:t>
      </w:r>
    </w:p>
    <w:p w14:paraId="7D10F4E9" w14:textId="4F3E301D" w:rsidR="00837DB3" w:rsidRPr="00837DB3" w:rsidRDefault="00837DB3" w:rsidP="00C95629">
      <w:pPr>
        <w:pStyle w:val="Para0bullet"/>
        <w:numPr>
          <w:ilvl w:val="0"/>
          <w:numId w:val="12"/>
        </w:numPr>
        <w:ind w:left="993" w:hanging="142"/>
        <w:rPr>
          <w:i/>
        </w:rPr>
      </w:pPr>
      <w:r w:rsidRPr="00837DB3">
        <w:rPr>
          <w:i/>
        </w:rPr>
        <w:t>The expected yield of the water supply catchments is increasing, due to the continued aging of the forest after the 1939 bushfires.</w:t>
      </w:r>
    </w:p>
    <w:p w14:paraId="5A6330F9" w14:textId="31F8C4F6" w:rsidR="00837DB3" w:rsidRPr="00837DB3" w:rsidRDefault="00837DB3" w:rsidP="00C95629">
      <w:pPr>
        <w:pStyle w:val="Para0bullet"/>
        <w:numPr>
          <w:ilvl w:val="0"/>
          <w:numId w:val="12"/>
        </w:numPr>
        <w:ind w:left="993" w:hanging="142"/>
        <w:rPr>
          <w:i/>
        </w:rPr>
      </w:pPr>
      <w:r w:rsidRPr="00837DB3">
        <w:rPr>
          <w:i/>
        </w:rPr>
        <w:t>The impacts of changing timber management regimes on cumulative water yield are relatively small, modelled here as being all within -1.5% of the cease-logging regime.</w:t>
      </w:r>
    </w:p>
    <w:p w14:paraId="6F61F283" w14:textId="39ED0D3F" w:rsidR="00837DB3" w:rsidRPr="00837DB3" w:rsidRDefault="00837DB3" w:rsidP="00C95629">
      <w:pPr>
        <w:pStyle w:val="Para0bullet"/>
        <w:numPr>
          <w:ilvl w:val="0"/>
          <w:numId w:val="12"/>
        </w:numPr>
        <w:ind w:left="993" w:hanging="142"/>
        <w:rPr>
          <w:i/>
        </w:rPr>
      </w:pPr>
      <w:r w:rsidRPr="00837DB3">
        <w:rPr>
          <w:i/>
        </w:rPr>
        <w:t>The impact of climate change on water yield can be large. For every 1% decrease in long-term average rainfall, water yield is reduced by 2</w:t>
      </w:r>
      <w:r w:rsidR="002D620D">
        <w:rPr>
          <w:rFonts w:cs="Arial"/>
          <w:i/>
        </w:rPr>
        <w:t>–</w:t>
      </w:r>
      <w:r w:rsidRPr="00837DB3">
        <w:rPr>
          <w:i/>
        </w:rPr>
        <w:t xml:space="preserve">3% in all catchments. [For the last 10 years the reduction in flows has been of the order of 30%] </w:t>
      </w:r>
    </w:p>
    <w:p w14:paraId="1AC3ECD0" w14:textId="506B0D5E" w:rsidR="00837DB3" w:rsidRPr="00837DB3" w:rsidRDefault="00837DB3" w:rsidP="00C95629">
      <w:pPr>
        <w:pStyle w:val="Para0bullet"/>
        <w:numPr>
          <w:ilvl w:val="0"/>
          <w:numId w:val="12"/>
        </w:numPr>
        <w:ind w:left="993" w:hanging="142"/>
        <w:rPr>
          <w:i/>
        </w:rPr>
      </w:pPr>
      <w:r w:rsidRPr="00837DB3">
        <w:rPr>
          <w:i/>
        </w:rPr>
        <w:t>The potential impact of bushfires is also major. A repeat of the 1939 bushfires would see a decrease of 15% of the inflow to the Thomson Dam over the following 50 years.</w:t>
      </w:r>
    </w:p>
    <w:p w14:paraId="7D34185D" w14:textId="38847C52" w:rsidR="0020012B" w:rsidRDefault="006123FE" w:rsidP="00A32D72">
      <w:pPr>
        <w:pStyle w:val="Para0"/>
      </w:pPr>
      <w:r>
        <w:t xml:space="preserve">As noted in Section 4, </w:t>
      </w:r>
      <w:r w:rsidR="00A32D72">
        <w:t>limited sensitivity analyses were undertaken with the Macaque model</w:t>
      </w:r>
      <w:r w:rsidR="00013D59">
        <w:t xml:space="preserve"> in WWS2008</w:t>
      </w:r>
      <w:r w:rsidR="00A32D72">
        <w:t xml:space="preserve">, </w:t>
      </w:r>
      <w:r>
        <w:t xml:space="preserve">and </w:t>
      </w:r>
      <w:r w:rsidR="00A32D72">
        <w:t xml:space="preserve">there was no formal assessment of the uncertainty of the </w:t>
      </w:r>
      <w:r w:rsidR="007877C7">
        <w:t>catchment water yield</w:t>
      </w:r>
      <w:r w:rsidR="00A32D72">
        <w:t xml:space="preserve"> estimates produced from the Macaque model. </w:t>
      </w:r>
      <w:r w:rsidR="0020012B" w:rsidRPr="0020012B">
        <w:t xml:space="preserve">The estimates of percentage changes in yield for the bushfire and climate change scenarios were extrapolated from </w:t>
      </w:r>
      <w:r w:rsidR="0020012B">
        <w:t xml:space="preserve">modelling undertaken for only </w:t>
      </w:r>
      <w:r w:rsidR="0020012B" w:rsidRPr="0020012B">
        <w:t>three catchments that were directly modelled</w:t>
      </w:r>
      <w:r w:rsidR="0020012B">
        <w:t>, and this introduces further uncertainties to the conclusions drawn</w:t>
      </w:r>
      <w:r w:rsidR="00013D59">
        <w:t xml:space="preserve"> from WWS2008</w:t>
      </w:r>
      <w:r w:rsidR="0020012B">
        <w:t>.</w:t>
      </w:r>
      <w:r w:rsidR="0020012B" w:rsidRPr="0020012B">
        <w:t xml:space="preserve"> </w:t>
      </w:r>
    </w:p>
    <w:p w14:paraId="4B97F008" w14:textId="0D309B6C" w:rsidR="00190D36" w:rsidRDefault="0007561A" w:rsidP="00190D36">
      <w:pPr>
        <w:pStyle w:val="Heading1"/>
      </w:pPr>
      <w:bookmarkStart w:id="18" w:name="_Ref24469717"/>
      <w:bookmarkStart w:id="19" w:name="_Toc36033082"/>
      <w:r>
        <w:lastRenderedPageBreak/>
        <w:t>Assessment of</w:t>
      </w:r>
      <w:r w:rsidR="00190D36">
        <w:t xml:space="preserve"> recommendations from WWS2008</w:t>
      </w:r>
      <w:bookmarkEnd w:id="18"/>
      <w:bookmarkEnd w:id="19"/>
    </w:p>
    <w:p w14:paraId="657EFF29" w14:textId="7AE08A84" w:rsidR="0007561A" w:rsidRDefault="002D620D" w:rsidP="00190D36">
      <w:pPr>
        <w:pStyle w:val="Para0"/>
      </w:pPr>
      <w:r>
        <w:t>In</w:t>
      </w:r>
      <w:r w:rsidR="0007561A">
        <w:t xml:space="preserve"> the WWS2008 reports </w:t>
      </w:r>
      <w:r>
        <w:t xml:space="preserve">their authors articulated </w:t>
      </w:r>
      <w:r w:rsidR="0007561A">
        <w:t xml:space="preserve">a number of recommendations for future work. There were three recommendations in the Summary Report (Mein, 2008) and three recommendations in the Part 2 Macaque modelling report (Feikema </w:t>
      </w:r>
      <w:r w:rsidR="001C1F9A" w:rsidRPr="001C1F9A">
        <w:rPr>
          <w:i/>
        </w:rPr>
        <w:t>et al.</w:t>
      </w:r>
      <w:r w:rsidR="0007561A">
        <w:t>, 2008).</w:t>
      </w:r>
    </w:p>
    <w:p w14:paraId="7AE86578" w14:textId="6E002DA3" w:rsidR="002D620D" w:rsidRDefault="0007561A" w:rsidP="0007561A">
      <w:pPr>
        <w:pStyle w:val="Para0"/>
      </w:pPr>
      <w:r>
        <w:t xml:space="preserve">The recommendations from WWS2008 represented a suitable starting point for considering the relevance and applicability of the findings of WWS2008, </w:t>
      </w:r>
      <w:r w:rsidR="005A700B">
        <w:t xml:space="preserve">because </w:t>
      </w:r>
      <w:r>
        <w:t xml:space="preserve">they articulate the authors’ perceptions of the main issues that could be addressed at the time of the study. </w:t>
      </w:r>
    </w:p>
    <w:p w14:paraId="53917287" w14:textId="494DBDC2" w:rsidR="0007561A" w:rsidRDefault="0007561A" w:rsidP="0007561A">
      <w:pPr>
        <w:pStyle w:val="Para0"/>
      </w:pPr>
      <w:r>
        <w:t>This section of th</w:t>
      </w:r>
      <w:r w:rsidR="002D620D">
        <w:t>is</w:t>
      </w:r>
      <w:r>
        <w:t xml:space="preserve"> review report:</w:t>
      </w:r>
    </w:p>
    <w:p w14:paraId="4DA00B03" w14:textId="4675AA12" w:rsidR="0007561A" w:rsidRDefault="0007561A" w:rsidP="00C95629">
      <w:pPr>
        <w:pStyle w:val="Para0bullet"/>
        <w:numPr>
          <w:ilvl w:val="0"/>
          <w:numId w:val="19"/>
        </w:numPr>
      </w:pPr>
      <w:r>
        <w:t>conside</w:t>
      </w:r>
      <w:r w:rsidR="002D620D">
        <w:t>rs</w:t>
      </w:r>
      <w:r>
        <w:t xml:space="preserve"> each of those recommendations in turn,</w:t>
      </w:r>
    </w:p>
    <w:p w14:paraId="3856D829" w14:textId="2B0A5247" w:rsidR="0007561A" w:rsidRDefault="0007561A" w:rsidP="00C95629">
      <w:pPr>
        <w:pStyle w:val="Para0bullet"/>
        <w:numPr>
          <w:ilvl w:val="0"/>
          <w:numId w:val="19"/>
        </w:numPr>
      </w:pPr>
      <w:r>
        <w:t>consider</w:t>
      </w:r>
      <w:r w:rsidR="002D620D">
        <w:t>s</w:t>
      </w:r>
      <w:r>
        <w:t xml:space="preserve"> new information, if any, that has arisen since WWS2008</w:t>
      </w:r>
      <w:r w:rsidR="002D620D">
        <w:t>,</w:t>
      </w:r>
    </w:p>
    <w:p w14:paraId="3AB2EB0F" w14:textId="46032A2F" w:rsidR="0007561A" w:rsidRDefault="0007561A" w:rsidP="00C95629">
      <w:pPr>
        <w:pStyle w:val="Para0bullet"/>
        <w:numPr>
          <w:ilvl w:val="0"/>
          <w:numId w:val="19"/>
        </w:numPr>
      </w:pPr>
      <w:r>
        <w:t>assesse</w:t>
      </w:r>
      <w:r w:rsidR="002D620D">
        <w:t>s</w:t>
      </w:r>
      <w:r>
        <w:t xml:space="preserve"> whether the recommendation remains relevant, or has been resolved, and</w:t>
      </w:r>
    </w:p>
    <w:p w14:paraId="507FE06A" w14:textId="0276365A" w:rsidR="00BE6DF5" w:rsidRDefault="0007561A" w:rsidP="00C95629">
      <w:pPr>
        <w:pStyle w:val="Para0bullet"/>
        <w:numPr>
          <w:ilvl w:val="0"/>
          <w:numId w:val="19"/>
        </w:numPr>
      </w:pPr>
      <w:r>
        <w:t>assesse</w:t>
      </w:r>
      <w:r w:rsidR="002D620D">
        <w:t>s</w:t>
      </w:r>
      <w:r>
        <w:t xml:space="preserve"> how that recommendation should be addressed in future.</w:t>
      </w:r>
    </w:p>
    <w:p w14:paraId="1A5E7E73" w14:textId="77777777" w:rsidR="00365C11" w:rsidRDefault="00365C11" w:rsidP="00365C11">
      <w:pPr>
        <w:pStyle w:val="Para0bullet"/>
      </w:pPr>
    </w:p>
    <w:p w14:paraId="3625D2ED" w14:textId="60BDFD21" w:rsidR="00365C11" w:rsidRDefault="00365C11" w:rsidP="00365C11">
      <w:pPr>
        <w:pStyle w:val="Heading2"/>
      </w:pPr>
      <w:bookmarkStart w:id="20" w:name="_Toc36033083"/>
      <w:r>
        <w:t>Analysis of recommendations from the WWS2008 Summary Report</w:t>
      </w:r>
      <w:bookmarkEnd w:id="20"/>
    </w:p>
    <w:p w14:paraId="1EE0448A" w14:textId="03960318" w:rsidR="00190D36" w:rsidRDefault="00190D36" w:rsidP="00365C11">
      <w:pPr>
        <w:pStyle w:val="Heading3"/>
      </w:pPr>
      <w:bookmarkStart w:id="21" w:name="_Toc36033084"/>
      <w:r>
        <w:t>Assessment of combined effects of bushfire, climate change and timber harvesting</w:t>
      </w:r>
      <w:bookmarkEnd w:id="21"/>
      <w:r w:rsidR="00081E85">
        <w:t xml:space="preserve"> </w:t>
      </w:r>
      <w:r w:rsidR="00081E85" w:rsidRPr="00FA1991">
        <w:t>on water supply from the forested catchments</w:t>
      </w:r>
    </w:p>
    <w:p w14:paraId="41C1A14B" w14:textId="61E26ED0" w:rsidR="00B038EC" w:rsidRDefault="00B038EC" w:rsidP="00B038EC">
      <w:pPr>
        <w:pStyle w:val="Para0"/>
      </w:pPr>
      <w:r>
        <w:t>The first recommendation from Mein (2008) was:</w:t>
      </w:r>
    </w:p>
    <w:p w14:paraId="381D94CE" w14:textId="63296EEF" w:rsidR="00B038EC" w:rsidRDefault="005B45F2" w:rsidP="00402AF1">
      <w:pPr>
        <w:pStyle w:val="Quotation"/>
      </w:pPr>
      <w:r>
        <w:t>This project has not considered the combined effects of bushfires and climate change on water yield to Melbourne's reservoirs in a probabilistic way (</w:t>
      </w:r>
      <w:r w:rsidR="00C95629">
        <w:t>e.g.</w:t>
      </w:r>
      <w:r>
        <w:t xml:space="preserve"> Figure 6 is for bushfires of fixed size and duration). A Monte Carlo approach would be the best way to determine the risk of not meeting various levels on inflow in the next say 50 years due to these highly influential factors. Such an analysis could be done using (i) an historic climate sequence, (ii) a sequence adapted for slight climate change, (iii) moderate climate change, and (iv) severe. In say 50</w:t>
      </w:r>
      <w:r w:rsidR="007168EA">
        <w:rPr>
          <w:rFonts w:cs="Arial"/>
        </w:rPr>
        <w:t>–</w:t>
      </w:r>
      <w:r>
        <w:t>100 realisations, a random sampling approach would determine whether bushfires occur in the next time period and, if so where and how large. A link between climate change and bushfire occurrence and severity would need to be part of the input.</w:t>
      </w:r>
    </w:p>
    <w:p w14:paraId="40CC5601" w14:textId="15FB22BF" w:rsidR="005B45F2" w:rsidRDefault="005B45F2" w:rsidP="005B45F2">
      <w:pPr>
        <w:pStyle w:val="Para0"/>
      </w:pPr>
      <w:r>
        <w:t xml:space="preserve">As shown diagrammatically in </w:t>
      </w:r>
      <w:r>
        <w:fldChar w:fldCharType="begin"/>
      </w:r>
      <w:r>
        <w:instrText xml:space="preserve"> REF _Ref24397165 \h </w:instrText>
      </w:r>
      <w:r>
        <w:fldChar w:fldCharType="separate"/>
      </w:r>
      <w:r w:rsidR="00062E08">
        <w:t xml:space="preserve">Figure </w:t>
      </w:r>
      <w:r w:rsidR="00062E08">
        <w:rPr>
          <w:noProof/>
        </w:rPr>
        <w:t>4</w:t>
      </w:r>
      <w:r>
        <w:fldChar w:fldCharType="end"/>
      </w:r>
      <w:r w:rsidR="00743981">
        <w:t xml:space="preserve"> (in this report)</w:t>
      </w:r>
      <w:r>
        <w:t xml:space="preserve">, these three </w:t>
      </w:r>
      <w:r w:rsidR="008D72D4">
        <w:t xml:space="preserve">important factors </w:t>
      </w:r>
      <w:r>
        <w:t xml:space="preserve">can combine to influence </w:t>
      </w:r>
      <w:r w:rsidR="007877C7">
        <w:t>catchment water yield</w:t>
      </w:r>
      <w:r>
        <w:t xml:space="preserve">. For example, climate change </w:t>
      </w:r>
      <w:r w:rsidR="001A76DD">
        <w:t>could</w:t>
      </w:r>
      <w:r>
        <w:t xml:space="preserve"> increase the prevalence of days that are prone to bushfires</w:t>
      </w:r>
      <w:r w:rsidR="001A76DD">
        <w:t xml:space="preserve"> </w:t>
      </w:r>
      <w:r w:rsidR="001A76DD">
        <w:rPr>
          <w:noProof/>
        </w:rPr>
        <w:t>although evidence for this is not yet conclusive</w:t>
      </w:r>
      <w:r w:rsidR="001A76DD">
        <w:t xml:space="preserve"> </w:t>
      </w:r>
      <w:r w:rsidR="001A76DD">
        <w:fldChar w:fldCharType="begin" w:fldLock="1"/>
      </w:r>
      <w:r w:rsidR="00544257">
        <w:instrText>ADDIN CSL_CITATION {"citationItems":[{"id":"ITEM-1","itemData":{"DOI":"10.1111/gcb.12449","ISSN":"13652486","abstract":"The response of fire to climate change may vary across fuel types characteristic of differing vegetation types (i.e. litter vs. grass). Models of fire under climatic change capture these differing potential responses to varying degrees. Across south-eastern Australia, an elevation in the severity of weather conditions conducive to fire has been measured in recent decades. We examined trends in area burned (1975-2009) to determine if a corresponding increase in fire had occurred across the diverse range of ecosystems found in this part of the continent. We predicted that an increase in fire, due to climatic warming and drying, was more likely to have occurred in moist, temperate forests near the coast than in arid and semiarid woodlands of the interior, due to inherent contrasts in the respective dominant fuel types (woody litter vs. herbaceous fuels). Significant warming (i.e. increased temperature and number of hot days) and drying (i.e. negative precipitation anomaly, number of days with low humidity) occurred across most of the 32 Bioregions examined. The results were mostly consistent with predictions, with an increase in area burned in seven of eight forest Bioregions, whereas area burned either declined (two) or did not change significantly (nine) in drier woodland Bioregions. In 12 woodland Bioregions, data were insufficient for analysis of temporal trends in fire. Increases in fire attributable mostly to warming or drying were confined to three Bioregions. In the remainder, such increases were mostly unrelated to warming or drying trends and therefore may be due to other climate effects not explored (e.g. lightning ignitions) or possible anthropogenic influences. Projections of future fire must therefore not only account for responses of different fuel systems to climatic change but also the wider range of ecological and human effects on interactions between fire and vegetation. © 2013 John Wiley &amp; Sons Ltd.","author":[{"dropping-particle":"","family":"Bradstock","given":"Ross","non-dropping-particle":"","parse-names":false,"suffix":""},{"dropping-particle":"","family":"Penman","given":"Trent","non-dropping-particle":"","parse-names":false,"suffix":""},{"dropping-particle":"","family":"Boer","given":"Matthias","non-dropping-particle":"","parse-names":false,"suffix":""},{"dropping-particle":"","family":"Price","given":"Owen","non-dropping-particle":"","parse-names":false,"suffix":""},{"dropping-particle":"","family":"Clarke","given":"Hamish","non-dropping-particle":"","parse-names":false,"suffix":""}],"container-title":"Global Change Biology","id":"ITEM-1","issue":"5","issued":{"date-parts":[["2014"]]},"page":"1412-1428","title":"Divergent responses of fire to recent warming and drying across south-eastern Australia","type":"article-journal","volume":"20"},"uris":["http://www.mendeley.com/documents/?uuid=01f28acf-4f3f-479d-8036-56c5391efcd9"]}],"mendeley":{"formattedCitation":"(Bradstock &lt;i&gt;et al.&lt;/i&gt;, 2014)","manualFormatting":"(Bradstock et al., 2014)","plainTextFormattedCitation":"(Bradstock et al., 2014)","previouslyFormattedCitation":"(Bradstock &lt;i&gt;et al.&lt;/i&gt;, 2014)"},"properties":{"noteIndex":0},"schema":"https://github.com/citation-style-language/schema/raw/master/csl-citation.json"}</w:instrText>
      </w:r>
      <w:r w:rsidR="001A76DD">
        <w:fldChar w:fldCharType="separate"/>
      </w:r>
      <w:r w:rsidR="001A76DD" w:rsidRPr="001A76DD">
        <w:rPr>
          <w:noProof/>
        </w:rPr>
        <w:t xml:space="preserve">(Bradstock </w:t>
      </w:r>
      <w:r w:rsidR="001C1F9A" w:rsidRPr="001C1F9A">
        <w:rPr>
          <w:i/>
          <w:noProof/>
        </w:rPr>
        <w:t>et al.</w:t>
      </w:r>
      <w:r w:rsidR="001A76DD" w:rsidRPr="001A76DD">
        <w:rPr>
          <w:noProof/>
        </w:rPr>
        <w:t>, 2014)</w:t>
      </w:r>
      <w:r w:rsidR="001A76DD">
        <w:fldChar w:fldCharType="end"/>
      </w:r>
      <w:r w:rsidR="001A76DD">
        <w:t>.</w:t>
      </w:r>
      <w:r w:rsidR="00837590">
        <w:t xml:space="preserve"> </w:t>
      </w:r>
      <w:r w:rsidR="00837590">
        <w:fldChar w:fldCharType="begin" w:fldLock="1"/>
      </w:r>
      <w:r w:rsidR="007416C7">
        <w:instrText>ADDIN CSL_CITATION {"citationItems":[{"id":"ITEM-1","itemData":{"DOI":"10.1073/pnas.1110245108","ISSN":"00278424","abstract":"We describe the \"landscape trap\" concept, whereby entire landscapes are shifted into, and then maintained (trapped) in, a highly compromised structural and functional state as the result of multiple temporal and spatial feedbacks between human and natural disturbance regimes. The landscape trap concept builds on ideas like stable alternative states and other relevant concepts, but it substantively expands the conceptual thinking in a number of unique ways. In this paper, we (i) review the literature to develop the concept of landscape traps, including their general features; (ii) provide a case study as an example of a landscape trap from the mountain ash (Eucalyptus regnans) forests of southeastern Australia; (iii) suggest how landscape traps can be detected before they are irrevocably established; and (iv) present evidence of the generality of landscape traps in different ecosystems worldwide.","author":[{"dropping-particle":"","family":"Lindenmayer","given":"David B.","non-dropping-particle":"","parse-names":false,"suffix":""},{"dropping-particle":"","family":"Hobbs","given":"Richard J.","non-dropping-particle":"","parse-names":false,"suffix":""},{"dropping-particle":"","family":"Likens","given":"Gene E.","non-dropping-particle":"","parse-names":false,"suffix":""},{"dropping-particle":"","family":"Krebs","given":"Charles J.","non-dropping-particle":"","parse-names":false,"suffix":""},{"dropping-particle":"","family":"Banks","given":"Samuel C.","non-dropping-particle":"","parse-names":false,"suffix":""}],"container-title":"Proceedings of the National Academy of Sciences of the United States of America","id":"ITEM-1","issue":"38","issued":{"date-parts":[["2011"]]},"page":"15887-15891","title":"Newly discovered landscape traps produce regime shifts in wet forests","type":"article-journal","volume":"108"},"uris":["http://www.mendeley.com/documents/?uuid=2a5a9e0d-300e-487c-a55f-9193801a58f1"]}],"mendeley":{"formattedCitation":"(Lindenmayer &lt;i&gt;et al.&lt;/i&gt;, 2011)","manualFormatting":"Lindenmayer et al. (2011)","plainTextFormattedCitation":"(Lindenmayer et al., 2011)","previouslyFormattedCitation":"(Lindenmayer &lt;i&gt;et al.&lt;/i&gt;, 2011)"},"properties":{"noteIndex":0},"schema":"https://github.com/citation-style-language/schema/raw/master/csl-citation.json"}</w:instrText>
      </w:r>
      <w:r w:rsidR="00837590">
        <w:fldChar w:fldCharType="separate"/>
      </w:r>
      <w:r w:rsidR="00837590" w:rsidRPr="00837590">
        <w:rPr>
          <w:noProof/>
        </w:rPr>
        <w:t xml:space="preserve">Lindenmayer </w:t>
      </w:r>
      <w:r w:rsidR="001C1F9A" w:rsidRPr="001C1F9A">
        <w:rPr>
          <w:i/>
          <w:noProof/>
        </w:rPr>
        <w:t>et al.</w:t>
      </w:r>
      <w:r w:rsidR="00837590" w:rsidRPr="00837590">
        <w:rPr>
          <w:noProof/>
        </w:rPr>
        <w:t xml:space="preserve"> </w:t>
      </w:r>
      <w:r w:rsidR="00837590">
        <w:rPr>
          <w:noProof/>
        </w:rPr>
        <w:t>(</w:t>
      </w:r>
      <w:r w:rsidR="00837590" w:rsidRPr="00837590">
        <w:rPr>
          <w:noProof/>
        </w:rPr>
        <w:t>2011)</w:t>
      </w:r>
      <w:r w:rsidR="00837590">
        <w:fldChar w:fldCharType="end"/>
      </w:r>
      <w:r w:rsidR="00837590">
        <w:t xml:space="preserve"> ha</w:t>
      </w:r>
      <w:r w:rsidR="009C5C86">
        <w:t>ve</w:t>
      </w:r>
      <w:r w:rsidR="00837590">
        <w:t xml:space="preserve"> propo</w:t>
      </w:r>
      <w:r w:rsidR="009C5C86">
        <w:t>und</w:t>
      </w:r>
      <w:r w:rsidR="00837590">
        <w:t>ed a connection between timber harvesting, bushfire occurrence and climate change.</w:t>
      </w:r>
      <w:r>
        <w:t xml:space="preserve"> </w:t>
      </w:r>
      <w:r w:rsidR="00837590">
        <w:t>If the</w:t>
      </w:r>
      <w:r w:rsidR="008D72D4">
        <w:t>re are changes to the</w:t>
      </w:r>
      <w:r w:rsidR="00837590">
        <w:t xml:space="preserve"> frequency, extent and severity of bushfires, </w:t>
      </w:r>
      <w:r w:rsidR="008D72D4">
        <w:t xml:space="preserve">then these </w:t>
      </w:r>
      <w:r>
        <w:t xml:space="preserve">will impact upon </w:t>
      </w:r>
      <w:r w:rsidR="007877C7">
        <w:t>catchment water yield</w:t>
      </w:r>
      <w:r>
        <w:t xml:space="preserve"> and water quality.</w:t>
      </w:r>
    </w:p>
    <w:p w14:paraId="7A0C4E15" w14:textId="77777777" w:rsidR="005B45F2" w:rsidRDefault="005B45F2" w:rsidP="005B45F2">
      <w:pPr>
        <w:pStyle w:val="Para0"/>
        <w:keepNext/>
        <w:jc w:val="center"/>
      </w:pPr>
      <w:r>
        <w:rPr>
          <w:noProof/>
          <w:lang w:val="en-AU" w:eastAsia="en-AU"/>
        </w:rPr>
        <w:lastRenderedPageBreak/>
        <w:drawing>
          <wp:inline distT="0" distB="0" distL="0" distR="0" wp14:anchorId="727978AB" wp14:editId="02727A96">
            <wp:extent cx="2066400" cy="19404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6400" cy="1940400"/>
                    </a:xfrm>
                    <a:prstGeom prst="rect">
                      <a:avLst/>
                    </a:prstGeom>
                    <a:noFill/>
                  </pic:spPr>
                </pic:pic>
              </a:graphicData>
            </a:graphic>
          </wp:inline>
        </w:drawing>
      </w:r>
    </w:p>
    <w:p w14:paraId="451C8725" w14:textId="548AD024" w:rsidR="005B45F2" w:rsidRDefault="005B45F2" w:rsidP="005B45F2">
      <w:pPr>
        <w:pStyle w:val="Caption"/>
        <w:keepNext w:val="0"/>
        <w:spacing w:after="240"/>
      </w:pPr>
      <w:bookmarkStart w:id="22" w:name="_Ref24397165"/>
      <w:r>
        <w:t xml:space="preserve">Figure </w:t>
      </w:r>
      <w:r>
        <w:fldChar w:fldCharType="begin"/>
      </w:r>
      <w:r>
        <w:instrText xml:space="preserve"> SEQ Figure \* ARABIC </w:instrText>
      </w:r>
      <w:r>
        <w:fldChar w:fldCharType="separate"/>
      </w:r>
      <w:r w:rsidR="00062E08">
        <w:rPr>
          <w:noProof/>
        </w:rPr>
        <w:t>4</w:t>
      </w:r>
      <w:r>
        <w:fldChar w:fldCharType="end"/>
      </w:r>
      <w:bookmarkEnd w:id="22"/>
      <w:r>
        <w:t xml:space="preserve"> Conceptual overview of the influences on </w:t>
      </w:r>
      <w:r w:rsidR="007877C7">
        <w:t>catchment water yield</w:t>
      </w:r>
      <w:r>
        <w:t xml:space="preserve"> and water quality from Melbourne’s forested catchments</w:t>
      </w:r>
    </w:p>
    <w:p w14:paraId="3D5F0306" w14:textId="5E26A548" w:rsidR="005B45F2" w:rsidRDefault="005B45F2" w:rsidP="005B45F2">
      <w:pPr>
        <w:pStyle w:val="Para0"/>
      </w:pPr>
      <w:r>
        <w:t xml:space="preserve">As discussed in Section </w:t>
      </w:r>
      <w:r>
        <w:fldChar w:fldCharType="begin"/>
      </w:r>
      <w:r>
        <w:instrText xml:space="preserve"> REF _Ref24439551 \r \h </w:instrText>
      </w:r>
      <w:r>
        <w:fldChar w:fldCharType="separate"/>
      </w:r>
      <w:r w:rsidR="00062E08">
        <w:t>3.2</w:t>
      </w:r>
      <w:r>
        <w:fldChar w:fldCharType="end"/>
      </w:r>
      <w:r>
        <w:t xml:space="preserve"> and as shown in </w:t>
      </w:r>
      <w:r>
        <w:fldChar w:fldCharType="begin"/>
      </w:r>
      <w:r>
        <w:instrText xml:space="preserve"> REF _Ref24439517 \h </w:instrText>
      </w:r>
      <w:r>
        <w:fldChar w:fldCharType="separate"/>
      </w:r>
      <w:r w:rsidR="00062E08">
        <w:t xml:space="preserve">Figure </w:t>
      </w:r>
      <w:r w:rsidR="00062E08">
        <w:rPr>
          <w:noProof/>
        </w:rPr>
        <w:t>5</w:t>
      </w:r>
      <w:r>
        <w:fldChar w:fldCharType="end"/>
      </w:r>
      <w:r w:rsidR="00743981">
        <w:t xml:space="preserve"> below</w:t>
      </w:r>
      <w:r>
        <w:t>, the Macaque and Woodstock models were run for a number of scenarios to separately analyse the projected influences of climate change, potential future bushfires and timber harvesting. All of the</w:t>
      </w:r>
      <w:r w:rsidR="00145D17">
        <w:t xml:space="preserve"> Macaque</w:t>
      </w:r>
      <w:r>
        <w:t xml:space="preserve"> scenario runs used a 300</w:t>
      </w:r>
      <w:r w:rsidR="00354EE0">
        <w:t>-</w:t>
      </w:r>
      <w:r>
        <w:t xml:space="preserve">year </w:t>
      </w:r>
      <w:r w:rsidR="00145D17">
        <w:t>simulation period</w:t>
      </w:r>
      <w:r>
        <w:t xml:space="preserve">, whereby daily climate data </w:t>
      </w:r>
      <w:r w:rsidR="00DC36D7">
        <w:t xml:space="preserve">were </w:t>
      </w:r>
      <w:r>
        <w:t xml:space="preserve">repeated for a single representative year 300 times. Climate variability was therefore effectively ignored in the scenario runs undertaken for </w:t>
      </w:r>
      <w:r w:rsidR="00E80142" w:rsidRPr="00E80142">
        <w:t>WWS2008</w:t>
      </w:r>
      <w:r w:rsidR="00145D17">
        <w:t xml:space="preserve">. The discussion in </w:t>
      </w:r>
      <w:r w:rsidR="00145D17">
        <w:fldChar w:fldCharType="begin" w:fldLock="1"/>
      </w:r>
      <w:r w:rsidR="00540694">
        <w:instrText>ADDIN CSL_CITATION {"citationItems":[{"id":"ITEM-1","itemData":{"author":[{"dropping-particle":"","family":"Feikema","given":"PM","non-dropping-particle":"","parse-names":false,"suffix":""},{"dropping-particle":"","family":"Lane","given":"PNJ","non-dropping-particle":"","parse-names":false,"suffix":""},{"dropping-particle":"","family":"Sherwin","given":"CB","non-dropping-particle":"","parse-names":false,"suffix":""}],"id":"ITEM-1","issued":{"date-parts":[["2008"]]},"title":"Hydrological studies into the impact of timber harvesting on water yield in state forests supplying water to Melbourne – Part 2 of Hydrological studies (Climate change and Bushfire)","type":"report"},"uris":["http://www.mendeley.com/documents/?uuid=c6d63285-7e7e-4e77-ae35-e785fc2967c2"]}],"mendeley":{"formattedCitation":"(Feikema &lt;i&gt;et al.&lt;/i&gt;, 2008)","manualFormatting":"Feikema et al. (2008)","plainTextFormattedCitation":"(Feikema et al., 2008)","previouslyFormattedCitation":"(Feikema &lt;i&gt;et al.&lt;/i&gt;, 2008)"},"properties":{"noteIndex":0},"schema":"https://github.com/citation-style-language/schema/raw/master/csl-citation.json"}</w:instrText>
      </w:r>
      <w:r w:rsidR="00145D17">
        <w:fldChar w:fldCharType="separate"/>
      </w:r>
      <w:r w:rsidR="00145D17" w:rsidRPr="00145D17">
        <w:rPr>
          <w:noProof/>
        </w:rPr>
        <w:t xml:space="preserve">Feikema </w:t>
      </w:r>
      <w:r w:rsidR="001C1F9A" w:rsidRPr="001C1F9A">
        <w:rPr>
          <w:i/>
          <w:noProof/>
        </w:rPr>
        <w:t>et al.</w:t>
      </w:r>
      <w:r w:rsidR="00145D17" w:rsidRPr="00145D17">
        <w:rPr>
          <w:noProof/>
        </w:rPr>
        <w:t xml:space="preserve"> </w:t>
      </w:r>
      <w:r w:rsidR="00734801">
        <w:rPr>
          <w:noProof/>
        </w:rPr>
        <w:t>(</w:t>
      </w:r>
      <w:r w:rsidR="00145D17" w:rsidRPr="00145D17">
        <w:rPr>
          <w:noProof/>
        </w:rPr>
        <w:t>2008)</w:t>
      </w:r>
      <w:r w:rsidR="00145D17">
        <w:fldChar w:fldCharType="end"/>
      </w:r>
      <w:r w:rsidR="00145D17">
        <w:t xml:space="preserve"> </w:t>
      </w:r>
      <w:r w:rsidR="00354EE0">
        <w:t xml:space="preserve">said </w:t>
      </w:r>
      <w:r w:rsidR="00145D17">
        <w:t xml:space="preserve">that climate variability was ignored in the scenario runs because </w:t>
      </w:r>
      <w:r w:rsidR="00145D17">
        <w:fldChar w:fldCharType="begin" w:fldLock="1"/>
      </w:r>
      <w:r w:rsidR="00544257">
        <w:instrText>ADDIN CSL_CITATION {"citationItems":[{"id":"ITEM-1","itemData":{"author":[{"dropping-particle":"","family":"Feikema","given":"Paul","non-dropping-particle":"","parse-names":false,"suffix":""},{"dropping-particle":"","family":"Lane","given":"Patrick","non-dropping-particle":"","parse-names":false,"suffix":""},{"dropping-particle":"","family":"Peel","given":"Murray","non-dropping-particle":"","parse-names":false,"suffix":""},{"dropping-particle":"","family":"Sherwin","given":"Chris","non-dropping-particle":"","parse-names":false,"suffix":""},{"dropping-particle":"","family":"Freebairn","given":"Andrew","non-dropping-particle":"","parse-names":false,"suffix":""},{"dropping-particle":"","family":"Salkin","given":"Owen","non-dropping-particle":"","parse-names":false,"suffix":""}],"id":"ITEM-1","issued":{"date-parts":[["2006"]]},"number-of-pages":"119","title":"Hydrological studies into the impact of timber harvesting on water yield in state forests supplying water to Melbourne – Part 1 of Hydrological studies","type":"report"},"uris":["http://www.mendeley.com/documents/?uuid=185559a6-5efc-4614-b9f8-1a239b325832"]}],"mendeley":{"formattedCitation":"(Feikema &lt;i&gt;et al.&lt;/i&gt;, 2006)","manualFormatting":"Feikema et al. (2006)","plainTextFormattedCitation":"(Feikema et al., 2006)","previouslyFormattedCitation":"(Feikema &lt;i&gt;et al.&lt;/i&gt;, 2006)"},"properties":{"noteIndex":0},"schema":"https://github.com/citation-style-language/schema/raw/master/csl-citation.json"}</w:instrText>
      </w:r>
      <w:r w:rsidR="00145D17">
        <w:fldChar w:fldCharType="separate"/>
      </w:r>
      <w:r w:rsidR="00145D17" w:rsidRPr="00145D17">
        <w:rPr>
          <w:noProof/>
        </w:rPr>
        <w:t xml:space="preserve">Feikema </w:t>
      </w:r>
      <w:r w:rsidR="001C1F9A" w:rsidRPr="001C1F9A">
        <w:rPr>
          <w:i/>
          <w:noProof/>
        </w:rPr>
        <w:t>et al.</w:t>
      </w:r>
      <w:r w:rsidR="00734801">
        <w:rPr>
          <w:noProof/>
        </w:rPr>
        <w:t xml:space="preserve"> (</w:t>
      </w:r>
      <w:r w:rsidR="00145D17" w:rsidRPr="00145D17">
        <w:rPr>
          <w:noProof/>
        </w:rPr>
        <w:t>2006)</w:t>
      </w:r>
      <w:r w:rsidR="00145D17">
        <w:fldChar w:fldCharType="end"/>
      </w:r>
      <w:r w:rsidR="00734801">
        <w:t xml:space="preserve"> had demonstrated the lack of sensitivity to inter-annual variability</w:t>
      </w:r>
      <w:r w:rsidR="00FE1621">
        <w:t>.</w:t>
      </w:r>
      <w:r>
        <w:t xml:space="preserve"> Historical bushfires (prior to 2007) were considered in all of the scenario runs in all catchments, as these effectively set the initial conditions for forest age for all simulations.</w:t>
      </w:r>
    </w:p>
    <w:p w14:paraId="0103C052" w14:textId="77777777" w:rsidR="005B45F2" w:rsidRDefault="005B45F2" w:rsidP="005B45F2">
      <w:pPr>
        <w:pStyle w:val="Para0"/>
        <w:keepNext/>
        <w:jc w:val="center"/>
      </w:pPr>
      <w:r>
        <w:rPr>
          <w:noProof/>
          <w:lang w:val="en-AU" w:eastAsia="en-AU"/>
        </w:rPr>
        <w:drawing>
          <wp:inline distT="0" distB="0" distL="0" distR="0" wp14:anchorId="690874C2" wp14:editId="121CC853">
            <wp:extent cx="2412000" cy="2268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2000" cy="2268000"/>
                    </a:xfrm>
                    <a:prstGeom prst="rect">
                      <a:avLst/>
                    </a:prstGeom>
                    <a:noFill/>
                  </pic:spPr>
                </pic:pic>
              </a:graphicData>
            </a:graphic>
          </wp:inline>
        </w:drawing>
      </w:r>
    </w:p>
    <w:p w14:paraId="07F5B3AD" w14:textId="421769F8" w:rsidR="005B45F2" w:rsidRDefault="005B45F2" w:rsidP="005B45F2">
      <w:pPr>
        <w:pStyle w:val="Caption"/>
        <w:keepNext w:val="0"/>
      </w:pPr>
      <w:bookmarkStart w:id="23" w:name="_Ref24439517"/>
      <w:r>
        <w:t xml:space="preserve">Figure </w:t>
      </w:r>
      <w:r>
        <w:fldChar w:fldCharType="begin"/>
      </w:r>
      <w:r>
        <w:instrText xml:space="preserve"> SEQ Figure \* ARABIC </w:instrText>
      </w:r>
      <w:r>
        <w:fldChar w:fldCharType="separate"/>
      </w:r>
      <w:r w:rsidR="00062E08">
        <w:rPr>
          <w:noProof/>
        </w:rPr>
        <w:t>5</w:t>
      </w:r>
      <w:r>
        <w:fldChar w:fldCharType="end"/>
      </w:r>
      <w:bookmarkEnd w:id="23"/>
      <w:r>
        <w:t xml:space="preserve"> Conceptual overview showing how </w:t>
      </w:r>
      <w:r w:rsidR="00E80142" w:rsidRPr="00E80142">
        <w:t>WWS2008</w:t>
      </w:r>
      <w:r>
        <w:t xml:space="preserve"> constructed scenarios to separately examine the influences on </w:t>
      </w:r>
      <w:r w:rsidR="007877C7">
        <w:t>catchment water yield</w:t>
      </w:r>
      <w:r>
        <w:t xml:space="preserve"> from Melbourne’s forested catchments</w:t>
      </w:r>
    </w:p>
    <w:p w14:paraId="1E15CDF4" w14:textId="1960B8B9" w:rsidR="00A42F94" w:rsidRDefault="00022403" w:rsidP="00022403">
      <w:pPr>
        <w:pStyle w:val="Para0"/>
      </w:pPr>
      <w:r>
        <w:t>The WWS2008 Summary Report (Mein, 2008) identified that the approach used in th</w:t>
      </w:r>
      <w:r w:rsidR="002F7D5E">
        <w:t>at</w:t>
      </w:r>
      <w:r>
        <w:t xml:space="preserve"> study to isolate the effects of timber harvesting, climate change</w:t>
      </w:r>
      <w:r w:rsidR="005B45F2">
        <w:t xml:space="preserve"> and bushfires was a limitation of the study, which</w:t>
      </w:r>
      <w:r w:rsidR="003B37E7">
        <w:t>, to</w:t>
      </w:r>
      <w:r w:rsidR="005B45F2">
        <w:t xml:space="preserve"> </w:t>
      </w:r>
      <w:r w:rsidR="00A42F94">
        <w:t xml:space="preserve">our knowledge, </w:t>
      </w:r>
      <w:r w:rsidR="002F7D5E">
        <w:t xml:space="preserve">has </w:t>
      </w:r>
      <w:r w:rsidR="003B37E7">
        <w:t>not been addressed in any detail</w:t>
      </w:r>
      <w:r w:rsidR="002F7D5E">
        <w:t xml:space="preserve"> since</w:t>
      </w:r>
      <w:r w:rsidR="00A42F94">
        <w:t>.</w:t>
      </w:r>
    </w:p>
    <w:p w14:paraId="2A6BB903" w14:textId="3310C6DF" w:rsidR="00F807AA" w:rsidRPr="00F807AA" w:rsidRDefault="00F807AA" w:rsidP="00F807AA">
      <w:pPr>
        <w:pStyle w:val="Para0"/>
      </w:pPr>
      <w:r>
        <w:lastRenderedPageBreak/>
        <w:t xml:space="preserve">It is also noted here that </w:t>
      </w:r>
      <w:r w:rsidRPr="00F807AA">
        <w:t xml:space="preserve">limited sensitivity analyses were undertaken </w:t>
      </w:r>
      <w:r>
        <w:t xml:space="preserve">for </w:t>
      </w:r>
      <w:r w:rsidRPr="00F807AA">
        <w:t>the Macaque model</w:t>
      </w:r>
      <w:r>
        <w:t>ling in WWS2008</w:t>
      </w:r>
      <w:r w:rsidR="00461AC5">
        <w:t>,</w:t>
      </w:r>
      <w:r>
        <w:t xml:space="preserve"> </w:t>
      </w:r>
      <w:r w:rsidRPr="00F807AA">
        <w:t xml:space="preserve">and </w:t>
      </w:r>
      <w:r>
        <w:t xml:space="preserve">also </w:t>
      </w:r>
      <w:r w:rsidR="00461AC5">
        <w:t xml:space="preserve">that </w:t>
      </w:r>
      <w:r w:rsidRPr="00F807AA">
        <w:t>no formal assessment</w:t>
      </w:r>
      <w:r w:rsidR="00461AC5">
        <w:t>s</w:t>
      </w:r>
      <w:r w:rsidRPr="00F807AA">
        <w:t xml:space="preserve"> of the uncertainty of the </w:t>
      </w:r>
      <w:r w:rsidR="007877C7">
        <w:t>catchment water yield</w:t>
      </w:r>
      <w:r w:rsidRPr="00F807AA">
        <w:t xml:space="preserve"> estimates </w:t>
      </w:r>
      <w:r>
        <w:t>were provided</w:t>
      </w:r>
      <w:r w:rsidRPr="00F807AA">
        <w:t>.</w:t>
      </w:r>
      <w:r>
        <w:t xml:space="preserve"> </w:t>
      </w:r>
      <w:r w:rsidRPr="00F807AA">
        <w:t xml:space="preserve">Mein (2008) assessed the relative accuracy of changes in yield due to tree disturbance and bushfire as “likely to be of the order of ±5 to 10%”, although it </w:t>
      </w:r>
      <w:r w:rsidR="00461AC5">
        <w:t>i</w:t>
      </w:r>
      <w:r w:rsidR="00461AC5" w:rsidRPr="00F807AA">
        <w:t xml:space="preserve">s </w:t>
      </w:r>
      <w:r w:rsidRPr="00F807AA">
        <w:t xml:space="preserve">not apparent how this estimate of accuracy had been derived. It </w:t>
      </w:r>
      <w:r w:rsidR="00461AC5">
        <w:t>i</w:t>
      </w:r>
      <w:r w:rsidR="00461AC5" w:rsidRPr="00F807AA">
        <w:t xml:space="preserve">s </w:t>
      </w:r>
      <w:r w:rsidRPr="00F807AA">
        <w:t>therefore difficult to assess the significance of uncertainties in the modelling for uncertainties in the conclusions from WWS2008.</w:t>
      </w:r>
    </w:p>
    <w:p w14:paraId="39DD4FF1" w14:textId="25AA2F7B" w:rsidR="00F807AA" w:rsidRDefault="00F807AA" w:rsidP="00F807AA">
      <w:pPr>
        <w:pStyle w:val="Para0"/>
      </w:pPr>
      <w:r w:rsidRPr="00F807AA">
        <w:t xml:space="preserve">The estimates of percentage changes in yield for the bushfire and climate change scenarios were extrapolated from the three catchments that were directly modelled (Thomson, Armstrong Creek Main and Starvation Creek). This was not unreasonable, as Thomson dominated the contribution to </w:t>
      </w:r>
      <w:r w:rsidR="007877C7">
        <w:t>catchment water yield</w:t>
      </w:r>
      <w:r w:rsidRPr="00F807AA">
        <w:t xml:space="preserve"> of the forested catchments where timber harvesting occurs and Armstrong Creek and Starvation Creek span the range (from dry to wet) of the Yarra tributary subcatchments. However, there is probably a small degree of uncertainty introduced </w:t>
      </w:r>
      <w:r w:rsidR="00461AC5">
        <w:t>by</w:t>
      </w:r>
      <w:r w:rsidR="00461AC5" w:rsidRPr="00F807AA">
        <w:t xml:space="preserve"> </w:t>
      </w:r>
      <w:r w:rsidRPr="00F807AA">
        <w:t>extrapolating the potential future bushfire and climate change influences to the other catchments that were not modelled</w:t>
      </w:r>
      <w:r w:rsidR="00F046C8">
        <w:t>.</w:t>
      </w:r>
    </w:p>
    <w:p w14:paraId="2DC6911E" w14:textId="49D98238" w:rsidR="008D3D55" w:rsidRDefault="008E0246" w:rsidP="00022403">
      <w:pPr>
        <w:pStyle w:val="Para0"/>
      </w:pPr>
      <w:r>
        <w:t xml:space="preserve">Since WWS2008, there has been additional </w:t>
      </w:r>
      <w:r w:rsidR="00C95629">
        <w:t>research</w:t>
      </w:r>
      <w:r>
        <w:t xml:space="preserve"> to characterise the interactions between climate change, bushfire occurrence and severity, timber harvesting and regeneration of eucalypt forests after disturbances.</w:t>
      </w:r>
      <w:r w:rsidR="008D3D55">
        <w:t>The following paragraphs summarise the literature investigating these interactions.</w:t>
      </w:r>
    </w:p>
    <w:p w14:paraId="2FE40B8B" w14:textId="3314F609" w:rsidR="006278CB" w:rsidRDefault="00C611F3" w:rsidP="006278CB">
      <w:pPr>
        <w:pStyle w:val="Para0"/>
      </w:pPr>
      <w:r>
        <w:fldChar w:fldCharType="begin" w:fldLock="1"/>
      </w:r>
      <w:r>
        <w:instrText>ADDIN CSL_CITATION {"citationItems":[{"id":"ITEM-1","itemData":{"DOI":"10.1111/conl.12122","ISSN":"1755263X","abstract":"We quantify the relationship between forest stand age and fire severity using a detailed case study of Mountain Ash (Eucalyptus regnans Muell) forest burned in south-eastern Australia in 2009. We focused on two important areas of Mountain Ash forest that feature a range of growth stages and disturbance histories. Using probit regression analysis, we identified a strong relationship between the age of a Mountain Ash forest and the severity of damage that the forest sustained from the fires under extreme weather conditions. Stands of Mountain Ash trees between the ages of 7 to 36 years mostly sustained canopy consumption and scorching, which are impacts resulting from high-severity fire. High-severity fire leading to canopy consumption almost never occurred in young stands (&lt;7 years) and also was infrequent in older (&gt;40 years) stands of Mountain Ash. We discuss the significant forest conservation and management implications of these results for Mountain Ash forests as well as other similar biomes, where high-severity fire is a common form of disturbance. ©2014 Wiley Periodicals, Inc.","author":[{"dropping-particle":"","family":"Taylor","given":"Chris","non-dropping-particle":"","parse-names":false,"suffix":""},{"dropping-particle":"","family":"Mccarthy","given":"Michael A.","non-dropping-particle":"","parse-names":false,"suffix":""},{"dropping-particle":"","family":"Lindenmayer","given":"David B.","non-dropping-particle":"","parse-names":false,"suffix":""}],"container-title":"Conservation Letters","id":"ITEM-1","issue":"4","issued":{"date-parts":[["2014"]]},"page":"355-370","title":"Nonlinear Effects of Stand Age on Fire Severity","type":"article-journal","volume":"7"},"uris":["http://www.mendeley.com/documents/?uuid=d4249936-076e-4e1d-abc1-3aed5e46084d"]}],"mendeley":{"formattedCitation":"(Taylor &lt;i&gt;et al.&lt;/i&gt;, 2014)","manualFormatting":"Taylor et al. (2014)","plainTextFormattedCitation":"(Taylor et al., 2014)","previouslyFormattedCitation":"(Taylor &lt;i&gt;et al.&lt;/i&gt;, 2014)"},"properties":{"noteIndex":0},"schema":"https://github.com/citation-style-language/schema/raw/master/csl-citation.json"}</w:instrText>
      </w:r>
      <w:r>
        <w:fldChar w:fldCharType="separate"/>
      </w:r>
      <w:r w:rsidRPr="00C611F3">
        <w:rPr>
          <w:noProof/>
        </w:rPr>
        <w:t xml:space="preserve">Taylor </w:t>
      </w:r>
      <w:r w:rsidRPr="00C611F3">
        <w:rPr>
          <w:i/>
          <w:noProof/>
        </w:rPr>
        <w:t>et al.</w:t>
      </w:r>
      <w:r w:rsidRPr="00C611F3">
        <w:rPr>
          <w:noProof/>
        </w:rPr>
        <w:t xml:space="preserve"> </w:t>
      </w:r>
      <w:r>
        <w:rPr>
          <w:noProof/>
        </w:rPr>
        <w:t>(</w:t>
      </w:r>
      <w:r w:rsidRPr="00C611F3">
        <w:rPr>
          <w:noProof/>
        </w:rPr>
        <w:t>2014)</w:t>
      </w:r>
      <w:r>
        <w:fldChar w:fldCharType="end"/>
      </w:r>
      <w:r>
        <w:t xml:space="preserve"> </w:t>
      </w:r>
      <w:r w:rsidR="006278CB">
        <w:t xml:space="preserve">found an increase in fire severity in </w:t>
      </w:r>
      <w:r w:rsidR="008634C6">
        <w:t>m</w:t>
      </w:r>
      <w:r w:rsidR="006278CB">
        <w:t xml:space="preserve">ountain </w:t>
      </w:r>
      <w:r w:rsidR="008634C6">
        <w:t>a</w:t>
      </w:r>
      <w:r w:rsidR="006278CB">
        <w:t xml:space="preserve">sh forests that were between 7 and 36 years of age. </w:t>
      </w:r>
      <w:r>
        <w:fldChar w:fldCharType="begin" w:fldLock="1"/>
      </w:r>
      <w:r w:rsidR="0005134E">
        <w:instrText>ADDIN CSL_CITATION {"citationItems":[{"id":"ITEM-1","itemData":{"DOI":"doi.org/10.1016/j.jenvman.2012.08.041","author":[{"dropping-particle":"","family":"Price","given":"Owen F","non-dropping-particle":"","parse-names":false,"suffix":""},{"dropping-particle":"","family":"Bradstock","given":"Ross A","non-dropping-particle":"","parse-names":false,"suffix":""}],"container-title":"Journal of Environmental Management","id":"ITEM-1","issued":{"date-parts":[["2012"]]},"page":"146-157","publisher":"Elsevier","title":"The efficacy of fuel treatment in mitigating property loss during wildfires: Insights from analysis of the severity of the catastrophic fires in 2009 in Victoria, Australia","type":"article-journal","volume":"113"},"uris":["http://www.mendeley.com/documents/?uuid=7864f360-32da-4451-b83c-2dc70e62dbea"]}],"mendeley":{"formattedCitation":"(Price and Bradstock, 2012)","manualFormatting":"Price and Bradstock (2012)","plainTextFormattedCitation":"(Price and Bradstock, 2012)","previouslyFormattedCitation":"(Price and Bradstock, 2012)"},"properties":{"noteIndex":0},"schema":"https://github.com/citation-style-language/schema/raw/master/csl-citation.json"}</w:instrText>
      </w:r>
      <w:r>
        <w:fldChar w:fldCharType="separate"/>
      </w:r>
      <w:r>
        <w:rPr>
          <w:noProof/>
        </w:rPr>
        <w:t>Price and Bradstock</w:t>
      </w:r>
      <w:r w:rsidRPr="00C611F3">
        <w:rPr>
          <w:noProof/>
        </w:rPr>
        <w:t xml:space="preserve"> </w:t>
      </w:r>
      <w:r>
        <w:rPr>
          <w:noProof/>
        </w:rPr>
        <w:t>(</w:t>
      </w:r>
      <w:r w:rsidRPr="00C611F3">
        <w:rPr>
          <w:noProof/>
        </w:rPr>
        <w:t>2012)</w:t>
      </w:r>
      <w:r>
        <w:fldChar w:fldCharType="end"/>
      </w:r>
      <w:r>
        <w:t xml:space="preserve"> </w:t>
      </w:r>
      <w:r w:rsidR="006278CB">
        <w:t xml:space="preserve">concentrated on the influence of time since fire in their conclusions, rather than time since logging. Subsequent analysis by </w:t>
      </w:r>
      <w:r>
        <w:fldChar w:fldCharType="begin" w:fldLock="1"/>
      </w:r>
      <w:r>
        <w:instrText>ADDIN CSL_CITATION {"citationItems":[{"id":"ITEM-1","itemData":{"DOI":"10.1111/conl.12086","author":[{"dropping-particle":"","family":"Bradstock","given":"Ross A.","non-dropping-particle":"","parse-names":false,"suffix":""},{"dropping-particle":"","family":"Price","given":"O.F","non-dropping-particle":"","parse-names":false,"suffix":""}],"container-title":"Conservation Letters","id":"ITEM-1","issued":{"date-parts":[["2014"]]},"title":"Logging and fire in Australian forests: errors by Attiwill et al. (2014)","type":"article-journal"},"uris":["http://www.mendeley.com/documents/?uuid=30516f72-fa62-405c-9d34-8a7d2e154e07"]}],"mendeley":{"formattedCitation":"(Bradstock and Price, 2014)","manualFormatting":"Bradstock and Price (2014)","plainTextFormattedCitation":"(Bradstock and Price, 2014)","previouslyFormattedCitation":"(Bradstock and Price, 2014)"},"properties":{"noteIndex":0},"schema":"https://github.com/citation-style-language/schema/raw/master/csl-citation.json"}</w:instrText>
      </w:r>
      <w:r>
        <w:fldChar w:fldCharType="separate"/>
      </w:r>
      <w:r>
        <w:rPr>
          <w:noProof/>
        </w:rPr>
        <w:t>Bradstock and Price</w:t>
      </w:r>
      <w:r w:rsidRPr="00C611F3">
        <w:rPr>
          <w:noProof/>
        </w:rPr>
        <w:t xml:space="preserve"> </w:t>
      </w:r>
      <w:r>
        <w:rPr>
          <w:noProof/>
        </w:rPr>
        <w:t>(</w:t>
      </w:r>
      <w:r w:rsidRPr="00C611F3">
        <w:rPr>
          <w:noProof/>
        </w:rPr>
        <w:t>2014)</w:t>
      </w:r>
      <w:r>
        <w:fldChar w:fldCharType="end"/>
      </w:r>
      <w:r>
        <w:t xml:space="preserve"> </w:t>
      </w:r>
      <w:r w:rsidR="006278CB">
        <w:t xml:space="preserve">found recent logging resulted in higher probability of crown fire in a range of forest types, including ash forest, during the 2009 Victorian fires. </w:t>
      </w:r>
      <w:r>
        <w:fldChar w:fldCharType="begin" w:fldLock="1"/>
      </w:r>
      <w:r w:rsidR="008113E1">
        <w:instrText>ADDIN CSL_CITATION {"citationItems":[{"id":"ITEM-1","itemData":{"DOI":"doi.org/10.1111/conl.12062","author":[{"dropping-particle":"","family":"Attiwill","given":"P M","non-dropping-particle":"","parse-names":false,"suffix":""},{"dropping-particle":"","family":"Ryan","given":"M F","non-dropping-particle":"","parse-names":false,"suffix":""},{"dropping-particle":"","family":"Burrows","given":"N","non-dropping-particle":"","parse-names":false,"suffix":""},{"dropping-particle":"","family":"Cheney","given":"N P","non-dropping-particle":"","parse-names":false,"suffix":""},{"dropping-particle":"","family":"McCaw","given":"L","non-dropping-particle":"","parse-names":false,"suffix":""},{"dropping-particle":"","family":"Neyland","given":"M","non-dropping-particle":"","parse-names":false,"suffix":""},{"dropping-particle":"","family":"Read","given":"S","non-dropping-particle":"","parse-names":false,"suffix":""}],"container-title":"Conservation Letters","id":"ITEM-1","issue":"4","issued":{"date-parts":[["2014"]]},"page":"341-354","publisher":"Wiley Online Library","title":"Timber harvesting does not increase fire risk and severity in wet eucalypt forests of southern Australia","type":"article-journal","volume":"7"},"uris":["http://www.mendeley.com/documents/?uuid=7864cf74-8275-4243-ba11-e347fedcf89b"]}],"mendeley":{"formattedCitation":"(Attiwill &lt;i&gt;et al.&lt;/i&gt;, 2014)","manualFormatting":"Attiwill et al. (2014)","plainTextFormattedCitation":"(Attiwill et al., 2014)","previouslyFormattedCitation":"(Attiwill &lt;i&gt;et al.&lt;/i&gt;, 2014)"},"properties":{"noteIndex":0},"schema":"https://github.com/citation-style-language/schema/raw/master/csl-citation.json"}</w:instrText>
      </w:r>
      <w:r>
        <w:fldChar w:fldCharType="separate"/>
      </w:r>
      <w:r w:rsidRPr="00C611F3">
        <w:rPr>
          <w:noProof/>
        </w:rPr>
        <w:t xml:space="preserve">Attiwill </w:t>
      </w:r>
      <w:r w:rsidRPr="00C611F3">
        <w:rPr>
          <w:i/>
          <w:noProof/>
        </w:rPr>
        <w:t>et al.</w:t>
      </w:r>
      <w:r w:rsidRPr="00C611F3">
        <w:rPr>
          <w:noProof/>
        </w:rPr>
        <w:t xml:space="preserve"> </w:t>
      </w:r>
      <w:r>
        <w:rPr>
          <w:noProof/>
        </w:rPr>
        <w:t>(</w:t>
      </w:r>
      <w:r w:rsidRPr="00C611F3">
        <w:rPr>
          <w:noProof/>
        </w:rPr>
        <w:t>2014)</w:t>
      </w:r>
      <w:r>
        <w:fldChar w:fldCharType="end"/>
      </w:r>
      <w:r>
        <w:t xml:space="preserve"> </w:t>
      </w:r>
      <w:r w:rsidR="006278CB">
        <w:t xml:space="preserve">attempted to argue that logging would have no influence on fire severity. However, </w:t>
      </w:r>
      <w:r>
        <w:fldChar w:fldCharType="begin" w:fldLock="1"/>
      </w:r>
      <w:r>
        <w:instrText>ADDIN CSL_CITATION {"citationItems":[{"id":"ITEM-1","itemData":{"DOI":"10.1111/conl.12086","author":[{"dropping-particle":"","family":"Bradstock","given":"Ross A.","non-dropping-particle":"","parse-names":false,"suffix":""},{"dropping-particle":"","family":"Price","given":"O.F","non-dropping-particle":"","parse-names":false,"suffix":""}],"container-title":"Conservation Letters","id":"ITEM-1","issued":{"date-parts":[["2014"]]},"title":"Logging and fire in Australian forests: errors by Attiwill et al. (2014)","type":"article-journal"},"uris":["http://www.mendeley.com/documents/?uuid=30516f72-fa62-405c-9d34-8a7d2e154e07"]}],"mendeley":{"formattedCitation":"(Bradstock and Price, 2014)","manualFormatting":"Bradstock and Price (2014)","plainTextFormattedCitation":"(Bradstock and Price, 2014)","previouslyFormattedCitation":"(Bradstock and Price, 2014)"},"properties":{"noteIndex":0},"schema":"https://github.com/citation-style-language/schema/raw/master/csl-citation.json"}</w:instrText>
      </w:r>
      <w:r>
        <w:fldChar w:fldCharType="separate"/>
      </w:r>
      <w:r>
        <w:rPr>
          <w:noProof/>
        </w:rPr>
        <w:t>Bradstock and Price</w:t>
      </w:r>
      <w:r w:rsidRPr="00C611F3">
        <w:rPr>
          <w:noProof/>
        </w:rPr>
        <w:t xml:space="preserve"> </w:t>
      </w:r>
      <w:r>
        <w:rPr>
          <w:noProof/>
        </w:rPr>
        <w:t>(</w:t>
      </w:r>
      <w:r w:rsidRPr="00C611F3">
        <w:rPr>
          <w:noProof/>
        </w:rPr>
        <w:t>2014)</w:t>
      </w:r>
      <w:r>
        <w:fldChar w:fldCharType="end"/>
      </w:r>
      <w:r>
        <w:t xml:space="preserve"> </w:t>
      </w:r>
      <w:r w:rsidR="006278CB">
        <w:t xml:space="preserve">found the conclusions of Attiwill </w:t>
      </w:r>
      <w:r w:rsidR="006278CB">
        <w:rPr>
          <w:i/>
          <w:iCs/>
        </w:rPr>
        <w:t>et al.</w:t>
      </w:r>
      <w:r w:rsidR="006278CB">
        <w:t xml:space="preserve"> (2014) to be “tenuous”, due to limitations in their analyses that did not discriminate clear drivers of fire severity, in weather and terrain, from time since disturbance. </w:t>
      </w:r>
      <w:r>
        <w:fldChar w:fldCharType="begin" w:fldLock="1"/>
      </w:r>
      <w:r>
        <w:instrText>ADDIN CSL_CITATION {"citationItems":[{"id":"ITEM-1","itemData":{"DOI":"10.1111/conl.12086","author":[{"dropping-particle":"","family":"Bradstock","given":"Ross A.","non-dropping-particle":"","parse-names":false,"suffix":""},{"dropping-particle":"","family":"Price","given":"O.F","non-dropping-particle":"","parse-names":false,"suffix":""}],"container-title":"Conservation Letters","id":"ITEM-1","issued":{"date-parts":[["2014"]]},"title":"Logging and fire in Australian forests: errors by Attiwill et al. (2014)","type":"article-journal"},"uris":["http://www.mendeley.com/documents/?uuid=30516f72-fa62-405c-9d34-8a7d2e154e07"]}],"mendeley":{"formattedCitation":"(Bradstock and Price, 2014)","manualFormatting":"Bradstock and Price (2014)","plainTextFormattedCitation":"(Bradstock and Price, 2014)","previouslyFormattedCitation":"(Bradstock and Price, 2014)"},"properties":{"noteIndex":0},"schema":"https://github.com/citation-style-language/schema/raw/master/csl-citation.json"}</w:instrText>
      </w:r>
      <w:r>
        <w:fldChar w:fldCharType="separate"/>
      </w:r>
      <w:r>
        <w:rPr>
          <w:noProof/>
        </w:rPr>
        <w:t>Bradstock and Price</w:t>
      </w:r>
      <w:r w:rsidRPr="00C611F3">
        <w:rPr>
          <w:noProof/>
        </w:rPr>
        <w:t xml:space="preserve"> </w:t>
      </w:r>
      <w:r>
        <w:rPr>
          <w:noProof/>
        </w:rPr>
        <w:t>(</w:t>
      </w:r>
      <w:r w:rsidRPr="00C611F3">
        <w:rPr>
          <w:noProof/>
        </w:rPr>
        <w:t>2014)</w:t>
      </w:r>
      <w:r>
        <w:fldChar w:fldCharType="end"/>
      </w:r>
      <w:r>
        <w:t xml:space="preserve"> </w:t>
      </w:r>
      <w:r w:rsidR="006278CB">
        <w:t xml:space="preserve">were also concerned that </w:t>
      </w:r>
      <w:r>
        <w:fldChar w:fldCharType="begin" w:fldLock="1"/>
      </w:r>
      <w:r w:rsidR="008113E1">
        <w:instrText>ADDIN CSL_CITATION {"citationItems":[{"id":"ITEM-1","itemData":{"DOI":"doi.org/10.1111/conl.12062","author":[{"dropping-particle":"","family":"Attiwill","given":"P M","non-dropping-particle":"","parse-names":false,"suffix":""},{"dropping-particle":"","family":"Ryan","given":"M F","non-dropping-particle":"","parse-names":false,"suffix":""},{"dropping-particle":"","family":"Burrows","given":"N","non-dropping-particle":"","parse-names":false,"suffix":""},{"dropping-particle":"","family":"Cheney","given":"N P","non-dropping-particle":"","parse-names":false,"suffix":""},{"dropping-particle":"","family":"McCaw","given":"L","non-dropping-particle":"","parse-names":false,"suffix":""},{"dropping-particle":"","family":"Neyland","given":"M","non-dropping-particle":"","parse-names":false,"suffix":""},{"dropping-particle":"","family":"Read","given":"S","non-dropping-particle":"","parse-names":false,"suffix":""}],"container-title":"Conservation Letters","id":"ITEM-1","issue":"4","issued":{"date-parts":[["2014"]]},"page":"341-354","publisher":"Wiley Online Library","title":"Timber harvesting does not increase fire risk and severity in wet eucalypt forests of southern Australia","type":"article-journal","volume":"7"},"uris":["http://www.mendeley.com/documents/?uuid=7864cf74-8275-4243-ba11-e347fedcf89b"]}],"mendeley":{"formattedCitation":"(Attiwill &lt;i&gt;et al.&lt;/i&gt;, 2014)","manualFormatting":"Attiwill et al. (2014)","plainTextFormattedCitation":"(Attiwill et al., 2014)","previouslyFormattedCitation":"(Attiwill &lt;i&gt;et al.&lt;/i&gt;, 2014)"},"properties":{"noteIndex":0},"schema":"https://github.com/citation-style-language/schema/raw/master/csl-citation.json"}</w:instrText>
      </w:r>
      <w:r>
        <w:fldChar w:fldCharType="separate"/>
      </w:r>
      <w:r w:rsidRPr="00C611F3">
        <w:rPr>
          <w:noProof/>
        </w:rPr>
        <w:t xml:space="preserve">Attiwill </w:t>
      </w:r>
      <w:r w:rsidRPr="00C611F3">
        <w:rPr>
          <w:i/>
          <w:noProof/>
        </w:rPr>
        <w:t>et al.</w:t>
      </w:r>
      <w:r w:rsidRPr="00C611F3">
        <w:rPr>
          <w:noProof/>
        </w:rPr>
        <w:t xml:space="preserve"> </w:t>
      </w:r>
      <w:r>
        <w:rPr>
          <w:noProof/>
        </w:rPr>
        <w:t>(</w:t>
      </w:r>
      <w:r w:rsidRPr="00C611F3">
        <w:rPr>
          <w:noProof/>
        </w:rPr>
        <w:t>2014)</w:t>
      </w:r>
      <w:r>
        <w:fldChar w:fldCharType="end"/>
      </w:r>
      <w:r>
        <w:t xml:space="preserve"> </w:t>
      </w:r>
      <w:r w:rsidR="006278CB">
        <w:t xml:space="preserve">did not appropriately account for spatial autocorrelations in their analyses. Further investigations may be required to more accurately quantify the change in probability of bushfire occurrence </w:t>
      </w:r>
      <w:r w:rsidR="009660FF">
        <w:t>with forest age</w:t>
      </w:r>
      <w:r w:rsidR="006278CB">
        <w:t>.</w:t>
      </w:r>
    </w:p>
    <w:p w14:paraId="7BF8C664" w14:textId="45AD9FB4" w:rsidR="009660FF" w:rsidRDefault="009660FF" w:rsidP="009660FF">
      <w:pPr>
        <w:pStyle w:val="Para0"/>
      </w:pPr>
      <w:r>
        <w:t xml:space="preserve">Australian temperate forests are expected to be sensitive to changes in fire danger and frequency of severe drought under climate change </w:t>
      </w:r>
      <w:r>
        <w:fldChar w:fldCharType="begin" w:fldLock="1"/>
      </w:r>
      <w:r w:rsidR="00544257">
        <w:instrText>ADDIN CSL_CITATION {"citationItems":[{"id":"ITEM-1","itemData":{"DOI":"doi.org/10.1111/j.1466-8238.2009.00512.x","author":[{"dropping-particle":"","family":"Bradstock","given":"Ross A.","non-dropping-particle":"","parse-names":false,"suffix":""}],"container-title":"Global Ecology and Biogeography","id":"ITEM-1","issue":"2","issued":{"date-parts":[["2010"]]},"page":"145-158","title":"A biogeographic model of fire regimes in Australia: Current and future implications","type":"article-journal","volume":"19"},"uris":["http://www.mendeley.com/documents/?uuid=5ee8f3ad-6abf-4baa-acdc-30e9989e8304"]}],"mendeley":{"formattedCitation":"(Bradstock, 2010)","plainTextFormattedCitation":"(Bradstock, 2010)","previouslyFormattedCitation":"(Bradstock, 2010)"},"properties":{"noteIndex":0},"schema":"https://github.com/citation-style-language/schema/raw/master/csl-citation.json"}</w:instrText>
      </w:r>
      <w:r>
        <w:fldChar w:fldCharType="separate"/>
      </w:r>
      <w:r w:rsidR="007416C7" w:rsidRPr="007416C7">
        <w:rPr>
          <w:noProof/>
        </w:rPr>
        <w:t>(Bradstock, 2010)</w:t>
      </w:r>
      <w:r>
        <w:fldChar w:fldCharType="end"/>
      </w:r>
      <w:r>
        <w:t xml:space="preserve">. Increases in future drought and fire danger indices are predicted in Victoria’s forests </w:t>
      </w:r>
      <w:r>
        <w:fldChar w:fldCharType="begin" w:fldLock="1"/>
      </w:r>
      <w:r w:rsidR="00544257">
        <w:instrText>ADDIN CSL_CITATION {"citationItems":[{"id":"ITEM-1","itemData":{"DOI":"doi.org/10.1111/j.1466-8238.2009.00512.x","author":[{"dropping-particle":"","family":"Bradstock","given":"Ross A.","non-dropping-particle":"","parse-names":false,"suffix":""}],"container-title":"Global Ecology and Biogeography","id":"ITEM-1","issue":"2","issued":{"date-parts":[["2010"]]},"page":"145-158","title":"A biogeographic model of fire regimes in Australia: Current and future implications","type":"article-journal","volume":"19"},"uris":["http://www.mendeley.com/documents/?uuid=5ee8f3ad-6abf-4baa-acdc-30e9989e8304"]},{"id":"ITEM-2","itemData":{"DOI":"doi.org/10.1007/s00704-018-2507-4","author":[{"dropping-particle":"","family":"Clarke","given":"H","non-dropping-particle":"","parse-names":false,"suffix":""},{"dropping-particle":"","family":"Evans","given":"J.P.","non-dropping-particle":"","parse-names":false,"suffix":""}],"container-title":"Theoretical and Applied Climatology","id":"ITEM-2","issue":"1","issued":{"date-parts":[["2019"]]},"page":"513-527","title":"Exploring the future change space for fire weather in southeast Australia","type":"article-journal","volume":"136"},"uris":["http://www.mendeley.com/documents/?uuid=6c792012-b695-4442-84f4-ce869bef1b82"]}],"mendeley":{"formattedCitation":"(Bradstock, 2010; Clarke and Evans, 2019)","plainTextFormattedCitation":"(Bradstock, 2010; Clarke and Evans, 2019)","previouslyFormattedCitation":"(Bradstock, 2010; Clarke and Evans, 2019)"},"properties":{"noteIndex":0},"schema":"https://github.com/citation-style-language/schema/raw/master/csl-citation.json"}</w:instrText>
      </w:r>
      <w:r>
        <w:fldChar w:fldCharType="separate"/>
      </w:r>
      <w:r w:rsidR="007416C7" w:rsidRPr="007416C7">
        <w:rPr>
          <w:noProof/>
        </w:rPr>
        <w:t>(Bradstock, 2010; Clarke and Evans, 2019)</w:t>
      </w:r>
      <w:r>
        <w:fldChar w:fldCharType="end"/>
      </w:r>
      <w:r>
        <w:t xml:space="preserve">. </w:t>
      </w:r>
      <w:r>
        <w:fldChar w:fldCharType="begin" w:fldLock="1"/>
      </w:r>
      <w:r w:rsidR="00D11C5B">
        <w:instrText>ADDIN CSL_CITATION {"citationItems":[{"id":"ITEM-1","itemData":{"DOI":"10.1111/gcb.14987","author":[{"dropping-particle":"","family":"Nolan","given":"Rachael H","non-dropping-particle":"","parse-names":false,"suffix":""},{"dropping-particle":"","family":"Boer","given":"Matthias M","non-dropping-particle":"","parse-names":false,"suffix":""},{"dropping-particle":"","family":"Collins","given":"Luke","non-dropping-particle":"","parse-names":false,"suffix":""},{"dropping-particle":"","family":"Dios","given":"V\\'\\ictor","non-dropping-particle":"de","parse-names":false,"suffix":""},{"dropping-particle":"","family":"Clarke","given":"Hamish","non-dropping-particle":"","parse-names":false,"suffix":""},{"dropping-particle":"","family":"Jenkins","given":"Meaghan","non-dropping-particle":"","parse-names":false,"suffix":""},{"dropping-particle":"","family":"Kenny","given":"Belinda","non-dropping-particle":"","parse-names":false,"suffix":""},{"dropping-particle":"","family":"Bradstock","given":"Ross A","non-dropping-particle":"","parse-names":false,"suffix":""}],"container-title":"Global change biology","id":"ITEM-1","issued":{"date-parts":[["2020"]]},"publisher":"Wiley Online Library","title":"Causes and consequences of eastern Australia’s 2019-20 season of mega-fires","type":"article-journal"},"uris":["http://www.mendeley.com/documents/?uuid=6c9106a1-5a8c-40dd-9f48-91b408a13259"]}],"mendeley":{"formattedCitation":"(Nolan &lt;i&gt;et al.&lt;/i&gt;, 2020)","manualFormatting":"Nolan et al. (2020)","plainTextFormattedCitation":"(Nolan et al., 2020)","previouslyFormattedCitation":"(Nolan &lt;i&gt;et al.&lt;/i&gt;, 2020)"},"properties":{"noteIndex":0},"schema":"https://github.com/citation-style-language/schema/raw/master/csl-citation.json"}</w:instrText>
      </w:r>
      <w:r>
        <w:fldChar w:fldCharType="separate"/>
      </w:r>
      <w:r w:rsidRPr="00C60D79">
        <w:rPr>
          <w:noProof/>
        </w:rPr>
        <w:t xml:space="preserve">Nolan </w:t>
      </w:r>
      <w:r w:rsidRPr="00C60D79">
        <w:rPr>
          <w:i/>
          <w:noProof/>
        </w:rPr>
        <w:t>et al.</w:t>
      </w:r>
      <w:r w:rsidRPr="00C60D79">
        <w:rPr>
          <w:noProof/>
        </w:rPr>
        <w:t xml:space="preserve"> </w:t>
      </w:r>
      <w:r>
        <w:rPr>
          <w:noProof/>
        </w:rPr>
        <w:t>(</w:t>
      </w:r>
      <w:r w:rsidRPr="00C60D79">
        <w:rPr>
          <w:noProof/>
        </w:rPr>
        <w:t>2020)</w:t>
      </w:r>
      <w:r>
        <w:fldChar w:fldCharType="end"/>
      </w:r>
      <w:r>
        <w:t xml:space="preserve"> state that</w:t>
      </w:r>
      <w:r w:rsidR="008634C6">
        <w:t xml:space="preserve"> the</w:t>
      </w:r>
      <w:r>
        <w:t xml:space="preserve"> unp</w:t>
      </w:r>
      <w:r w:rsidR="00223B06">
        <w:t>recedented size</w:t>
      </w:r>
      <w:r w:rsidR="008634C6">
        <w:t>s</w:t>
      </w:r>
      <w:r w:rsidR="00223B06">
        <w:t xml:space="preserve"> and number of fo</w:t>
      </w:r>
      <w:r>
        <w:t>rest burning</w:t>
      </w:r>
      <w:r w:rsidR="008634C6">
        <w:t>s</w:t>
      </w:r>
      <w:r>
        <w:t xml:space="preserve"> in temperate Australian forests during the current (2019</w:t>
      </w:r>
      <w:r w:rsidR="008634C6">
        <w:rPr>
          <w:rFonts w:cs="Arial"/>
        </w:rPr>
        <w:t>–</w:t>
      </w:r>
      <w:r>
        <w:t>20) fire season in Eastern Australia are “an indication that changes to the fire regime predicted under climate change, including more frequent and severe fires, may now be occurring”</w:t>
      </w:r>
      <w:r w:rsidR="002A1AAE">
        <w:t>.</w:t>
      </w:r>
      <w:r>
        <w:t xml:space="preserve"> </w:t>
      </w:r>
      <w:r w:rsidR="00C611F3">
        <w:fldChar w:fldCharType="begin" w:fldLock="1"/>
      </w:r>
      <w:r w:rsidR="0005134E">
        <w:instrText>ADDIN CSL_CITATION {"citationItems":[{"id":"ITEM-1","itemData":{"DOI":"10.1071/WF15010","ISSN":"10498001","abstract":"In temperate Australia, wildfires are predicted to be more frequent and severe under climate change. This could lead to marked changes in tree mortality and regeneration in the region’s predominant eucalypt forests, which have been burned repeatedly by extensive wildfires in the period 2003–14. Recent studies have applied alternative stable state models to select ‘fire sensitive’ forest types, but comparable models have not been rigorously examined in relation to the more extensive ‘fire tolerant’ forests in the region. We review the effects of increasing wildfire frequency on tree mortality and regeneration in temperate forests of Victoria, south-eastern Australia, based on the functional traits of the dominant eucalypts: those that are typically killed by wildfire to regenerate from seed (‘obligate seeders’) and those that mostly survive to resprout (‘resprouters’). In Victoria, over 4.3 million ha of eucalypt forest has been burned by wildfire in the last decade (2003–14), roughly equivalent to the cumulative area burned in the previous 50 years (1952–2002; 4.4 million ha). This increased wildfire activity has occurred regardless of several advancements in fire management, and has resulted in over 350 000 ha of eucalypt forest being burned twice or more by wildfire at short (≤11 year) intervals. Historical and recent evidence indicates that recurrent wildfires threaten the persistence of the ‘fire sensitive’ obligate seeder eucalypt forests, which can facilitate a shift to non-forest states if successive fires occur within the trees’ primary juvenile period (1–20 years). Our review also highlights potential for structural and state changes in the ‘fire tolerant’ resprouter forests, particularly if recurrent severe wildfires kill seedlings and increase tree mortality. We present conceptual models of state changes in temperate eucalypt forests with increasing wildfire frequency, and highlight knowledge gaps relating to the development and persistence of alternative states driven by changes in fire regimes.","author":[{"dropping-particle":"","family":"Fairman","given":"Thomas A.","non-dropping-particle":"","parse-names":false,"suffix":""},{"dropping-particle":"","family":"Nitschke","given":"Craig R.","non-dropping-particle":"","parse-names":false,"suffix":""},{"dropping-particle":"","family":"Bennett","given":"Lauren T.","non-dropping-particle":"","parse-names":false,"suffix":""}],"container-title":"International Journal of Wildland Fire","id":"ITEM-1","issue":"8","issued":{"date-parts":[["2016"]]},"page":"831-848","title":"Too much, too soon? A review of the effects of increasing wildfire frequency on tree mortality and regeneration in temperate eucalypt forests","type":"article-journal","volume":"25"},"uris":["http://www.mendeley.com/documents/?uuid=af683b5e-416e-4759-b370-2a34fc63d4f6"]}],"mendeley":{"formattedCitation":"(Fairman &lt;i&gt;et al.&lt;/i&gt;, 2016)","manualFormatting":"Fairman et al. (2016)","plainTextFormattedCitation":"(Fairman et al., 2016)","previouslyFormattedCitation":"(Fairman &lt;i&gt;et al.&lt;/i&gt;, 2016)"},"properties":{"noteIndex":0},"schema":"https://github.com/citation-style-language/schema/raw/master/csl-citation.json"}</w:instrText>
      </w:r>
      <w:r w:rsidR="00C611F3">
        <w:fldChar w:fldCharType="separate"/>
      </w:r>
      <w:r w:rsidR="00C611F3" w:rsidRPr="00C611F3">
        <w:rPr>
          <w:noProof/>
        </w:rPr>
        <w:t xml:space="preserve">Fairman </w:t>
      </w:r>
      <w:r w:rsidR="00C611F3" w:rsidRPr="00C611F3">
        <w:rPr>
          <w:i/>
          <w:noProof/>
        </w:rPr>
        <w:t>et al.</w:t>
      </w:r>
      <w:r w:rsidR="00C611F3" w:rsidRPr="00C611F3">
        <w:rPr>
          <w:noProof/>
        </w:rPr>
        <w:t xml:space="preserve"> </w:t>
      </w:r>
      <w:r w:rsidR="00C611F3">
        <w:rPr>
          <w:noProof/>
        </w:rPr>
        <w:t>(</w:t>
      </w:r>
      <w:r w:rsidR="00C611F3" w:rsidRPr="00C611F3">
        <w:rPr>
          <w:noProof/>
        </w:rPr>
        <w:t>2016)</w:t>
      </w:r>
      <w:r w:rsidR="00C611F3">
        <w:fldChar w:fldCharType="end"/>
      </w:r>
      <w:r w:rsidR="00C611F3">
        <w:t xml:space="preserve"> </w:t>
      </w:r>
      <w:r>
        <w:rPr>
          <w:noProof/>
        </w:rPr>
        <w:t xml:space="preserve">found that </w:t>
      </w:r>
      <w:r>
        <w:t xml:space="preserve">since 2003, forest fire frequency in Victoria has been around five times greater than in the previous 50 years, despite several advances in fire management, </w:t>
      </w:r>
      <w:r w:rsidR="008634C6">
        <w:t xml:space="preserve">and has </w:t>
      </w:r>
      <w:r>
        <w:t>result</w:t>
      </w:r>
      <w:r w:rsidR="008634C6">
        <w:t>ed</w:t>
      </w:r>
      <w:r>
        <w:t xml:space="preserve"> in about 350,000 ha of eucalypt forest being burned twice or more by wildfire at short intervals</w:t>
      </w:r>
      <w:r w:rsidR="008634C6">
        <w:t xml:space="preserve"> </w:t>
      </w:r>
      <w:r>
        <w:fldChar w:fldCharType="begin" w:fldLock="1"/>
      </w:r>
      <w:r w:rsidR="007416C7">
        <w:instrText>ADDIN CSL_CITATION {"citationItems":[{"id":"ITEM-1","itemData":{"DOI":"10.1071/WF15010","ISSN":"10498001","abstract":"In temperate Australia, wildfires are predicted to be more frequent and severe under climate change. This could lead to marked changes in tree mortality and regeneration in the region’s predominant eucalypt forests, which have been burned repeatedly by extensive wildfires in the period 2003–14. Recent studies have applied alternative stable state models to select ‘fire sensitive’ forest types, but comparable models have not been rigorously examined in relation to the more extensive ‘fire tolerant’ forests in the region. We review the effects of increasing wildfire frequency on tree mortality and regeneration in temperate forests of Victoria, south-eastern Australia, based on the functional traits of the dominant eucalypts: those that are typically killed by wildfire to regenerate from seed (‘obligate seeders’) and those that mostly survive to resprout (‘resprouters’). In Victoria, over 4.3 million ha of eucalypt forest has been burned by wildfire in the last decade (2003–14), roughly equivalent to the cumulative area burned in the previous 50 years (1952–2002; 4.4 million ha). This increased wildfire activity has occurred regardless of several advancements in fire management, and has resulted in over 350 000 ha of eucalypt forest being burned twice or more by wildfire at short (≤11 year) intervals. Historical and recent evidence indicates that recurrent wildfires threaten the persistence of the ‘fire sensitive’ obligate seeder eucalypt forests, which can facilitate a shift to non-forest states if successive fires occur within the trees’ primary juvenile period (1–20 years). Our review also highlights potential for structural and state changes in the ‘fire tolerant’ resprouter forests, particularly if recurrent severe wildfires kill seedlings and increase tree mortality. We present conceptual models of state changes in temperate eucalypt forests with increasing wildfire frequency, and highlight knowledge gaps relating to the development and persistence of alternative states driven by changes in fire regimes.","author":[{"dropping-particle":"","family":"Fairman","given":"Thomas A.","non-dropping-particle":"","parse-names":false,"suffix":""},{"dropping-particle":"","family":"Nitschke","given":"Craig R.","non-dropping-particle":"","parse-names":false,"suffix":""},{"dropping-particle":"","family":"Bennett","given":"Lauren T.","non-dropping-particle":"","parse-names":false,"suffix":""}],"container-title":"International Journal of Wildland Fire","id":"ITEM-1","issue":"8","issued":{"date-parts":[["2016"]]},"page":"831-848","title":"Too much, too soon? A review of the effects of increasing wildfire frequency on tree mortality and regeneration in temperate eucalypt forests","type":"article-journal","volume":"25"},"uris":["http://www.mendeley.com/documents/?uuid=af683b5e-416e-4759-b370-2a34fc63d4f6"]}],"mendeley":{"formattedCitation":"(Fairman &lt;i&gt;et al.&lt;/i&gt;, 2016)","plainTextFormattedCitation":"(Fairman et al., 2016)","previouslyFormattedCitation":"(Fairman &lt;i&gt;et al.&lt;/i&gt;, 2016)"},"properties":{"noteIndex":0},"schema":"https://github.com/citation-style-language/schema/raw/master/csl-citation.json"}</w:instrText>
      </w:r>
      <w:r>
        <w:fldChar w:fldCharType="separate"/>
      </w:r>
      <w:r w:rsidR="007416C7" w:rsidRPr="007416C7">
        <w:rPr>
          <w:noProof/>
        </w:rPr>
        <w:t xml:space="preserve">(Fairman </w:t>
      </w:r>
      <w:r w:rsidR="007416C7" w:rsidRPr="007416C7">
        <w:rPr>
          <w:i/>
          <w:noProof/>
        </w:rPr>
        <w:t>et al.</w:t>
      </w:r>
      <w:r w:rsidR="007416C7" w:rsidRPr="007416C7">
        <w:rPr>
          <w:noProof/>
        </w:rPr>
        <w:t>, 2016)</w:t>
      </w:r>
      <w:r>
        <w:fldChar w:fldCharType="end"/>
      </w:r>
      <w:r>
        <w:t xml:space="preserve">. </w:t>
      </w:r>
    </w:p>
    <w:p w14:paraId="12276535" w14:textId="77777777" w:rsidR="00402AF1" w:rsidRDefault="009660FF" w:rsidP="009660FF">
      <w:pPr>
        <w:pStyle w:val="Para0"/>
      </w:pPr>
      <w:r>
        <w:lastRenderedPageBreak/>
        <w:t xml:space="preserve">Despite the increase in fire frequency in Victoria in the last 15 years, a study that analysed the relationship between bushfire frequency and climate trends across a broad area of south-eastern Australia found that, </w:t>
      </w:r>
    </w:p>
    <w:p w14:paraId="372E8E30" w14:textId="2FA5A7BB" w:rsidR="00402AF1" w:rsidRDefault="009660FF" w:rsidP="00FA1991">
      <w:pPr>
        <w:pStyle w:val="Para0"/>
        <w:spacing w:before="60"/>
        <w:ind w:left="709"/>
      </w:pPr>
      <w:r w:rsidRPr="00FA1991">
        <w:rPr>
          <w:i/>
          <w:iCs/>
        </w:rPr>
        <w:t>while warming and drying was widespread, the pronounced increase in ﬁre in the heavily populated forested regions along the coast and mountains of south-eastern Australia was not consistently related to the inﬂuence of warming and drying trends, evident in key components of the ﬁre danger index</w:t>
      </w:r>
      <w:r>
        <w:t xml:space="preserve"> </w:t>
      </w:r>
      <w:r>
        <w:fldChar w:fldCharType="begin" w:fldLock="1"/>
      </w:r>
      <w:r w:rsidR="00544257">
        <w:instrText>ADDIN CSL_CITATION {"citationItems":[{"id":"ITEM-1","itemData":{"DOI":"10.1111/gcb.12449","ISSN":"13652486","abstract":"The response of fire to climate change may vary across fuel types characteristic of differing vegetation types (i.e. litter vs. grass). Models of fire under climatic change capture these differing potential responses to varying degrees. Across south-eastern Australia, an elevation in the severity of weather conditions conducive to fire has been measured in recent decades. We examined trends in area burned (1975-2009) to determine if a corresponding increase in fire had occurred across the diverse range of ecosystems found in this part of the continent. We predicted that an increase in fire, due to climatic warming and drying, was more likely to have occurred in moist, temperate forests near the coast than in arid and semiarid woodlands of the interior, due to inherent contrasts in the respective dominant fuel types (woody litter vs. herbaceous fuels). Significant warming (i.e. increased temperature and number of hot days) and drying (i.e. negative precipitation anomaly, number of days with low humidity) occurred across most of the 32 Bioregions examined. The results were mostly consistent with predictions, with an increase in area burned in seven of eight forest Bioregions, whereas area burned either declined (two) or did not change significantly (nine) in drier woodland Bioregions. In 12 woodland Bioregions, data were insufficient for analysis of temporal trends in fire. Increases in fire attributable mostly to warming or drying were confined to three Bioregions. In the remainder, such increases were mostly unrelated to warming or drying trends and therefore may be due to other climate effects not explored (e.g. lightning ignitions) or possible anthropogenic influences. Projections of future fire must therefore not only account for responses of different fuel systems to climatic change but also the wider range of ecological and human effects on interactions between fire and vegetation. © 2013 John Wiley &amp; Sons Ltd.","author":[{"dropping-particle":"","family":"Bradstock","given":"Ross","non-dropping-particle":"","parse-names":false,"suffix":""},{"dropping-particle":"","family":"Penman","given":"Trent","non-dropping-particle":"","parse-names":false,"suffix":""},{"dropping-particle":"","family":"Boer","given":"Matthias","non-dropping-particle":"","parse-names":false,"suffix":""},{"dropping-particle":"","family":"Price","given":"Owen","non-dropping-particle":"","parse-names":false,"suffix":""},{"dropping-particle":"","family":"Clarke","given":"Hamish","non-dropping-particle":"","parse-names":false,"suffix":""}],"container-title":"Global Change Biology","id":"ITEM-1","issue":"5","issued":{"date-parts":[["2014"]]},"page":"1412-1428","title":"Divergent responses of fire to recent warming and drying across south-eastern Australia","type":"article-journal","volume":"20"},"uris":["http://www.mendeley.com/documents/?uuid=01f28acf-4f3f-479d-8036-56c5391efcd9"]}],"mendeley":{"formattedCitation":"(Bradstock &lt;i&gt;et al.&lt;/i&gt;, 2014)","plainTextFormattedCitation":"(Bradstock et al., 2014)","previouslyFormattedCitation":"(Bradstock &lt;i&gt;et al.&lt;/i&gt;, 2014)"},"properties":{"noteIndex":0},"schema":"https://github.com/citation-style-language/schema/raw/master/csl-citation.json"}</w:instrText>
      </w:r>
      <w:r>
        <w:fldChar w:fldCharType="separate"/>
      </w:r>
      <w:r w:rsidR="007416C7" w:rsidRPr="007416C7">
        <w:rPr>
          <w:noProof/>
        </w:rPr>
        <w:t xml:space="preserve">(Bradstock </w:t>
      </w:r>
      <w:r w:rsidR="007416C7" w:rsidRPr="007416C7">
        <w:rPr>
          <w:i/>
          <w:noProof/>
        </w:rPr>
        <w:t>et al.</w:t>
      </w:r>
      <w:r w:rsidR="007416C7" w:rsidRPr="007416C7">
        <w:rPr>
          <w:noProof/>
        </w:rPr>
        <w:t>, 2014)</w:t>
      </w:r>
      <w:r>
        <w:fldChar w:fldCharType="end"/>
      </w:r>
      <w:r>
        <w:t xml:space="preserve">. </w:t>
      </w:r>
    </w:p>
    <w:p w14:paraId="11DFE537" w14:textId="01206EFA" w:rsidR="009660FF" w:rsidRDefault="009660FF" w:rsidP="009660FF">
      <w:pPr>
        <w:pStyle w:val="Para0"/>
      </w:pPr>
      <w:r>
        <w:t>They conclude that it may be challenging to predict future changes in forest fire in Australia</w:t>
      </w:r>
      <w:r w:rsidR="00780DE1">
        <w:t>,</w:t>
      </w:r>
      <w:r>
        <w:t xml:space="preserve"> </w:t>
      </w:r>
      <w:r w:rsidR="00780DE1">
        <w:t xml:space="preserve">because of </w:t>
      </w:r>
      <w:r>
        <w:t>the complexity of interaction</w:t>
      </w:r>
      <w:r w:rsidR="00780DE1">
        <w:t>s</w:t>
      </w:r>
      <w:r>
        <w:t xml:space="preserve"> between climatic inﬂuences on fuel and ﬁre spread and effects of changes to human populations and land use.</w:t>
      </w:r>
    </w:p>
    <w:p w14:paraId="6223FA54" w14:textId="56843AE6" w:rsidR="00302A2D" w:rsidRDefault="009660FF" w:rsidP="00022403">
      <w:pPr>
        <w:pStyle w:val="Para0"/>
      </w:pPr>
      <w:r>
        <w:t xml:space="preserve">Successive fires in the same forest may result in a change in forest type. </w:t>
      </w:r>
      <w:r w:rsidR="007A7CE4">
        <w:t>W</w:t>
      </w:r>
      <w:r w:rsidR="00022403">
        <w:t xml:space="preserve">here </w:t>
      </w:r>
      <w:r w:rsidR="007A7CE4" w:rsidRPr="002A792F">
        <w:rPr>
          <w:i/>
        </w:rPr>
        <w:t>E. delegatensis</w:t>
      </w:r>
      <w:r w:rsidR="007A7CE4">
        <w:t xml:space="preserve"> (alpine </w:t>
      </w:r>
      <w:r w:rsidR="00022403">
        <w:t>ash</w:t>
      </w:r>
      <w:r w:rsidR="007A7CE4">
        <w:t>)</w:t>
      </w:r>
      <w:r w:rsidR="00022403">
        <w:t xml:space="preserve"> forest is burnt twice or more within </w:t>
      </w:r>
      <w:r w:rsidR="00FC2DB2">
        <w:t>20 years</w:t>
      </w:r>
      <w:r w:rsidR="00022403">
        <w:t xml:space="preserve">, lack of natural seed supply after the second burn creates a risk that the forest will not regenerate </w:t>
      </w:r>
      <w:r w:rsidR="007A7CE4">
        <w:fldChar w:fldCharType="begin" w:fldLock="1"/>
      </w:r>
      <w:r w:rsidR="007416C7">
        <w:instrText>ADDIN CSL_CITATION {"citationItems":[{"id":"ITEM-1","itemData":{"DOI":"10.1016/j.foreco.2015.01.008","ISSN":"03781127","abstract":"Multiple fires in quick succession can cause an abrupt switch from forest to non-forest vegetation in some biomes. A prime example of such type conversion concerns alpine ash forests (Eucalyptus delegatensis subsp. delegatensis), which are endemic to the Australian Alps bioregion. These forests are long lived and can only regenerate following fire disturbance through the release of seed from the tree canopy, but complete regeneration failure of the eucalypt overstorey can occur if immature stands are subsequently reburnt. Wildfires in 2003, 2007 and 2009 burnt over 87% of the Alpine ash forest in Victoria, with some areas being burnt a second or third time within a decade by the 2013 Harrietville-Alpine Bushfire. Using aerial and field surveys we demonstrated that an area burnt two or three times in the Alpine National Park in Victoria would have resulted in loss of alpine ash forest were it not for an aerial sowing program. This sowing program used reduced sowing rates compared to those typically used in forestry silviculture operations in Victoria. Seedling establishment during the first year was lower on sown than natural seedfall areas but fell within the range of acceptable silvicultural stocking rates. Analysis of cohorts of seedlings over their first summer showed mortality was highest in the 2-3. months following emergence, especially during hot dry periods, but there was no difference in mortality rates between artificially and naturally sown areas. While the aerial sowing intervention established a cohort of alpine ash seedlings, the challenge for land managers is to protect these seedlings from wildfires for the next two decades to avoid loss of these forests.","author":[{"dropping-particle":"","family":"Bassett","given":"Owen D.","non-dropping-particle":"","parse-names":false,"suffix":""},{"dropping-particle":"","family":"Prior","given":"Lynda D.","non-dropping-particle":"","parse-names":false,"suffix":""},{"dropping-particle":"","family":"Slijkerman","given":"Carolyn M.","non-dropping-particle":"","parse-names":false,"suffix":""},{"dropping-particle":"","family":"Jamieson","given":"Daniel","non-dropping-particle":"","parse-names":false,"suffix":""},{"dropping-particle":"","family":"Bowman","given":"David M.J.S.","non-dropping-particle":"","parse-names":false,"suffix":""}],"container-title":"Forest Ecology and Management","id":"ITEM-1","issued":{"date-parts":[["2015"]]},"page":"39-48","publisher":"Elsevier B.V.","title":"Aerial sowing stopped the loss of alpine ash (Eucalyptus delegatensis) forests burnt by three short-interval fires in the Alpine National Park, Victoria, Australia","type":"article-journal","volume":"342"},"uris":["http://www.mendeley.com/documents/?uuid=98d7416c-b543-4686-887f-a3a0ac351bcc"]}],"mendeley":{"formattedCitation":"(Bassett &lt;i&gt;et al.&lt;/i&gt;, 2015)","plainTextFormattedCitation":"(Bassett et al., 2015)","previouslyFormattedCitation":"(Bassett &lt;i&gt;et al.&lt;/i&gt;, 2015)"},"properties":{"noteIndex":0},"schema":"https://github.com/citation-style-language/schema/raw/master/csl-citation.json"}</w:instrText>
      </w:r>
      <w:r w:rsidR="007A7CE4">
        <w:fldChar w:fldCharType="separate"/>
      </w:r>
      <w:r w:rsidR="007416C7" w:rsidRPr="007416C7">
        <w:rPr>
          <w:noProof/>
        </w:rPr>
        <w:t xml:space="preserve">(Bassett </w:t>
      </w:r>
      <w:r w:rsidR="007416C7" w:rsidRPr="007416C7">
        <w:rPr>
          <w:i/>
          <w:noProof/>
        </w:rPr>
        <w:t>et al.</w:t>
      </w:r>
      <w:r w:rsidR="007416C7" w:rsidRPr="007416C7">
        <w:rPr>
          <w:noProof/>
        </w:rPr>
        <w:t>, 2015)</w:t>
      </w:r>
      <w:r w:rsidR="007A7CE4">
        <w:fldChar w:fldCharType="end"/>
      </w:r>
      <w:r w:rsidR="00022403">
        <w:t xml:space="preserve">. This indicates that important changes in vegetation, and potentially in </w:t>
      </w:r>
      <w:r w:rsidR="007877C7">
        <w:t>catchment water yield</w:t>
      </w:r>
      <w:r w:rsidR="00022403">
        <w:t>, are likely if fire frequency increases as a result of warming temperatures and reducing rainfall.</w:t>
      </w:r>
      <w:r w:rsidR="006B4F00">
        <w:t xml:space="preserve"> </w:t>
      </w:r>
      <w:r w:rsidR="00927754">
        <w:fldChar w:fldCharType="begin" w:fldLock="1"/>
      </w:r>
      <w:r w:rsidR="007416C7">
        <w:instrText>ADDIN CSL_CITATION {"citationItems":[{"id":"ITEM-1","itemData":{"DOI":"10.1111/gcb.12433","ISSN":"13541013","abstract":"Obligate seeder trees requiring high-severity fires to regenerate may be vulnerable to population collapse if fire frequency increases abruptly. We tested this proposition using a long-lived obligate seeding forest tree, alpine ash (Eucalyptus delegatensis), in the Australian Alps. Since 2002, 85% of the Alps bioregion has been burnt by several very large fires, tracking the regional trend of more frequent extreme fire weather. High-severity fires removed 25% of aboveground tree biomass, and switched fuel arrays from low loads of herbaceous and litter fuels to high loads of flammable shrubs and juvenile trees, priming regenerating stands for subsequent fires. Single high-severity fires caused adult mortality and triggered mass regeneration, but a second fire in quick succession killed 97% of the regenerating alpine ash. Our results indicate that without interventions to reduce fire severity, interactions between flammability of regenerating stands and increased extreme fire weather will eliminate much of the remaining mature alpine ash forest. © 2013 John Wiley  &amp;  Sons Ltd.","author":[{"dropping-particle":"","family":"Bowman","given":"David M J S","non-dropping-particle":"","parse-names":false,"suffix":""},{"dropping-particle":"","family":"Murphy","given":"Brett P.","non-dropping-particle":"","parse-names":false,"suffix":""},{"dropping-particle":"","family":"Neyland","given":"Dominic L J","non-dropping-particle":"","parse-names":false,"suffix":""},{"dropping-particle":"","family":"Williamson","given":"Grant J.","non-dropping-particle":"","parse-names":false,"suffix":""},{"dropping-particle":"","family":"Prior","given":"Lynda D.","non-dropping-particle":"","parse-names":false,"suffix":""}],"container-title":"Global Change Biology","id":"ITEM-1","issue":"3","issued":{"date-parts":[["2014"]]},"page":"1008-1015","title":"Abrupt fire regime change may cause landscape-wide loss of mature obligate seeder forests","type":"article-journal","volume":"20"},"uris":["http://www.mendeley.com/documents/?uuid=b1afb3a5-d68d-4e06-a517-6d9af6f6a2d5"]}],"mendeley":{"formattedCitation":"(Bowman &lt;i&gt;et al.&lt;/i&gt;, 2014)","manualFormatting":"Bowman et al. (2014)","plainTextFormattedCitation":"(Bowman et al., 2014)","previouslyFormattedCitation":"(Bowman &lt;i&gt;et al.&lt;/i&gt;, 2014)"},"properties":{"noteIndex":0},"schema":"https://github.com/citation-style-language/schema/raw/master/csl-citation.json"}</w:instrText>
      </w:r>
      <w:r w:rsidR="00927754">
        <w:fldChar w:fldCharType="separate"/>
      </w:r>
      <w:r w:rsidR="00927754" w:rsidRPr="00927754">
        <w:rPr>
          <w:noProof/>
        </w:rPr>
        <w:t xml:space="preserve">Bowman </w:t>
      </w:r>
      <w:r w:rsidR="001C1F9A" w:rsidRPr="001C1F9A">
        <w:rPr>
          <w:i/>
          <w:noProof/>
        </w:rPr>
        <w:t>et al.</w:t>
      </w:r>
      <w:r w:rsidR="00927754" w:rsidRPr="00927754">
        <w:rPr>
          <w:noProof/>
        </w:rPr>
        <w:t xml:space="preserve"> </w:t>
      </w:r>
      <w:r w:rsidR="00927754">
        <w:rPr>
          <w:noProof/>
        </w:rPr>
        <w:t>(</w:t>
      </w:r>
      <w:r w:rsidR="00927754" w:rsidRPr="00927754">
        <w:rPr>
          <w:noProof/>
        </w:rPr>
        <w:t>2014)</w:t>
      </w:r>
      <w:r w:rsidR="00927754">
        <w:fldChar w:fldCharType="end"/>
      </w:r>
      <w:r w:rsidR="00927754">
        <w:t xml:space="preserve"> </w:t>
      </w:r>
      <w:r w:rsidR="00022403">
        <w:t xml:space="preserve">and </w:t>
      </w:r>
      <w:r w:rsidR="00927754">
        <w:fldChar w:fldCharType="begin" w:fldLock="1"/>
      </w:r>
      <w:r w:rsidR="007416C7">
        <w:instrText>ADDIN CSL_CITATION {"citationItems":[{"id":"ITEM-1","itemData":{"DOI":"10.1071/WF15010","ISSN":"10498001","abstract":"In temperate Australia, wildfires are predicted to be more frequent and severe under climate change. This could lead to marked changes in tree mortality and regeneration in the region’s predominant eucalypt forests, which have been burned repeatedly by extensive wildfires in the period 2003–14. Recent studies have applied alternative stable state models to select ‘fire sensitive’ forest types, but comparable models have not been rigorously examined in relation to the more extensive ‘fire tolerant’ forests in the region. We review the effects of increasing wildfire frequency on tree mortality and regeneration in temperate forests of Victoria, south-eastern Australia, based on the functional traits of the dominant eucalypts: those that are typically killed by wildfire to regenerate from seed (‘obligate seeders’) and those that mostly survive to resprout (‘resprouters’). In Victoria, over 4.3 million ha of eucalypt forest has been burned by wildfire in the last decade (2003–14), roughly equivalent to the cumulative area burned in the previous 50 years (1952–2002; 4.4 million ha). This increased wildfire activity has occurred regardless of several advancements in fire management, and has resulted in over 350 000 ha of eucalypt forest being burned twice or more by wildfire at short (≤11 year) intervals. Historical and recent evidence indicates that recurrent wildfires threaten the persistence of the ‘fire sensitive’ obligate seeder eucalypt forests, which can facilitate a shift to non-forest states if successive fires occur within the trees’ primary juvenile period (1–20 years). Our review also highlights potential for structural and state changes in the ‘fire tolerant’ resprouter forests, particularly if recurrent severe wildfires kill seedlings and increase tree mortality. We present conceptual models of state changes in temperate eucalypt forests with increasing wildfire frequency, and highlight knowledge gaps relating to the development and persistence of alternative states driven by changes in fire regimes.","author":[{"dropping-particle":"","family":"Fairman","given":"Thomas A.","non-dropping-particle":"","parse-names":false,"suffix":""},{"dropping-particle":"","family":"Nitschke","given":"Craig R.","non-dropping-particle":"","parse-names":false,"suffix":""},{"dropping-particle":"","family":"Bennett","given":"Lauren T.","non-dropping-particle":"","parse-names":false,"suffix":""}],"container-title":"International Journal of Wildland Fire","id":"ITEM-1","issue":"8","issued":{"date-parts":[["2016"]]},"page":"831-848","title":"Too much, too soon? A review of the effects of increasing wildfire frequency on tree mortality and regeneration in temperate eucalypt forests","type":"article-journal","volume":"25"},"uris":["http://www.mendeley.com/documents/?uuid=af683b5e-416e-4759-b370-2a34fc63d4f6"]}],"mendeley":{"formattedCitation":"(Fairman &lt;i&gt;et al.&lt;/i&gt;, 2016)","manualFormatting":"Fairman et al. (2016)","plainTextFormattedCitation":"(Fairman et al., 2016)","previouslyFormattedCitation":"(Fairman &lt;i&gt;et al.&lt;/i&gt;, 2016)"},"properties":{"noteIndex":0},"schema":"https://github.com/citation-style-language/schema/raw/master/csl-citation.json"}</w:instrText>
      </w:r>
      <w:r w:rsidR="00927754">
        <w:fldChar w:fldCharType="separate"/>
      </w:r>
      <w:r w:rsidR="00927754" w:rsidRPr="00927754">
        <w:rPr>
          <w:noProof/>
        </w:rPr>
        <w:t xml:space="preserve">Fairman </w:t>
      </w:r>
      <w:r w:rsidR="001C1F9A" w:rsidRPr="001C1F9A">
        <w:rPr>
          <w:i/>
          <w:noProof/>
        </w:rPr>
        <w:t>et al.</w:t>
      </w:r>
      <w:r w:rsidR="00927754" w:rsidRPr="00927754">
        <w:rPr>
          <w:noProof/>
        </w:rPr>
        <w:t xml:space="preserve"> </w:t>
      </w:r>
      <w:r w:rsidR="00927754">
        <w:rPr>
          <w:noProof/>
        </w:rPr>
        <w:t>(</w:t>
      </w:r>
      <w:r w:rsidR="00927754" w:rsidRPr="00927754">
        <w:rPr>
          <w:noProof/>
        </w:rPr>
        <w:t>2016)</w:t>
      </w:r>
      <w:r w:rsidR="00927754">
        <w:fldChar w:fldCharType="end"/>
      </w:r>
      <w:r w:rsidR="00927754">
        <w:t xml:space="preserve"> </w:t>
      </w:r>
      <w:r w:rsidR="00022403">
        <w:t xml:space="preserve">concluded that increased frequency of high severity fires is likely to result in replacement of obligate seeder eucalypts with other vegetation types. Bowman </w:t>
      </w:r>
      <w:r w:rsidR="001C1F9A" w:rsidRPr="001C1F9A">
        <w:rPr>
          <w:i/>
        </w:rPr>
        <w:t>et al.</w:t>
      </w:r>
      <w:r w:rsidR="00022403">
        <w:t xml:space="preserve"> (2014) found that in </w:t>
      </w:r>
      <w:r w:rsidR="00022403" w:rsidRPr="002A792F">
        <w:rPr>
          <w:i/>
        </w:rPr>
        <w:t>E. delegatensis</w:t>
      </w:r>
      <w:r w:rsidR="00022403">
        <w:t xml:space="preserve"> (alpine ash) forests, a single fire triggered mass regeneration but a second fire in quick succession killed 97% of the regenerating forest. Their research demonstrated vulnerability of long-lived obligate seeder species to population collapse, which would occur if there was to be an abrupt increase in the frequency of high</w:t>
      </w:r>
      <w:r w:rsidR="007055A8">
        <w:t xml:space="preserve"> </w:t>
      </w:r>
      <w:r w:rsidR="00022403">
        <w:t>severity fires.</w:t>
      </w:r>
      <w:r w:rsidR="00302A2D">
        <w:t xml:space="preserve"> </w:t>
      </w:r>
    </w:p>
    <w:p w14:paraId="0DFAC2C3" w14:textId="29D471B5" w:rsidR="00402AF1" w:rsidRDefault="00022403" w:rsidP="00022403">
      <w:pPr>
        <w:pStyle w:val="Para0"/>
      </w:pPr>
      <w:r>
        <w:t>Lindenm</w:t>
      </w:r>
      <w:r w:rsidR="00A15474">
        <w:t>a</w:t>
      </w:r>
      <w:r>
        <w:t xml:space="preserve">yer </w:t>
      </w:r>
      <w:r w:rsidR="001C1F9A" w:rsidRPr="001C1F9A">
        <w:rPr>
          <w:i/>
        </w:rPr>
        <w:t>et al.</w:t>
      </w:r>
      <w:r>
        <w:t xml:space="preserve"> (2011) describe</w:t>
      </w:r>
      <w:r w:rsidR="00761B0A">
        <w:t>d</w:t>
      </w:r>
      <w:r>
        <w:t xml:space="preserve"> the concept of the “landscape trap”, using </w:t>
      </w:r>
      <w:r w:rsidRPr="002A792F">
        <w:rPr>
          <w:i/>
        </w:rPr>
        <w:t>E</w:t>
      </w:r>
      <w:r w:rsidR="00967161">
        <w:rPr>
          <w:i/>
        </w:rPr>
        <w:t>. </w:t>
      </w:r>
      <w:r w:rsidRPr="002A792F">
        <w:rPr>
          <w:i/>
        </w:rPr>
        <w:t>regnans</w:t>
      </w:r>
      <w:r>
        <w:t xml:space="preserve"> </w:t>
      </w:r>
      <w:r w:rsidR="002A1AAE">
        <w:t xml:space="preserve">(mountain ash) </w:t>
      </w:r>
      <w:r>
        <w:t xml:space="preserve">forests as an example, whereby </w:t>
      </w:r>
    </w:p>
    <w:p w14:paraId="0E7A6071" w14:textId="62DC294A" w:rsidR="00402AF1" w:rsidRDefault="00022403" w:rsidP="00FA1991">
      <w:pPr>
        <w:pStyle w:val="Para0"/>
        <w:spacing w:before="60"/>
        <w:ind w:left="709"/>
      </w:pPr>
      <w:r w:rsidRPr="00FA1991">
        <w:rPr>
          <w:i/>
          <w:iCs/>
        </w:rPr>
        <w:t>entire landscapes are shifted into, and then maintained (trapped) in, a highly compromised structural and functional state as the result of multiple temporal and spatial feedbacks between human and natural disturbance regimes</w:t>
      </w:r>
      <w:r>
        <w:t xml:space="preserve">. </w:t>
      </w:r>
    </w:p>
    <w:p w14:paraId="2BB5E620" w14:textId="3328EB4D" w:rsidR="00022403" w:rsidRDefault="00022403" w:rsidP="00022403">
      <w:pPr>
        <w:pStyle w:val="Para0"/>
      </w:pPr>
      <w:r>
        <w:t>Lindenm</w:t>
      </w:r>
      <w:r w:rsidR="00A15474">
        <w:t>a</w:t>
      </w:r>
      <w:r>
        <w:t xml:space="preserve">yer </w:t>
      </w:r>
      <w:r w:rsidR="001C1F9A" w:rsidRPr="001C1F9A">
        <w:rPr>
          <w:i/>
        </w:rPr>
        <w:t>et al.</w:t>
      </w:r>
      <w:r>
        <w:t xml:space="preserve"> (2011) hypothesi</w:t>
      </w:r>
      <w:r w:rsidR="00967161">
        <w:t>s</w:t>
      </w:r>
      <w:r>
        <w:t>e</w:t>
      </w:r>
      <w:r w:rsidR="00761B0A">
        <w:t>d</w:t>
      </w:r>
      <w:r>
        <w:t xml:space="preserve"> that logging in </w:t>
      </w:r>
      <w:r w:rsidRPr="002A792F">
        <w:rPr>
          <w:i/>
        </w:rPr>
        <w:t>E. regnans</w:t>
      </w:r>
      <w:r>
        <w:t xml:space="preserve"> forests has changed the age structure of this forest type from predominantly (up to 60</w:t>
      </w:r>
      <w:r w:rsidR="00967161">
        <w:rPr>
          <w:rFonts w:cs="Arial"/>
        </w:rPr>
        <w:t>–</w:t>
      </w:r>
      <w:r>
        <w:t>80%) old-growth (250</w:t>
      </w:r>
      <w:r w:rsidR="00967161">
        <w:rPr>
          <w:rFonts w:cs="Arial"/>
        </w:rPr>
        <w:t>–</w:t>
      </w:r>
      <w:r>
        <w:t xml:space="preserve">400 years) that existed 100–150 years ago, to predominantly (almost 99%) regrowth today. They argue that dense young </w:t>
      </w:r>
      <w:r w:rsidRPr="002A792F">
        <w:rPr>
          <w:i/>
          <w:iCs/>
        </w:rPr>
        <w:t>E. regnans</w:t>
      </w:r>
      <w:r>
        <w:t xml:space="preserve"> stands are more fire-prone and that the interacting effect</w:t>
      </w:r>
      <w:r w:rsidR="00F45D54">
        <w:t xml:space="preserve">s </w:t>
      </w:r>
      <w:r>
        <w:t>of continued logging and increased wildfire frequency ha</w:t>
      </w:r>
      <w:r w:rsidR="00F45D54">
        <w:t>ve</w:t>
      </w:r>
      <w:r>
        <w:t xml:space="preserve"> “trapped” these forests in a perpetually young state, leading to a higher risk of repeated burns before reproductive maturity, which may ultimately cause a shift to an alternative vegetation state</w:t>
      </w:r>
      <w:r w:rsidR="00967161">
        <w:t>:</w:t>
      </w:r>
      <w:r>
        <w:t xml:space="preserve"> for example</w:t>
      </w:r>
      <w:r w:rsidR="00967161">
        <w:t>,</w:t>
      </w:r>
      <w:r>
        <w:t xml:space="preserve"> replacemen</w:t>
      </w:r>
      <w:r w:rsidR="00C95629">
        <w:t xml:space="preserve">t of </w:t>
      </w:r>
      <w:r w:rsidR="00C95629" w:rsidRPr="002A792F">
        <w:rPr>
          <w:i/>
        </w:rPr>
        <w:t>E. regnans</w:t>
      </w:r>
      <w:r w:rsidR="00C95629">
        <w:t xml:space="preserve"> with </w:t>
      </w:r>
      <w:r w:rsidR="00C95629" w:rsidRPr="002A792F">
        <w:rPr>
          <w:i/>
        </w:rPr>
        <w:t xml:space="preserve">Acacia </w:t>
      </w:r>
      <w:r w:rsidR="006F7EBF" w:rsidRPr="002A792F">
        <w:rPr>
          <w:i/>
        </w:rPr>
        <w:t>dealbata</w:t>
      </w:r>
      <w:r>
        <w:t xml:space="preserve"> as the dominant species.</w:t>
      </w:r>
    </w:p>
    <w:p w14:paraId="7613AEF2" w14:textId="06A6AAAF" w:rsidR="00F45D54" w:rsidRDefault="00022403" w:rsidP="00022403">
      <w:pPr>
        <w:pStyle w:val="Para0"/>
      </w:pPr>
      <w:r>
        <w:t xml:space="preserve">Field investigations have attempted to quantify the moisture content of fuel load in </w:t>
      </w:r>
      <w:r w:rsidRPr="002A792F">
        <w:rPr>
          <w:i/>
          <w:iCs/>
        </w:rPr>
        <w:t>E. regnans</w:t>
      </w:r>
      <w:r>
        <w:t xml:space="preserve"> forests</w:t>
      </w:r>
      <w:r w:rsidR="009660FF">
        <w:t xml:space="preserve"> with different disturbance histories</w:t>
      </w:r>
      <w:r>
        <w:t xml:space="preserve"> to test the validity of the proposed “landscape trap”.</w:t>
      </w:r>
      <w:r w:rsidR="00927754">
        <w:t xml:space="preserve"> </w:t>
      </w:r>
      <w:r w:rsidR="00927754">
        <w:fldChar w:fldCharType="begin" w:fldLock="1"/>
      </w:r>
      <w:r w:rsidR="007416C7">
        <w:instrText>ADDIN CSL_CITATION {"citationItems":[{"id":"ITEM-1","itemData":{"DOI":"10.1016/j.foreco.2017.06.046","ISSN":"03781127","abstract":"Fuel moisture is a key driver of forest flammability as it influences ignition likelihood, fire intensity and resultant fire severity. Changes to forest canopy cover following disturbances like wildfire or logging may alter forest flammability by changing the microclimatic conditions that influence fine fuel moisture. Wet forests dominated by Mountain Ash (Eucalyptus regnans) are highly valued for their flora and fauna, timber, carbon and water. Wildfires are an important part of the lifecycle of these forests, but too frequent fire can threaten post-fire regeneration. With large tracts of Mountain Ash forest recovering from recent wildfires (in 2009 and 1983) there is a need to understand the mechanisms driving flammability in these forests, particularly as the forest structure changes following fire. This study sought to understand the effects of fire history on the flammability of Mountain Ash forests by specifically considering fuel moisture for different times since fire and fire severities. We measured canopy cover (plant area index) and fuel moisture within 8 forest sites last burnt between 7 and 200 years ago by wildfires of low or high severity. Fuel moisture and fuel availability (i.e. number of days when fine fuels are dry enough to ignite and sustain spreading fire) were strongly associated with canopy cover; with denser canopied forests having higher fuel moisture. The largest differences in canopy cover occurred between the recently burnt high and low severity forests. For the longer-unburnt forests there were no systematic differences evident in canopy cover with time since fire or fire severity. The fuel moisture was higher and fuels only available to burn on one day in the forest recently burnt by high severity fire (in association with a dense canopy). In contrast, fuels were drier and available to burn on 238 days in the forest recently burnt by low severity fire (in association with a sparser canopy). For the longer-unburnt forests (33 or more years since fire) there were no clear trends between fuel moisture and time since fire and fire severity suggesting that fires do not have a lasting impact on fuel moisture within these wet forests. Overall, this study shows that wildfires have immediate impacts on fuel moisture in Mountain Ash forests but as the time since fire increases, moisture appears to be more a function of canopy properties than fire history.","author":[{"dropping-particle":"","family":"Cawson","given":"Jane G.","non-dropping-particle":"","parse-names":false,"suffix":""},{"dropping-particle":"","family":"Duff","given":"Thomas J.","non-dropping-particle":"","parse-names":false,"suffix":""},{"dropping-particle":"","family":"Tolhurst","given":"Kevin G.","non-dropping-particle":"","parse-names":false,"suffix":""},{"dropping-particle":"","family":"Baillie","given":"Craig C.","non-dropping-particle":"","parse-names":false,"suffix":""},{"dropping-particle":"","family":"Penman","given":"Trent D.","non-dropping-particle":"","parse-names":false,"suffix":""}],"container-title":"Forest Ecology and Management","id":"ITEM-1","issued":{"date-parts":[["2017"]]},"page":"568-577","publisher":"Elsevier B.V.","title":"Fuel moisture in Mountain Ash forests with contrasting fire histories","type":"article-journal","volume":"400"},"uris":["http://www.mendeley.com/documents/?uuid=16f37c14-8592-4306-bbcc-7841e691b3ab"]}],"mendeley":{"formattedCitation":"(Cawson &lt;i&gt;et al.&lt;/i&gt;, 2017)","manualFormatting":"Cawson et al. (2017)","plainTextFormattedCitation":"(Cawson et al., 2017)","previouslyFormattedCitation":"(Cawson &lt;i&gt;et al.&lt;/i&gt;, 2017)"},"properties":{"noteIndex":0},"schema":"https://github.com/citation-style-language/schema/raw/master/csl-citation.json"}</w:instrText>
      </w:r>
      <w:r w:rsidR="00927754">
        <w:fldChar w:fldCharType="separate"/>
      </w:r>
      <w:r w:rsidR="00927754" w:rsidRPr="00927754">
        <w:rPr>
          <w:noProof/>
        </w:rPr>
        <w:t xml:space="preserve">Cawson </w:t>
      </w:r>
      <w:r w:rsidR="001C1F9A" w:rsidRPr="001C1F9A">
        <w:rPr>
          <w:i/>
          <w:noProof/>
        </w:rPr>
        <w:t>et al.</w:t>
      </w:r>
      <w:r w:rsidR="00927754" w:rsidRPr="00927754">
        <w:rPr>
          <w:noProof/>
        </w:rPr>
        <w:t xml:space="preserve"> </w:t>
      </w:r>
      <w:r w:rsidR="00927754">
        <w:rPr>
          <w:noProof/>
        </w:rPr>
        <w:t>(</w:t>
      </w:r>
      <w:r w:rsidR="00927754" w:rsidRPr="00927754">
        <w:rPr>
          <w:noProof/>
        </w:rPr>
        <w:t>2017)</w:t>
      </w:r>
      <w:r w:rsidR="00927754">
        <w:fldChar w:fldCharType="end"/>
      </w:r>
      <w:r>
        <w:t xml:space="preserve"> found that fuel moisture in the first few years following a bushfire was linked to the canopy cover that redevelops. Their results suggested that</w:t>
      </w:r>
      <w:r w:rsidR="009660FF">
        <w:t xml:space="preserve"> densely canopied eucalypt </w:t>
      </w:r>
      <w:r w:rsidR="009660FF">
        <w:lastRenderedPageBreak/>
        <w:t>forests regenerating from</w:t>
      </w:r>
      <w:r>
        <w:t xml:space="preserve"> high intensity bushfires</w:t>
      </w:r>
      <w:r w:rsidR="009660FF">
        <w:t xml:space="preserve"> (7 year old stands)</w:t>
      </w:r>
      <w:r>
        <w:t xml:space="preserve"> </w:t>
      </w:r>
      <w:r w:rsidR="009660FF">
        <w:t>have higher fuel moistures than older forests</w:t>
      </w:r>
      <w:r>
        <w:t xml:space="preserve">, </w:t>
      </w:r>
      <w:r w:rsidR="009660FF">
        <w:t xml:space="preserve">reducing </w:t>
      </w:r>
      <w:r>
        <w:t>the</w:t>
      </w:r>
      <w:r w:rsidR="009660FF">
        <w:t>ir</w:t>
      </w:r>
      <w:r>
        <w:t xml:space="preserve"> susceptibility to fire. Conversely, </w:t>
      </w:r>
      <w:r w:rsidR="009660FF">
        <w:t xml:space="preserve">more sparsely canopied forest regenerating from </w:t>
      </w:r>
      <w:r>
        <w:t>low intensity fires</w:t>
      </w:r>
      <w:r w:rsidR="009660FF">
        <w:t xml:space="preserve"> had</w:t>
      </w:r>
      <w:r>
        <w:t xml:space="preserve"> low</w:t>
      </w:r>
      <w:r w:rsidR="009660FF">
        <w:t>er</w:t>
      </w:r>
      <w:r>
        <w:t xml:space="preserve"> moisture content</w:t>
      </w:r>
      <w:r w:rsidR="009660FF">
        <w:t>s</w:t>
      </w:r>
      <w:r>
        <w:t xml:space="preserve">, </w:t>
      </w:r>
      <w:r w:rsidR="009660FF">
        <w:t xml:space="preserve">increasing </w:t>
      </w:r>
      <w:r>
        <w:t xml:space="preserve">the susceptibility </w:t>
      </w:r>
      <w:r w:rsidR="009660FF">
        <w:t>of the forest to</w:t>
      </w:r>
      <w:r>
        <w:t xml:space="preserve"> fire. </w:t>
      </w:r>
    </w:p>
    <w:p w14:paraId="5225872F" w14:textId="680EB892" w:rsidR="00F45D54" w:rsidRDefault="00927754" w:rsidP="00022403">
      <w:pPr>
        <w:pStyle w:val="Para0"/>
      </w:pPr>
      <w:r>
        <w:fldChar w:fldCharType="begin" w:fldLock="1"/>
      </w:r>
      <w:r w:rsidR="007416C7">
        <w:instrText>ADDIN CSL_CITATION {"citationItems":[{"id":"ITEM-1","itemData":{"DOI":"10.1002/ecs2.2211","ISSN":"21508925","abstract":"There are multiple pathways for vegetation to change following disturbances. Understanding those post-disturbance pathways is critical for managing wildfire risk since vegetation is fuel in a wildfire context. Across forest systems, there is considerable debate about disturbance-related changes to fuels and flammability. This study investigated post-disturbance fuel trajectories following three disturbance types—high severity wildfire, low severity wildfire, and clear-fell logging. Fuels were measured in a chrono-sequence of 141 sites in Mountain Ash (Eucalyptus regnans)-dominated wet sclerophyll forest in southeastern Australia, a particularly contentious forest system. Wildfires are an important part of the lifecycle of these forests, but too frequent fire can threaten post-fire regeneration. Large wildfires (in 2009, 1983 and 1939) and ongoing public and scientific debate over clear-fell logging highlight the need to better understand post-disturbance trajectories for fuel and flammability in wet sclerophyll forests. We used empirical data to test 10, sometimes contradictory, hypotheses from the scientific literature regarding post-disturbance pathways for fuel following wildfire and logging. Only five hypotheses were supported with surface fine fuels, fuel hazard, species composition, and vertical structure driving overall differences in post-disturbance fuel trajectories. The implications for flammability remain uncertain because the independent and interactive effects of many fuel components on overall flammability remain unquantified. Importantly, we found there were always high quantities of fuel, irrespective of disturbance history, which demonstrates that fire occurrence is not fuel-limited in wet sclerophyll forests. Under conditions of abundant fuel, fuel moisture could become critical to fire occurrence. Therefore, forest management should prioritize efforts to quantify not only the importance of individual fuel components to flammability but also fuel moisture dynamics in wet sclerophyll forests. As the climate (and fuels) becomes drier under climate change, it will be a major challenge to manage fire regimes in these highly valued forests.","author":[{"dropping-particle":"","family":"Cawson","given":"Jane G.","non-dropping-particle":"","parse-names":false,"suffix":""},{"dropping-particle":"","family":"Duff","given":"Thomas J.","non-dropping-particle":"","parse-names":false,"suffix":""},{"dropping-particle":"","family":"Swan","given":"Matthew H.","non-dropping-particle":"","parse-names":false,"suffix":""},{"dropping-particle":"","family":"Penman","given":"Trent D.","non-dropping-particle":"","parse-names":false,"suffix":""}],"container-title":"Ecosphere","id":"ITEM-1","issue":"5","issued":{"date-parts":[["2018"]]},"title":"Wildfire in wet sclerophyll forests: the interplay between disturbances and fuel dynamics","type":"article-journal","volume":"9"},"uris":["http://www.mendeley.com/documents/?uuid=1e4eff8a-8a46-4bd3-8c56-6d0533c36093"]}],"mendeley":{"formattedCitation":"(Cawson &lt;i&gt;et al.&lt;/i&gt;, 2018)","manualFormatting":"Cawson et al. (2018)","plainTextFormattedCitation":"(Cawson et al., 2018)","previouslyFormattedCitation":"(Cawson &lt;i&gt;et al.&lt;/i&gt;, 2018)"},"properties":{"noteIndex":0},"schema":"https://github.com/citation-style-language/schema/raw/master/csl-citation.json"}</w:instrText>
      </w:r>
      <w:r>
        <w:fldChar w:fldCharType="separate"/>
      </w:r>
      <w:r w:rsidRPr="00927754">
        <w:rPr>
          <w:noProof/>
        </w:rPr>
        <w:t xml:space="preserve">Cawson </w:t>
      </w:r>
      <w:r w:rsidR="001C1F9A" w:rsidRPr="001C1F9A">
        <w:rPr>
          <w:i/>
          <w:noProof/>
        </w:rPr>
        <w:t>et al.</w:t>
      </w:r>
      <w:r w:rsidRPr="00927754">
        <w:rPr>
          <w:noProof/>
        </w:rPr>
        <w:t xml:space="preserve"> </w:t>
      </w:r>
      <w:r>
        <w:rPr>
          <w:noProof/>
        </w:rPr>
        <w:t>(</w:t>
      </w:r>
      <w:r w:rsidRPr="00927754">
        <w:rPr>
          <w:noProof/>
        </w:rPr>
        <w:t>2018)</w:t>
      </w:r>
      <w:r>
        <w:fldChar w:fldCharType="end"/>
      </w:r>
      <w:r>
        <w:t xml:space="preserve"> </w:t>
      </w:r>
      <w:r w:rsidR="00022403">
        <w:t xml:space="preserve">looked </w:t>
      </w:r>
      <w:r w:rsidR="00F45D54">
        <w:t xml:space="preserve">further </w:t>
      </w:r>
      <w:r w:rsidR="00022403">
        <w:t xml:space="preserve">at fuel in Victorian </w:t>
      </w:r>
      <w:r w:rsidR="00022403" w:rsidRPr="002A792F">
        <w:rPr>
          <w:i/>
        </w:rPr>
        <w:t>E. regnans</w:t>
      </w:r>
      <w:r w:rsidR="00022403">
        <w:t xml:space="preserve"> (</w:t>
      </w:r>
      <w:r w:rsidR="00F45D54">
        <w:t>m</w:t>
      </w:r>
      <w:r w:rsidR="00022403">
        <w:t>ountain ash) forests</w:t>
      </w:r>
      <w:r w:rsidR="00F45D54">
        <w:t xml:space="preserve"> by comparing</w:t>
      </w:r>
      <w:r w:rsidR="00022403">
        <w:t xml:space="preserve"> fuel </w:t>
      </w:r>
      <w:r w:rsidR="009660FF">
        <w:t xml:space="preserve">properties </w:t>
      </w:r>
      <w:r w:rsidR="00022403">
        <w:t>in forests that were last burnt in the 1939</w:t>
      </w:r>
      <w:r w:rsidR="009660FF">
        <w:t>, 1983</w:t>
      </w:r>
      <w:r w:rsidR="00022403">
        <w:t xml:space="preserve"> and 2009 bushfires. They found that regardless of how long it had been since the forest </w:t>
      </w:r>
      <w:r w:rsidR="009660FF">
        <w:t>disturbance</w:t>
      </w:r>
      <w:r w:rsidR="00022403">
        <w:t xml:space="preserve">, </w:t>
      </w:r>
      <w:r w:rsidR="009660FF">
        <w:t>fuel hazards were high or greater, meaning ther</w:t>
      </w:r>
      <w:r w:rsidR="009C55DE">
        <w:t>e</w:t>
      </w:r>
      <w:r w:rsidR="009660FF">
        <w:t xml:space="preserve"> was always enough fue</w:t>
      </w:r>
      <w:r w:rsidR="00CB0BBC">
        <w:t>l</w:t>
      </w:r>
      <w:r w:rsidR="009660FF">
        <w:t xml:space="preserve"> to sustain a fire, regardless of forest age</w:t>
      </w:r>
      <w:r w:rsidR="00022403">
        <w:t xml:space="preserve">. </w:t>
      </w:r>
    </w:p>
    <w:p w14:paraId="7C4A12CB" w14:textId="79F67A94" w:rsidR="00022403" w:rsidRDefault="00927754" w:rsidP="00022403">
      <w:pPr>
        <w:pStyle w:val="Para0"/>
      </w:pPr>
      <w:r>
        <w:fldChar w:fldCharType="begin" w:fldLock="1"/>
      </w:r>
      <w:r w:rsidR="007416C7">
        <w:instrText>ADDIN CSL_CITATION {"citationItems":[{"id":"ITEM-1","itemData":{"DOI":"10.3390/f10050436","ISSN":"19994907","abstract":"High frequency wildfires can shift the structure and composition of obligate seeder forests and initiate replacement with alternative vegetation states. In some forests, the alternative stable state is drier and more easily burned by subsequent fires, driving a positive feedback that promotes further wildfire and perpetuates alternative stable states. Mountain Ash (Eucalyptus regnans (F.Muell.)) forests are highly valued for their biodiversity, water, timber and carbon. Fires are a natural part of the lifecycle of these forests, but too frequent fires can eliminate Mountain Ash and trigger a transition to lower stature, non-eucalypt forests which are dominated by understorey species. This study sought to better understand the fuel moisture dynamics of alternative stable states resulting from high frequency wildfires. A vegetation mosaic in the Central Highlands, Victoria created a unique opportunity to measure fuel moisture in adjacent forest stands that differed in overstorey species composition and time since fire. Specifically, we measured fuel moisture and microclimate at two eucalypt sites (9 and 79 years old) and three non-eucalypt sites (two 9 year old and one 79 year old). Fuel availability, defined here as the number of days surface fuels were below 16% and dry enough to ignite and sustain fire, was calculated to estimate flammability. Fuel availability differed between sites, particularly as a function of time since fire, with recently burnt sites available to burn more often (4–17 versus 0–3 days). There were differences in fuel availability between non-eucalypt sites of the same age, suggesting that high frequency fire does not always lead to the same vegetation condition or outcome for fuel availability. This indicates there is potential for both positive and negative flammability feedbacks following state transition depending on the composition of the non-eucalypt state. This is the first study to provide empirical insight into the fuel moisture dynamics of alternative stable states in Mountain Ash forests.","author":[{"dropping-particle":"","family":"Burton","given":"Jamie","non-dropping-particle":"","parse-names":false,"suffix":""},{"dropping-particle":"","family":"Cawson","given":"Jane","non-dropping-particle":"","parse-names":false,"suffix":""},{"dropping-particle":"","family":"Noske","given":"Philip","non-dropping-particle":"","parse-names":false,"suffix":""},{"dropping-particle":"","family":"Sheridan","given":"Gary","non-dropping-particle":"","parse-names":false,"suffix":""}],"container-title":"Forests","id":"ITEM-1","issue":"5","issued":{"date-parts":[["2019"]]},"page":"436-452","title":"Shifting states, altered fates: Divergent fuel moisture responses after high frequency wildfire in an obligate seeder Eucalypt forest","type":"article-journal","volume":"10"},"uris":["http://www.mendeley.com/documents/?uuid=8c5d5037-e954-4b54-aca4-6b1656d56870"]}],"mendeley":{"formattedCitation":"(Burton &lt;i&gt;et al.&lt;/i&gt;, 2019)","manualFormatting":"Burton et al. (2019)","plainTextFormattedCitation":"(Burton et al., 2019)","previouslyFormattedCitation":"(Burton &lt;i&gt;et al.&lt;/i&gt;, 2019)"},"properties":{"noteIndex":0},"schema":"https://github.com/citation-style-language/schema/raw/master/csl-citation.json"}</w:instrText>
      </w:r>
      <w:r>
        <w:fldChar w:fldCharType="separate"/>
      </w:r>
      <w:r w:rsidRPr="00927754">
        <w:rPr>
          <w:noProof/>
        </w:rPr>
        <w:t xml:space="preserve">Burton </w:t>
      </w:r>
      <w:r w:rsidR="001C1F9A" w:rsidRPr="001C1F9A">
        <w:rPr>
          <w:i/>
          <w:noProof/>
        </w:rPr>
        <w:t>et al.</w:t>
      </w:r>
      <w:r w:rsidRPr="00927754">
        <w:rPr>
          <w:noProof/>
        </w:rPr>
        <w:t xml:space="preserve"> </w:t>
      </w:r>
      <w:r>
        <w:rPr>
          <w:noProof/>
        </w:rPr>
        <w:t>(</w:t>
      </w:r>
      <w:r w:rsidRPr="00927754">
        <w:rPr>
          <w:noProof/>
        </w:rPr>
        <w:t>2019)</w:t>
      </w:r>
      <w:r>
        <w:fldChar w:fldCharType="end"/>
      </w:r>
      <w:r>
        <w:t xml:space="preserve"> </w:t>
      </w:r>
      <w:r w:rsidR="00081024">
        <w:t>examined fuel moisture in</w:t>
      </w:r>
      <w:r w:rsidR="00022403">
        <w:t xml:space="preserve"> alternative stable states </w:t>
      </w:r>
      <w:r w:rsidR="00081024">
        <w:t>of</w:t>
      </w:r>
      <w:r w:rsidR="00022403">
        <w:t xml:space="preserve"> an ash-type forest</w:t>
      </w:r>
      <w:r w:rsidR="00081024">
        <w:t xml:space="preserve"> following bushfre (eucalypt versus non-eucalypt</w:t>
      </w:r>
      <w:r w:rsidR="00CB0BBC">
        <w:t>).</w:t>
      </w:r>
      <w:r w:rsidR="00081024" w:rsidRPr="00081024">
        <w:t xml:space="preserve"> </w:t>
      </w:r>
      <w:r w:rsidR="00081024">
        <w:t xml:space="preserve">They found that younger ash forest was moister and less susceptible to fire than older ash forest, which is contrary to Cawson </w:t>
      </w:r>
      <w:r w:rsidR="00081024" w:rsidRPr="00C611F3">
        <w:rPr>
          <w:i/>
          <w:iCs/>
        </w:rPr>
        <w:t>et al</w:t>
      </w:r>
      <w:r w:rsidR="00081024">
        <w:t>. (2018) and highlights a lack of certainty about the effects of age on moisture status. They also found that a transition to non-eucalypt forest has the potential to cause both positive and negative flammability feedbacks following the state transition, depending on the composition of the non-eucalypt state.</w:t>
      </w:r>
      <w:r w:rsidR="00022403">
        <w:t xml:space="preserve"> In summary, there is currently inconclusive evidence that timber harvesting creates a </w:t>
      </w:r>
      <w:r w:rsidR="00743981">
        <w:t>“</w:t>
      </w:r>
      <w:r w:rsidR="00022403">
        <w:t>landscape trap</w:t>
      </w:r>
      <w:r w:rsidR="00743981">
        <w:t>”</w:t>
      </w:r>
      <w:r w:rsidR="00022403">
        <w:t xml:space="preserve"> in </w:t>
      </w:r>
      <w:r w:rsidR="00022403" w:rsidRPr="002A792F">
        <w:rPr>
          <w:i/>
        </w:rPr>
        <w:t>E. regnans</w:t>
      </w:r>
      <w:r w:rsidR="00022403">
        <w:t xml:space="preserve"> forests.</w:t>
      </w:r>
    </w:p>
    <w:p w14:paraId="2531263D" w14:textId="7DCB8F8E" w:rsidR="000A2027" w:rsidRDefault="000A2027" w:rsidP="000A2027">
      <w:pPr>
        <w:pStyle w:val="Para0"/>
      </w:pPr>
      <w:r>
        <w:t xml:space="preserve">Recent research also examines the potential for changes in </w:t>
      </w:r>
      <w:r w:rsidR="00A556DF">
        <w:t xml:space="preserve">actual evapotranspiration </w:t>
      </w:r>
      <w:r>
        <w:t>due to changes in forest type as a result of increased fire frequency</w:t>
      </w:r>
      <w:r w:rsidR="00BF4BC8">
        <w:t>;</w:t>
      </w:r>
      <w:r>
        <w:t xml:space="preserve"> for example</w:t>
      </w:r>
      <w:r w:rsidR="00BF4BC8">
        <w:t>,</w:t>
      </w:r>
      <w:r>
        <w:t xml:space="preserve"> conversion of eucalypt to acacia forest. One study </w:t>
      </w:r>
      <w:r w:rsidR="00927754">
        <w:fldChar w:fldCharType="begin" w:fldLock="1"/>
      </w:r>
      <w:r w:rsidR="007416C7">
        <w:instrText>ADDIN CSL_CITATION {"citationItems":[{"id":"ITEM-1","itemData":{"DOI":"10.1016/j.foreco.2010.01.006","ISSN":"03781127","abstract":"We examined water use by maturing Eucalyptus regnans, growing with or without an mid-storey stratum of Acacia spp. (Acacia dealbata or A. melanoxylon), for &gt;180 consecutive days. Study sites were located in the Upper Yarra catchment area in south-eastern Australia. Depending on their contribution to stand basal area, mid-storey Acacia spp. increased total stand water use by up to 30%. Monthly water use in such stands reached more than 640,000 L ha-1 (compared to 545,000 L ha-1 in stands where acacias were absent) in early spring. Water use was curvilinearly related to sapwood area of Acacia spp. and logistically related to sapwood area of E. regnans. Water use of all three species showed a strong relation to daily maximum air temperatures. Distinct and simple relationships provide clear guides to the likely impacts of climate change and forest management on water yield. We compared a traditional up-scaling approach, from individual tree water use to stand water use, to a new approach that incorporates variation in temperature. Development of this approach can lead to greater precision of stand water use estimates - and in turn catchment water yield - under current climate change scenarios, which predict a rise in air temperatures of 0.6-2.5 °C by 2050 for the study area. Our temperature-dependent approach suggests that under conditions of non-limiting water availability, stand water use will rise by 2% for every 0.25 °C increase in maximum air temperatures during winter, and possibly more than that during summer. © 2010 Elsevier B.V. All rights reserved.","author":[{"dropping-particle":"","family":"Pfautsch","given":"Sebastian","non-dropping-particle":"","parse-names":false,"suffix":""},{"dropping-particle":"","family":"Bleby","given":"Tim M.","non-dropping-particle":"","parse-names":false,"suffix":""},{"dropping-particle":"","family":"Rennenberg","given":"Heinz","non-dropping-particle":"","parse-names":false,"suffix":""},{"dropping-particle":"","family":"Adams","given":"Mark A.","non-dropping-particle":"","parse-names":false,"suffix":""}],"container-title":"Forest Ecology and Management","id":"ITEM-1","issue":"6","issued":{"date-parts":[["2010"]]},"page":"1190-1199","title":"Sap flow measurements reveal influence of temperature and stand structure on water use of Eucalyptus regnans forests","type":"article-journal","volume":"259"},"uris":["http://www.mendeley.com/documents/?uuid=a1beaf8b-4a6e-4b9e-92e7-46f070c55e79"]}],"mendeley":{"formattedCitation":"(Pfautsch &lt;i&gt;et al.&lt;/i&gt;, 2010)","plainTextFormattedCitation":"(Pfautsch et al., 2010)","previouslyFormattedCitation":"(Pfautsch &lt;i&gt;et al.&lt;/i&gt;, 2010)"},"properties":{"noteIndex":0},"schema":"https://github.com/citation-style-language/schema/raw/master/csl-citation.json"}</w:instrText>
      </w:r>
      <w:r w:rsidR="00927754">
        <w:fldChar w:fldCharType="separate"/>
      </w:r>
      <w:r w:rsidR="007416C7" w:rsidRPr="007416C7">
        <w:rPr>
          <w:noProof/>
        </w:rPr>
        <w:t xml:space="preserve">(Pfautsch </w:t>
      </w:r>
      <w:r w:rsidR="007416C7" w:rsidRPr="007416C7">
        <w:rPr>
          <w:i/>
          <w:noProof/>
        </w:rPr>
        <w:t>et al.</w:t>
      </w:r>
      <w:r w:rsidR="007416C7" w:rsidRPr="007416C7">
        <w:rPr>
          <w:noProof/>
        </w:rPr>
        <w:t>, 2010)</w:t>
      </w:r>
      <w:r w:rsidR="00927754">
        <w:fldChar w:fldCharType="end"/>
      </w:r>
      <w:r>
        <w:t xml:space="preserve"> suggests that when </w:t>
      </w:r>
      <w:r w:rsidR="00BF4BC8">
        <w:t>a</w:t>
      </w:r>
      <w:r>
        <w:t xml:space="preserve">cacia is a significant mid-story component of </w:t>
      </w:r>
      <w:r w:rsidRPr="002A792F">
        <w:rPr>
          <w:i/>
        </w:rPr>
        <w:t>E.</w:t>
      </w:r>
      <w:r w:rsidR="00BF4BC8" w:rsidRPr="002A792F">
        <w:rPr>
          <w:i/>
        </w:rPr>
        <w:t> </w:t>
      </w:r>
      <w:r w:rsidRPr="002A792F">
        <w:rPr>
          <w:i/>
        </w:rPr>
        <w:t>regnans</w:t>
      </w:r>
      <w:r>
        <w:t xml:space="preserve"> forests, transpiration is increased, whereas a more recent study</w:t>
      </w:r>
      <w:r w:rsidR="00927754">
        <w:t xml:space="preserve"> </w:t>
      </w:r>
      <w:r w:rsidR="00927754">
        <w:fldChar w:fldCharType="begin" w:fldLock="1"/>
      </w:r>
      <w:r w:rsidR="00D11C5B">
        <w:instrText>ADDIN CSL_CITATION {"citationItems":[{"id":"ITEM-1","itemData":{"DOI":"10.1002/hyp.11410","author":[{"dropping-particle":"","family":"Hawthorne","given":"Sandra N D","non-dropping-particle":"","parse-names":false,"suffix":""},{"dropping-particle":"","family":"Benyon","given":"Richard G","non-dropping-particle":"","parse-names":false,"suffix":""},{"dropping-particle":"","family":"Lane","given":"Patrick N J","non-dropping-particle":"","parse-names":false,"suffix":""}],"container-title":"Hydrological processes","id":"ITEM-1","issue":"2","issued":{"date-parts":[["2018"]]},"page":"241-252","publisher":"Wiley Online Library","title":"Changes in evapotranspiration components following replacement of Eucalyptus regnans with Acacia species","type":"article-journal","volume":"32"},"uris":["http://www.mendeley.com/documents/?uuid=6ecd8b87-d7f4-4c21-a1a4-60bf0adb34b8"]}],"mendeley":{"formattedCitation":"(Hawthorne &lt;i&gt;et al.&lt;/i&gt;, 2018)","plainTextFormattedCitation":"(Hawthorne et al., 2018)","previouslyFormattedCitation":"(Hawthorne &lt;i&gt;et al.&lt;/i&gt;, 2018)"},"properties":{"noteIndex":0},"schema":"https://github.com/citation-style-language/schema/raw/master/csl-citation.json"}</w:instrText>
      </w:r>
      <w:r w:rsidR="00927754">
        <w:fldChar w:fldCharType="separate"/>
      </w:r>
      <w:r w:rsidR="007416C7" w:rsidRPr="007416C7">
        <w:rPr>
          <w:noProof/>
        </w:rPr>
        <w:t xml:space="preserve">(Hawthorne </w:t>
      </w:r>
      <w:r w:rsidR="007416C7" w:rsidRPr="007416C7">
        <w:rPr>
          <w:i/>
          <w:noProof/>
        </w:rPr>
        <w:t>et al.</w:t>
      </w:r>
      <w:r w:rsidR="007416C7" w:rsidRPr="007416C7">
        <w:rPr>
          <w:noProof/>
        </w:rPr>
        <w:t>, 2018)</w:t>
      </w:r>
      <w:r w:rsidR="00927754">
        <w:fldChar w:fldCharType="end"/>
      </w:r>
      <w:r>
        <w:t xml:space="preserve"> indicates that complete replacement of </w:t>
      </w:r>
      <w:r w:rsidRPr="002A792F">
        <w:rPr>
          <w:i/>
        </w:rPr>
        <w:t>E. regnans</w:t>
      </w:r>
      <w:r>
        <w:t xml:space="preserve"> with </w:t>
      </w:r>
      <w:r w:rsidR="00BF4BC8">
        <w:t>a</w:t>
      </w:r>
      <w:r>
        <w:t>cacia might reduce AET in the long</w:t>
      </w:r>
      <w:r w:rsidR="00126138">
        <w:t xml:space="preserve"> </w:t>
      </w:r>
      <w:r>
        <w:t xml:space="preserve">term. </w:t>
      </w:r>
    </w:p>
    <w:p w14:paraId="66CC9E7B" w14:textId="61AB1469" w:rsidR="006278CB" w:rsidRDefault="00126138" w:rsidP="000A2027">
      <w:pPr>
        <w:pStyle w:val="Para0"/>
      </w:pPr>
      <w:r>
        <w:t>T</w:t>
      </w:r>
      <w:r w:rsidR="006278CB">
        <w:t>he studies discussed in this section have characterised the interactions between climate change, bushfire occurrence and severity, timber harvesting and regeneration of eucalypt forests after disturbances</w:t>
      </w:r>
      <w:r>
        <w:t>.</w:t>
      </w:r>
      <w:r w:rsidR="006278CB">
        <w:t xml:space="preserve"> </w:t>
      </w:r>
      <w:r>
        <w:t xml:space="preserve">There </w:t>
      </w:r>
      <w:r w:rsidR="006278CB">
        <w:t>have been no studies that have attempted to assess the impacts on catchment water yield from interactions between factors. Further modelling could investigate the sensitivity of catchment water yield to the input relationships between climate change, bushfire occurrence and severity, disturbance of the forest by logging or previous fires</w:t>
      </w:r>
      <w:r>
        <w:t>,</w:t>
      </w:r>
      <w:r w:rsidR="006278CB">
        <w:t xml:space="preserve"> and transitions in forest types.</w:t>
      </w:r>
    </w:p>
    <w:p w14:paraId="5C551A54" w14:textId="7FC863F5" w:rsidR="000A2027" w:rsidRDefault="000A2027" w:rsidP="00121736">
      <w:pPr>
        <w:pStyle w:val="Para0"/>
        <w:pageBreakBefore/>
        <w:pBdr>
          <w:top w:val="single" w:sz="4" w:space="1" w:color="auto"/>
          <w:left w:val="single" w:sz="4" w:space="4" w:color="auto"/>
          <w:bottom w:val="single" w:sz="4" w:space="1" w:color="auto"/>
          <w:right w:val="single" w:sz="4" w:space="4" w:color="auto"/>
        </w:pBdr>
      </w:pPr>
      <w:r w:rsidRPr="000A6466">
        <w:rPr>
          <w:b/>
          <w:bCs/>
        </w:rPr>
        <w:lastRenderedPageBreak/>
        <w:t>In summary</w:t>
      </w:r>
      <w:r w:rsidRPr="00627104">
        <w:rPr>
          <w:b/>
          <w:bCs/>
        </w:rPr>
        <w:t>,</w:t>
      </w:r>
      <w:r>
        <w:t xml:space="preserve"> </w:t>
      </w:r>
      <w:r w:rsidR="00F71A09">
        <w:t>WWS2008 identified that the combined impacts of bushfires, climate change and timber harvesting were not assessed</w:t>
      </w:r>
      <w:r w:rsidR="00743981">
        <w:t>,</w:t>
      </w:r>
      <w:r w:rsidR="00F71A09">
        <w:t xml:space="preserve"> and recommended future modelling to resolve this limitation </w:t>
      </w:r>
      <w:r w:rsidR="00743981">
        <w:t xml:space="preserve">on the conclusions </w:t>
      </w:r>
      <w:r w:rsidR="00F71A09">
        <w:t xml:space="preserve">of WWS2008. Mein’s recommendation was that the </w:t>
      </w:r>
      <w:r w:rsidR="004E3101">
        <w:t>Monte Carlo</w:t>
      </w:r>
      <w:r w:rsidR="00F71A09">
        <w:t xml:space="preserve"> simulation approach adopted should consider the feedbacks between climate change and bushfire frequency, extent and severity. </w:t>
      </w:r>
      <w:r w:rsidR="00126138">
        <w:t>I</w:t>
      </w:r>
      <w:r w:rsidR="00F71A09">
        <w:t xml:space="preserve">nvestigations since 2008 about the feedbacks between bushfires, climate change and timber harvesting </w:t>
      </w:r>
      <w:r w:rsidR="00126138">
        <w:t>have not clarified the combined impacts. However</w:t>
      </w:r>
      <w:r w:rsidR="00F71A09">
        <w:t xml:space="preserve">, an appropriately designed </w:t>
      </w:r>
      <w:r w:rsidR="004E3101">
        <w:t>Monte Carlo</w:t>
      </w:r>
      <w:r w:rsidR="00F71A09">
        <w:t xml:space="preserve"> simulation framework should be able to cope with simulating these feedbacks in an appropriate manner. More frequent high severity fires due to climate change, and/or the “landscape trap”</w:t>
      </w:r>
      <w:r w:rsidR="004D79C3">
        <w:t xml:space="preserve"> propounded by Lindenmayer </w:t>
      </w:r>
      <w:r w:rsidR="004D79C3" w:rsidRPr="001C1F9A">
        <w:rPr>
          <w:i/>
        </w:rPr>
        <w:t>et al.</w:t>
      </w:r>
      <w:r w:rsidR="004D79C3">
        <w:t xml:space="preserve"> (2011),</w:t>
      </w:r>
      <w:r w:rsidR="00F71A09">
        <w:t xml:space="preserve"> may ultimately result in loss of ash eucalypt forest to acacia or other species, which may reduce </w:t>
      </w:r>
      <w:r w:rsidR="00743981">
        <w:t xml:space="preserve">(or increase) </w:t>
      </w:r>
      <w:r w:rsidR="00A556DF">
        <w:t xml:space="preserve">actual evapotranspiration </w:t>
      </w:r>
      <w:r w:rsidR="00F71A09">
        <w:t xml:space="preserve">and </w:t>
      </w:r>
      <w:r w:rsidR="00743981">
        <w:t xml:space="preserve">alter </w:t>
      </w:r>
      <w:r w:rsidR="00F71A09">
        <w:t xml:space="preserve">catchment water yields in future. </w:t>
      </w:r>
      <w:r w:rsidR="00722CDB">
        <w:t xml:space="preserve">If properly formulated, a </w:t>
      </w:r>
      <w:r w:rsidR="004E3101">
        <w:t>Monte Carlo</w:t>
      </w:r>
      <w:r w:rsidR="00F71A09">
        <w:t xml:space="preserve"> framework </w:t>
      </w:r>
      <w:r w:rsidR="00722CDB">
        <w:t>could</w:t>
      </w:r>
      <w:r w:rsidR="00F71A09">
        <w:t xml:space="preserve"> allow for the probability that recurrent high severity fires may result in transition between forest types</w:t>
      </w:r>
      <w:r w:rsidR="00743981">
        <w:t>,</w:t>
      </w:r>
      <w:r w:rsidR="00F71A09">
        <w:t xml:space="preserve"> and </w:t>
      </w:r>
      <w:r w:rsidR="00D3640F">
        <w:t xml:space="preserve">then include this effect in the probabilistic simulation of </w:t>
      </w:r>
      <w:r w:rsidR="007877C7">
        <w:t>catchment water yield</w:t>
      </w:r>
      <w:r w:rsidR="00D3640F">
        <w:t>.</w:t>
      </w:r>
    </w:p>
    <w:p w14:paraId="3919B15A" w14:textId="77777777" w:rsidR="00722CDB" w:rsidRDefault="00722CDB" w:rsidP="00722CDB">
      <w:pPr>
        <w:pStyle w:val="cvmain"/>
      </w:pPr>
    </w:p>
    <w:p w14:paraId="227FA11C" w14:textId="550612B0" w:rsidR="00190D36" w:rsidRPr="00627104" w:rsidRDefault="00C2725F" w:rsidP="00365C11">
      <w:pPr>
        <w:pStyle w:val="Heading3"/>
      </w:pPr>
      <w:bookmarkStart w:id="24" w:name="_Toc36033085"/>
      <w:r>
        <w:t>A</w:t>
      </w:r>
      <w:r w:rsidR="00190D36">
        <w:t>ssessment of economic, social and environmental benefits and costs</w:t>
      </w:r>
      <w:bookmarkEnd w:id="24"/>
      <w:r w:rsidR="0054372E">
        <w:t xml:space="preserve"> </w:t>
      </w:r>
      <w:r w:rsidR="0054372E" w:rsidRPr="00627104">
        <w:t>of options considered in WWS2008</w:t>
      </w:r>
    </w:p>
    <w:p w14:paraId="7329D4C6" w14:textId="72137A9B" w:rsidR="007E11AD" w:rsidRDefault="007E11AD" w:rsidP="007E11AD">
      <w:pPr>
        <w:pStyle w:val="Para0"/>
      </w:pPr>
      <w:r>
        <w:t>The second recommendation from Mein (2008) was:</w:t>
      </w:r>
    </w:p>
    <w:p w14:paraId="26D4B35B" w14:textId="4A2DECE9" w:rsidR="007E11AD" w:rsidRDefault="007E11AD" w:rsidP="007E11AD">
      <w:pPr>
        <w:pStyle w:val="Quotation"/>
      </w:pPr>
      <w:r>
        <w:t>The next step envisaged by the White Paper is investigating ‘the economic, social and environmental benefits and costs of these options’. It is recommended that the eleven options considered in this Summary report be evaluated in terms of these additional factors.</w:t>
      </w:r>
    </w:p>
    <w:p w14:paraId="1D12AE67" w14:textId="0EB0A984" w:rsidR="007E11AD" w:rsidRDefault="00A42F94" w:rsidP="007E11AD">
      <w:pPr>
        <w:pStyle w:val="Para0"/>
      </w:pPr>
      <w:r>
        <w:t xml:space="preserve">To our knowledge, </w:t>
      </w:r>
      <w:r w:rsidR="00A75513">
        <w:t xml:space="preserve">there </w:t>
      </w:r>
      <w:r w:rsidR="00A75513" w:rsidRPr="00627104">
        <w:t xml:space="preserve">has been limited </w:t>
      </w:r>
      <w:r w:rsidRPr="00627104">
        <w:t xml:space="preserve">assessment of the economic, social and environmental benefits and costs </w:t>
      </w:r>
      <w:r w:rsidR="00081E85" w:rsidRPr="00627104">
        <w:t xml:space="preserve">of supplying water from the forested catchments </w:t>
      </w:r>
      <w:r w:rsidRPr="00627104">
        <w:t>fol</w:t>
      </w:r>
      <w:r>
        <w:t>lowing the completion of WWS2008.</w:t>
      </w:r>
    </w:p>
    <w:p w14:paraId="33E4EA3B" w14:textId="77777777" w:rsidR="002A6C30" w:rsidRDefault="00443C4A" w:rsidP="007E11AD">
      <w:pPr>
        <w:pStyle w:val="Para0"/>
      </w:pPr>
      <w:r>
        <w:t>There have been significant changes to</w:t>
      </w:r>
      <w:r w:rsidR="002A6C30">
        <w:t xml:space="preserve"> government policy,</w:t>
      </w:r>
      <w:r>
        <w:t xml:space="preserve"> </w:t>
      </w:r>
      <w:r w:rsidR="002A6C30">
        <w:t>governance of the Yarra River catchment and the Melbourne water supply system since the completion of WWS2008, which could also have changed the economic, social, environmental and cultural benefits and costs of the options that were considered in WWS2008.</w:t>
      </w:r>
    </w:p>
    <w:p w14:paraId="70B977C3" w14:textId="4BE82F5C" w:rsidR="007E11AD" w:rsidRPr="002A6C30" w:rsidRDefault="002A6C30" w:rsidP="007E11AD">
      <w:pPr>
        <w:pStyle w:val="Para0"/>
      </w:pPr>
      <w:r>
        <w:t xml:space="preserve">The Victorian Government passed the </w:t>
      </w:r>
      <w:r w:rsidR="005D2B79">
        <w:fldChar w:fldCharType="begin" w:fldLock="1"/>
      </w:r>
      <w:r w:rsidR="007416C7">
        <w:instrText>ADDIN CSL_CITATION {"citationItems":[{"id":"ITEM-1","itemData":{"id":"ITEM-1","issued":{"date-parts":[["2017"]]},"publisher":"State of Victoria","title":"Yarra River Protection Act","type":"bill"},"uris":["http://www.mendeley.com/documents/?uuid=61de2da7-0df4-46e4-9c73-d1e49817612f"]}],"mendeley":{"formattedCitation":"(&lt;i&gt;Yarra River Protection Act&lt;/i&gt;, 2017)","manualFormatting":"Yarra River Protection Act (2017)","plainTextFormattedCitation":"(Yarra River Protection Act, 2017)","previouslyFormattedCitation":"(&lt;i&gt;Yarra River Protection Act&lt;/i&gt;, 2017)"},"properties":{"noteIndex":0},"schema":"https://github.com/citation-style-language/schema/raw/master/csl-citation.json"}</w:instrText>
      </w:r>
      <w:r w:rsidR="005D2B79">
        <w:fldChar w:fldCharType="separate"/>
      </w:r>
      <w:r w:rsidR="005D2B79" w:rsidRPr="005D2B79">
        <w:rPr>
          <w:i/>
          <w:noProof/>
        </w:rPr>
        <w:t>Yarra River Protection Act</w:t>
      </w:r>
      <w:r w:rsidR="005D2B79" w:rsidRPr="005D2B79">
        <w:rPr>
          <w:noProof/>
        </w:rPr>
        <w:t xml:space="preserve"> </w:t>
      </w:r>
      <w:r w:rsidR="005D2B79">
        <w:rPr>
          <w:noProof/>
        </w:rPr>
        <w:t>(</w:t>
      </w:r>
      <w:r w:rsidR="005D2B79" w:rsidRPr="005D2B79">
        <w:rPr>
          <w:noProof/>
        </w:rPr>
        <w:t>2017)</w:t>
      </w:r>
      <w:r w:rsidR="005D2B79">
        <w:fldChar w:fldCharType="end"/>
      </w:r>
      <w:r>
        <w:t xml:space="preserve">, which gives Traditional Owners, environmental, agricultural industry and local community groups a voice in planning and management of the Yarra River. </w:t>
      </w:r>
      <w:r w:rsidR="00FC2DB2">
        <w:t>The voice of Traditional Owners has been facilitated</w:t>
      </w:r>
      <w:r>
        <w:t xml:space="preserve"> by the establishment of the Birrarung Council</w:t>
      </w:r>
      <w:r w:rsidR="005D2B79">
        <w:t xml:space="preserve"> </w:t>
      </w:r>
      <w:r w:rsidR="005D2B79">
        <w:fldChar w:fldCharType="begin" w:fldLock="1"/>
      </w:r>
      <w:r w:rsidR="0005134E">
        <w:instrText>ADDIN CSL_CITATION {"citationItems":[{"id":"ITEM-1","itemData":{"author":[{"dropping-particle":"","family":"Neville","given":"Lisa","non-dropping-particle":"","parse-names":false,"suffix":""}],"id":"ITEM-1","issue":"September","issued":{"date-parts":[["2018"]]},"number-of-pages":"2018","title":"New body to protect and promote the Yarra River (Press release)","type":"report"},"uris":["http://www.mendeley.com/documents/?uuid=52feea7e-af67-4ac1-8919-b53dbfb9cbb0"]}],"mendeley":{"formattedCitation":"(Neville, 2018)","plainTextFormattedCitation":"(Neville, 2018)","previouslyFormattedCitation":"(Neville, 2018)"},"properties":{"noteIndex":0},"schema":"https://github.com/citation-style-language/schema/raw/master/csl-citation.json"}</w:instrText>
      </w:r>
      <w:r w:rsidR="005D2B79">
        <w:fldChar w:fldCharType="separate"/>
      </w:r>
      <w:r w:rsidR="005D2B79" w:rsidRPr="005D2B79">
        <w:rPr>
          <w:noProof/>
        </w:rPr>
        <w:t>(Neville, 2018)</w:t>
      </w:r>
      <w:r w:rsidR="005D2B79">
        <w:fldChar w:fldCharType="end"/>
      </w:r>
      <w:r>
        <w:t>.</w:t>
      </w:r>
    </w:p>
    <w:p w14:paraId="4C88B32C" w14:textId="56BE3B99" w:rsidR="002A6C30" w:rsidRDefault="002A6C30" w:rsidP="007E11AD">
      <w:pPr>
        <w:pStyle w:val="Para0"/>
      </w:pPr>
      <w:r>
        <w:t xml:space="preserve">Melbourne has seen significant population growth over recent decades, which is projected to continue into the future. </w:t>
      </w:r>
      <w:r w:rsidR="00D556E8">
        <w:t xml:space="preserve">Melbourne’s population is expected to grow from 4.5 million people in mid-2015 to 8 million people by 2051 and to potentially </w:t>
      </w:r>
      <w:r w:rsidR="00743981">
        <w:t xml:space="preserve">be </w:t>
      </w:r>
      <w:r w:rsidR="00D556E8">
        <w:t xml:space="preserve">as large as 10 million by 2065 </w:t>
      </w:r>
      <w:r w:rsidR="0064715D">
        <w:fldChar w:fldCharType="begin" w:fldLock="1"/>
      </w:r>
      <w:r w:rsidR="00D11C5B">
        <w:instrText>ADDIN CSL_CITATION {"citationItems":[{"id":"ITEM-1","itemData":{"author":[{"dropping-particle":"","family":"Melbourne Water","given":"","non-dropping-particle":"","parse-names":false,"suffix":""}],"id":"ITEM-1","issued":{"date-parts":[["2017"]]},"publisher-place":"Melbourne, Australia","title":"Melbourne Water System Strategy","type":"report"},"uris":["http://www.mendeley.com/documents/?uuid=8d40ac66-d9b1-4a33-8817-1fd327456dd1"]}],"mendeley":{"formattedCitation":"(Melbourne Water, 2017)","plainTextFormattedCitation":"(Melbourne Water, 2017)","previouslyFormattedCitation":"(Melbourne Water, 2017)"},"properties":{"noteIndex":0},"schema":"https://github.com/citation-style-language/schema/raw/master/csl-citation.json"}</w:instrText>
      </w:r>
      <w:r w:rsidR="0064715D">
        <w:fldChar w:fldCharType="separate"/>
      </w:r>
      <w:r w:rsidR="00D11C5B" w:rsidRPr="00D11C5B">
        <w:rPr>
          <w:noProof/>
        </w:rPr>
        <w:t xml:space="preserve">(Melbourne </w:t>
      </w:r>
      <w:r w:rsidR="00D11C5B" w:rsidRPr="00D11C5B">
        <w:rPr>
          <w:noProof/>
        </w:rPr>
        <w:lastRenderedPageBreak/>
        <w:t>Water, 2017)</w:t>
      </w:r>
      <w:r w:rsidR="0064715D">
        <w:fldChar w:fldCharType="end"/>
      </w:r>
      <w:r w:rsidR="00D556E8">
        <w:t>. This is projected to result in an increasing demand for potable water, which may be increased further by climate change.</w:t>
      </w:r>
    </w:p>
    <w:p w14:paraId="0C1E158A" w14:textId="5392F52A" w:rsidR="002A6C30" w:rsidRDefault="002A6C30" w:rsidP="002A6C30">
      <w:pPr>
        <w:pStyle w:val="Para0"/>
      </w:pPr>
      <w:r>
        <w:t xml:space="preserve">Melbourne’s forested water supply catchments represent an important part of Melbourne’s overall water supply system. </w:t>
      </w:r>
      <w:r>
        <w:fldChar w:fldCharType="begin"/>
      </w:r>
      <w:r>
        <w:instrText xml:space="preserve"> REF _Ref24397186 \h </w:instrText>
      </w:r>
      <w:r>
        <w:fldChar w:fldCharType="separate"/>
      </w:r>
      <w:r w:rsidR="00062E08">
        <w:t xml:space="preserve">Figure </w:t>
      </w:r>
      <w:r w:rsidR="00062E08">
        <w:rPr>
          <w:noProof/>
        </w:rPr>
        <w:t>6</w:t>
      </w:r>
      <w:r>
        <w:fldChar w:fldCharType="end"/>
      </w:r>
      <w:r>
        <w:t xml:space="preserve"> shows a conceptual overview of Melbourne’s water supply system. On the left-hand side of the figure, timber harvesting, bushfires and climate influence the quality and yield of water that is available from catchments. As Melbourne’s catchments are largely protected, water quality is usually very good and minimal treatment is required for most of the water harvested. However, if there was a major bushfire that impacted upon one or more of the catchments, a deterioration of water quality could be experienced for months </w:t>
      </w:r>
      <w:r w:rsidR="00700D81">
        <w:t xml:space="preserve">and up </w:t>
      </w:r>
      <w:r>
        <w:t>to a few years following the fire. A future bushfire could therefore act as a constraint on the use of water from one or more catchments for a period of time, and water quality would need to be actively managed to maintain the required standards.</w:t>
      </w:r>
    </w:p>
    <w:p w14:paraId="792D0082" w14:textId="43F8C2CB" w:rsidR="002A6C30" w:rsidRDefault="002A6C30" w:rsidP="002A6C30">
      <w:pPr>
        <w:pStyle w:val="Para0"/>
      </w:pPr>
      <w:r>
        <w:t xml:space="preserve">The middle portion of </w:t>
      </w:r>
      <w:r>
        <w:fldChar w:fldCharType="begin"/>
      </w:r>
      <w:r>
        <w:instrText xml:space="preserve"> REF _Ref24397186 \h </w:instrText>
      </w:r>
      <w:r>
        <w:fldChar w:fldCharType="separate"/>
      </w:r>
      <w:r w:rsidR="00062E08">
        <w:t xml:space="preserve">Figure </w:t>
      </w:r>
      <w:r w:rsidR="00062E08">
        <w:rPr>
          <w:noProof/>
        </w:rPr>
        <w:t>6</w:t>
      </w:r>
      <w:r>
        <w:fldChar w:fldCharType="end"/>
      </w:r>
      <w:r>
        <w:t xml:space="preserve"> </w:t>
      </w:r>
      <w:r w:rsidR="00700D81">
        <w:t xml:space="preserve">represents </w:t>
      </w:r>
      <w:r>
        <w:t>two additional sources of water,</w:t>
      </w:r>
      <w:r w:rsidR="00700D81">
        <w:t xml:space="preserve"> namely</w:t>
      </w:r>
      <w:r>
        <w:t xml:space="preserve"> the North</w:t>
      </w:r>
      <w:r w:rsidR="00700D81">
        <w:rPr>
          <w:rFonts w:cs="Arial"/>
        </w:rPr>
        <w:t>–</w:t>
      </w:r>
      <w:r>
        <w:t xml:space="preserve">South Pipeline and the Victorian Desalination Plant, which were completed after </w:t>
      </w:r>
      <w:r w:rsidR="00E80142" w:rsidRPr="00E80142">
        <w:t>WWS2008</w:t>
      </w:r>
      <w:r>
        <w:t xml:space="preserve">, in 2010 and 2012 respectively. Changes in water yield from the forested catchments now manifest as </w:t>
      </w:r>
      <w:r w:rsidR="00BF0FE2">
        <w:t xml:space="preserve">potential </w:t>
      </w:r>
      <w:r>
        <w:t xml:space="preserve">changes in the volumes of water that need to be supplied by desalination </w:t>
      </w:r>
      <w:r w:rsidR="00FC2DB2">
        <w:t xml:space="preserve">and, in times of critical human need, via the </w:t>
      </w:r>
      <w:r w:rsidR="00EF1154">
        <w:t>North</w:t>
      </w:r>
      <w:r w:rsidR="00700D81">
        <w:rPr>
          <w:rFonts w:cs="Arial"/>
        </w:rPr>
        <w:t>–</w:t>
      </w:r>
      <w:r w:rsidR="00EF1154">
        <w:t>South Pipeline</w:t>
      </w:r>
      <w:r w:rsidR="00FC2DB2">
        <w:t xml:space="preserve"> and Goulburn River from Lake Eildon</w:t>
      </w:r>
      <w:r w:rsidR="00FC2DB2" w:rsidRPr="00354494">
        <w:rPr>
          <w:rStyle w:val="FootnoteReference"/>
        </w:rPr>
        <w:footnoteReference w:id="3"/>
      </w:r>
      <w:r w:rsidR="00FC2DB2">
        <w:t>.</w:t>
      </w:r>
      <w:r w:rsidR="00F60968">
        <w:t xml:space="preserve"> The North</w:t>
      </w:r>
      <w:r w:rsidR="00700D81">
        <w:rPr>
          <w:rFonts w:cs="Arial"/>
        </w:rPr>
        <w:t>–</w:t>
      </w:r>
      <w:r w:rsidR="00F60968">
        <w:t>South Pipeline and Victorian Desalination Plant supplement water yield from Melbourne’s forested catchments but cannot fully replace runoff harvested from the catchments.</w:t>
      </w:r>
      <w:r w:rsidR="00BF0FE2">
        <w:t xml:space="preserve"> </w:t>
      </w:r>
      <w:r w:rsidR="00F60968">
        <w:t>In addition,</w:t>
      </w:r>
      <w:r w:rsidR="00F60968" w:rsidRPr="00BF0FE2">
        <w:t xml:space="preserve"> </w:t>
      </w:r>
      <w:r w:rsidR="00BF0FE2" w:rsidRPr="00BF0FE2">
        <w:t xml:space="preserve">it is </w:t>
      </w:r>
      <w:r w:rsidR="00A6613D">
        <w:t>understood</w:t>
      </w:r>
      <w:r w:rsidR="00BF0FE2" w:rsidRPr="00BF0FE2">
        <w:t xml:space="preserve"> that the per unit cost of water supplied from other sources to offset loss of catchment </w:t>
      </w:r>
      <w:r w:rsidR="00BF0FE2">
        <w:t xml:space="preserve">water </w:t>
      </w:r>
      <w:r w:rsidR="00BF0FE2" w:rsidRPr="00BF0FE2">
        <w:t xml:space="preserve">yield can be </w:t>
      </w:r>
      <w:r w:rsidR="00A6613D">
        <w:t xml:space="preserve">as much </w:t>
      </w:r>
      <w:r w:rsidR="00BF0FE2" w:rsidRPr="00BF0FE2">
        <w:t xml:space="preserve">an order of magnitude larger than the cost of water harvested from Melbourne’s catchments.The importance of water availability for growing populations </w:t>
      </w:r>
      <w:r w:rsidR="00700D81" w:rsidRPr="00BF0FE2">
        <w:t xml:space="preserve">from all potential sources </w:t>
      </w:r>
      <w:r w:rsidR="00BF0FE2" w:rsidRPr="00BF0FE2">
        <w:t xml:space="preserve">in a changing climate is outlined in the Melbourne Water System Strategy </w:t>
      </w:r>
      <w:r w:rsidR="00C611F3">
        <w:fldChar w:fldCharType="begin" w:fldLock="1"/>
      </w:r>
      <w:r w:rsidR="00C611F3">
        <w:instrText>ADDIN CSL_CITATION {"citationItems":[{"id":"ITEM-1","itemData":{"author":[{"dropping-particle":"","family":"Melbourne Water","given":"","non-dropping-particle":"","parse-names":false,"suffix":""}],"id":"ITEM-1","issued":{"date-parts":[["2017"]]},"publisher-place":"Melbourne, Australia","title":"Melbourne Water System Strategy","type":"report"},"uris":["http://www.mendeley.com/documents/?uuid=8d40ac66-d9b1-4a33-8817-1fd327456dd1"]}],"mendeley":{"formattedCitation":"(Melbourne Water, 2017)","plainTextFormattedCitation":"(Melbourne Water, 2017)","previouslyFormattedCitation":"(Melbourne Water, 2017)"},"properties":{"noteIndex":0},"schema":"https://github.com/citation-style-language/schema/raw/master/csl-citation.json"}</w:instrText>
      </w:r>
      <w:r w:rsidR="00C611F3">
        <w:fldChar w:fldCharType="separate"/>
      </w:r>
      <w:r w:rsidR="00C611F3" w:rsidRPr="00C611F3">
        <w:rPr>
          <w:noProof/>
        </w:rPr>
        <w:t>(Melbourne Water, 2017)</w:t>
      </w:r>
      <w:r w:rsidR="00C611F3">
        <w:fldChar w:fldCharType="end"/>
      </w:r>
      <w:r w:rsidR="00C611F3">
        <w:t>.</w:t>
      </w:r>
    </w:p>
    <w:p w14:paraId="23C93092" w14:textId="27A40630" w:rsidR="002A6C30" w:rsidRPr="00446F4A" w:rsidRDefault="002A6C30" w:rsidP="002A6C30">
      <w:pPr>
        <w:pStyle w:val="Para0"/>
      </w:pPr>
      <w:r w:rsidRPr="00446F4A">
        <w:t xml:space="preserve">All the factors shown in </w:t>
      </w:r>
      <w:r>
        <w:fldChar w:fldCharType="begin"/>
      </w:r>
      <w:r>
        <w:instrText xml:space="preserve"> REF _Ref24397186 \h </w:instrText>
      </w:r>
      <w:r>
        <w:fldChar w:fldCharType="separate"/>
      </w:r>
      <w:r w:rsidR="00062E08">
        <w:t xml:space="preserve">Figure </w:t>
      </w:r>
      <w:r w:rsidR="00062E08">
        <w:rPr>
          <w:noProof/>
        </w:rPr>
        <w:t>6</w:t>
      </w:r>
      <w:r>
        <w:fldChar w:fldCharType="end"/>
      </w:r>
      <w:r>
        <w:t xml:space="preserve"> c</w:t>
      </w:r>
      <w:r w:rsidRPr="00446F4A">
        <w:t xml:space="preserve">ombine to influence the current and future </w:t>
      </w:r>
      <w:r w:rsidR="00BF0FE2" w:rsidRPr="009C6023">
        <w:t>supply</w:t>
      </w:r>
      <w:r w:rsidR="00BF0FE2">
        <w:t xml:space="preserve"> </w:t>
      </w:r>
      <w:r w:rsidR="00700D81">
        <w:t xml:space="preserve">of </w:t>
      </w:r>
      <w:r w:rsidR="00BF0FE2">
        <w:t xml:space="preserve">and demand </w:t>
      </w:r>
      <w:r w:rsidR="00700D81">
        <w:t xml:space="preserve">for water </w:t>
      </w:r>
      <w:r w:rsidR="00BF0FE2">
        <w:t xml:space="preserve">for </w:t>
      </w:r>
      <w:r w:rsidR="00BF0FE2" w:rsidRPr="009C6023">
        <w:t>Melbourne</w:t>
      </w:r>
      <w:r w:rsidRPr="00446F4A">
        <w:t>.</w:t>
      </w:r>
    </w:p>
    <w:p w14:paraId="0E957983" w14:textId="42BF0BAB" w:rsidR="002A6C30" w:rsidRDefault="00BE6972" w:rsidP="002A6C30">
      <w:pPr>
        <w:pStyle w:val="Para0"/>
        <w:keepNext/>
      </w:pPr>
      <w:r>
        <w:rPr>
          <w:noProof/>
          <w:lang w:val="en-AU" w:eastAsia="en-AU"/>
        </w:rPr>
        <w:lastRenderedPageBreak/>
        <w:drawing>
          <wp:inline distT="0" distB="0" distL="0" distR="0" wp14:anchorId="18935890" wp14:editId="56CA40D5">
            <wp:extent cx="5580000" cy="1710000"/>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0000" cy="1710000"/>
                    </a:xfrm>
                    <a:prstGeom prst="rect">
                      <a:avLst/>
                    </a:prstGeom>
                    <a:noFill/>
                  </pic:spPr>
                </pic:pic>
              </a:graphicData>
            </a:graphic>
          </wp:inline>
        </w:drawing>
      </w:r>
    </w:p>
    <w:p w14:paraId="17633E88" w14:textId="5A8E171C" w:rsidR="002A6C30" w:rsidRDefault="002A6C30" w:rsidP="002A6C30">
      <w:pPr>
        <w:pStyle w:val="Caption"/>
      </w:pPr>
      <w:bookmarkStart w:id="25" w:name="_Ref24397186"/>
      <w:r>
        <w:t xml:space="preserve">Figure </w:t>
      </w:r>
      <w:r>
        <w:fldChar w:fldCharType="begin"/>
      </w:r>
      <w:r>
        <w:instrText xml:space="preserve"> SEQ Figure \* ARABIC </w:instrText>
      </w:r>
      <w:r>
        <w:fldChar w:fldCharType="separate"/>
      </w:r>
      <w:r w:rsidR="00062E08">
        <w:rPr>
          <w:noProof/>
        </w:rPr>
        <w:t>6</w:t>
      </w:r>
      <w:r>
        <w:fldChar w:fldCharType="end"/>
      </w:r>
      <w:bookmarkEnd w:id="25"/>
      <w:r>
        <w:t xml:space="preserve"> Conceptual overview of Melbourne’s </w:t>
      </w:r>
      <w:r w:rsidR="00700D81">
        <w:t>w</w:t>
      </w:r>
      <w:r>
        <w:t>ater supply system</w:t>
      </w:r>
    </w:p>
    <w:p w14:paraId="1B0C7138" w14:textId="09AF1199" w:rsidR="00727238" w:rsidRDefault="00727238" w:rsidP="00727238">
      <w:pPr>
        <w:pStyle w:val="Para0"/>
      </w:pPr>
      <w:r>
        <w:t>Ecosystem accounting has been applied to investigate the trade-offs between economic and environmental outcomes in Victoria’s forested Central Highlands region</w:t>
      </w:r>
      <w:r w:rsidR="008B61D7">
        <w:t xml:space="preserve"> </w:t>
      </w:r>
      <w:r w:rsidR="008B61D7">
        <w:fldChar w:fldCharType="begin" w:fldLock="1"/>
      </w:r>
      <w:r w:rsidR="00D11C5B">
        <w:instrText>ADDIN CSL_CITATION {"citationItems":[{"id":"ITEM-1","itemData":{"DOI":"10.1016/j.ecoser.2019.101004","author":[{"dropping-particle":"","family":"Vardon","given":"Michael","non-dropping-particle":"","parse-names":false,"suffix":""},{"dropping-particle":"","family":"Keith","given":"Heather","non-dropping-particle":"","parse-names":false,"suffix":""},{"dropping-particle":"","family":"Lindenmayer","given":"David","non-dropping-particle":"","parse-names":false,"suffix":""}],"container-title":"Ecosystem Services","id":"ITEM-1","issued":{"date-parts":[["2019"]]},"page":"101004","publisher":"Elsevier","title":"Accounting and valuing the ecosystem services related to water supply in the Central Highlands of Victoria, Australia","type":"article-journal","volume":"39"},"uris":["http://www.mendeley.com/documents/?uuid=135cebec-d9e4-4b8e-b3d8-74d1e7cc3699"]},{"id":"ITEM-2","itemData":{"DOI":"10.1038/s41559-017-0309-1","author":[{"dropping-particle":"","family":"Keith","given":"Heather","non-dropping-particle":"","parse-names":false,"suffix":""},{"dropping-particle":"","family":"Vardon","given":"Michael","non-dropping-particle":"","parse-names":false,"suffix":""},{"dropping-particle":"","family":"Stein","given":"John A","non-dropping-particle":"","parse-names":false,"suffix":""},{"dropping-particle":"","family":"Stein","given":"Janet L","non-dropping-particle":"","parse-names":false,"suffix":""},{"dropping-particle":"","family":"Lindenmayer","given":"David","non-dropping-particle":"","parse-names":false,"suffix":""}],"container-title":"Nature Ecology &amp; Evolution","id":"ITEM-2","issue":"11","issued":{"date-parts":[["2017"]]},"page":"1683-1692","publisher":"Nature Publishing Group","title":"Ecosystem accounts define explicit and spatial trade-offs for managing natural resources","type":"article-journal","volume":"1"},"uris":["http://www.mendeley.com/documents/?uuid=da3bc7ab-813c-4c54-9da5-d179a6440508"]}],"mendeley":{"formattedCitation":"(Keith &lt;i&gt;et al.&lt;/i&gt;, 2017; Vardon &lt;i&gt;et al.&lt;/i&gt;, 2019)","plainTextFormattedCitation":"(Keith et al., 2017; Vardon et al., 2019)","previouslyFormattedCitation":"(Keith &lt;i&gt;et al.&lt;/i&gt;, 2017; Vardon &lt;i&gt;et al.&lt;/i&gt;, 2019)"},"properties":{"noteIndex":0},"schema":"https://github.com/citation-style-language/schema/raw/master/csl-citation.json"}</w:instrText>
      </w:r>
      <w:r w:rsidR="008B61D7">
        <w:fldChar w:fldCharType="separate"/>
      </w:r>
      <w:r w:rsidR="007416C7" w:rsidRPr="007416C7">
        <w:rPr>
          <w:noProof/>
        </w:rPr>
        <w:t xml:space="preserve">(Keith </w:t>
      </w:r>
      <w:r w:rsidR="007416C7" w:rsidRPr="007416C7">
        <w:rPr>
          <w:i/>
          <w:noProof/>
        </w:rPr>
        <w:t>et al.</w:t>
      </w:r>
      <w:r w:rsidR="007416C7" w:rsidRPr="007416C7">
        <w:rPr>
          <w:noProof/>
        </w:rPr>
        <w:t xml:space="preserve">, 2017; Vardon </w:t>
      </w:r>
      <w:r w:rsidR="007416C7" w:rsidRPr="007416C7">
        <w:rPr>
          <w:i/>
          <w:noProof/>
        </w:rPr>
        <w:t>et al.</w:t>
      </w:r>
      <w:r w:rsidR="007416C7" w:rsidRPr="007416C7">
        <w:rPr>
          <w:noProof/>
        </w:rPr>
        <w:t>, 2019)</w:t>
      </w:r>
      <w:r w:rsidR="008B61D7">
        <w:fldChar w:fldCharType="end"/>
      </w:r>
      <w:r>
        <w:t>. An important input to these analyses of the impact of timber harvesting was the projected change in water volumes that would need to be supplied from other water sources under the different scenarios that are considered.</w:t>
      </w:r>
    </w:p>
    <w:p w14:paraId="0A706C18" w14:textId="45AFBC98" w:rsidR="002A6C30" w:rsidRPr="00014017" w:rsidRDefault="00022403" w:rsidP="00A22204">
      <w:pPr>
        <w:pStyle w:val="Para0"/>
        <w:pBdr>
          <w:top w:val="single" w:sz="4" w:space="1" w:color="auto"/>
          <w:left w:val="single" w:sz="4" w:space="4" w:color="auto"/>
          <w:bottom w:val="single" w:sz="4" w:space="1" w:color="auto"/>
          <w:right w:val="single" w:sz="4" w:space="4" w:color="auto"/>
        </w:pBdr>
        <w:spacing w:after="360"/>
        <w:rPr>
          <w:highlight w:val="yellow"/>
        </w:rPr>
      </w:pPr>
      <w:r w:rsidRPr="00722CDB">
        <w:rPr>
          <w:b/>
          <w:bCs/>
        </w:rPr>
        <w:t>In summary</w:t>
      </w:r>
      <w:r w:rsidR="002366B5">
        <w:rPr>
          <w:b/>
          <w:bCs/>
        </w:rPr>
        <w:t>,</w:t>
      </w:r>
      <w:r>
        <w:t xml:space="preserve"> timber harvesting, bushfires </w:t>
      </w:r>
      <w:r w:rsidR="00AF62F8">
        <w:t xml:space="preserve">and </w:t>
      </w:r>
      <w:r>
        <w:t>climate change</w:t>
      </w:r>
      <w:r w:rsidR="00AF62F8">
        <w:t>,</w:t>
      </w:r>
      <w:r>
        <w:t xml:space="preserve"> </w:t>
      </w:r>
      <w:r w:rsidR="00455F64">
        <w:t xml:space="preserve">in combination with other factors such as population growth and integrated water management, </w:t>
      </w:r>
      <w:r w:rsidR="00AF62F8">
        <w:t xml:space="preserve">must affect </w:t>
      </w:r>
      <w:r w:rsidR="00455F64">
        <w:t>the volume and timing of additional</w:t>
      </w:r>
      <w:r>
        <w:t xml:space="preserve"> water that will be required from </w:t>
      </w:r>
      <w:r w:rsidR="00455F64">
        <w:t>other supply sources for Melbourne</w:t>
      </w:r>
      <w:r w:rsidR="00AF62F8">
        <w:t xml:space="preserve">, and it is not possible in this review to assess their combined influences. </w:t>
      </w:r>
      <w:r w:rsidR="0017262C">
        <w:t xml:space="preserve">The intent of the first </w:t>
      </w:r>
      <w:r w:rsidR="0058203F">
        <w:t xml:space="preserve">and second </w:t>
      </w:r>
      <w:r w:rsidR="0017262C">
        <w:t>recommendation</w:t>
      </w:r>
      <w:r w:rsidR="0058203F">
        <w:t>s</w:t>
      </w:r>
      <w:r w:rsidR="0017262C">
        <w:t xml:space="preserve"> from WWS2008 </w:t>
      </w:r>
      <w:r w:rsidR="0017262C">
        <w:fldChar w:fldCharType="begin" w:fldLock="1"/>
      </w:r>
      <w:r w:rsidR="00D11C5B">
        <w:instrText>ADDIN CSL_CITATION {"citationItems":[{"id":"ITEM-1","itemData":{"author":[{"dropping-particle":"","family":"Mein","given":"Russell","non-dropping-particle":"","parse-names":false,"suffix":""}],"id":"ITEM-1","issue":"May","issued":{"date-parts":[["2008"]]},"number-of-pages":"24","title":"Potential impacts of forest management on streamflow in Melbourne’s water supply catchments Summary report","type":"report"},"uris":["http://www.mendeley.com/documents/?uuid=8b5f64af-8bc5-46a2-bf12-c3f57288c5f8"]}],"mendeley":{"formattedCitation":"(Mein, 2008)","plainTextFormattedCitation":"(Mein, 2008)","previouslyFormattedCitation":"(Mein, 2008)"},"properties":{"noteIndex":0},"schema":"https://github.com/citation-style-language/schema/raw/master/csl-citation.json"}</w:instrText>
      </w:r>
      <w:r w:rsidR="0017262C">
        <w:fldChar w:fldCharType="separate"/>
      </w:r>
      <w:r w:rsidR="0017262C" w:rsidRPr="0017262C">
        <w:rPr>
          <w:noProof/>
        </w:rPr>
        <w:t>(Mein, 2008)</w:t>
      </w:r>
      <w:r w:rsidR="0017262C">
        <w:fldChar w:fldCharType="end"/>
      </w:r>
      <w:r w:rsidR="0017262C">
        <w:t xml:space="preserve"> remains valid. </w:t>
      </w:r>
      <w:r w:rsidR="00AF62F8">
        <w:t>It should be possible to make a</w:t>
      </w:r>
      <w:r w:rsidR="00722CDB">
        <w:t>n</w:t>
      </w:r>
      <w:r w:rsidR="0017262C">
        <w:t xml:space="preserve"> analysis of the </w:t>
      </w:r>
      <w:r w:rsidR="007364DE">
        <w:t>cultural, economic, social and</w:t>
      </w:r>
      <w:r w:rsidR="002A6C30" w:rsidRPr="0017262C">
        <w:t xml:space="preserve"> environmental </w:t>
      </w:r>
      <w:r w:rsidR="0017262C" w:rsidRPr="0017262C">
        <w:t xml:space="preserve">costs and benefits </w:t>
      </w:r>
      <w:r w:rsidR="00AF62F8">
        <w:t xml:space="preserve">of a range of possible scenarios affecting the various sources of water for Melbourne, </w:t>
      </w:r>
      <w:r w:rsidR="005810F1">
        <w:t>including revised modelling</w:t>
      </w:r>
      <w:r w:rsidR="005810F1" w:rsidRPr="0017262C">
        <w:t xml:space="preserve"> </w:t>
      </w:r>
      <w:r w:rsidR="0017262C" w:rsidRPr="0017262C">
        <w:t xml:space="preserve">of the change in water </w:t>
      </w:r>
      <w:r w:rsidR="004671E4">
        <w:t>yield from forested catchments</w:t>
      </w:r>
      <w:r w:rsidR="0017262C" w:rsidRPr="0017262C">
        <w:t>.</w:t>
      </w:r>
    </w:p>
    <w:p w14:paraId="41BCE3C6" w14:textId="56087062" w:rsidR="00190D36" w:rsidRDefault="00365C11" w:rsidP="00CC6486">
      <w:pPr>
        <w:pStyle w:val="Heading3"/>
      </w:pPr>
      <w:bookmarkStart w:id="26" w:name="_Toc36033086"/>
      <w:r>
        <w:t>S</w:t>
      </w:r>
      <w:r w:rsidR="00190D36">
        <w:t>ustainability of increased yield from thinning treatments</w:t>
      </w:r>
      <w:bookmarkEnd w:id="26"/>
    </w:p>
    <w:p w14:paraId="0CC92C30" w14:textId="2E1CF36D" w:rsidR="007E11AD" w:rsidRDefault="007E11AD" w:rsidP="007E11AD">
      <w:pPr>
        <w:pStyle w:val="Para0"/>
      </w:pPr>
      <w:r>
        <w:t>The third recommendation from Mein (2008) was:</w:t>
      </w:r>
    </w:p>
    <w:p w14:paraId="1CB0D97F" w14:textId="6E2123BF" w:rsidR="007E11AD" w:rsidRDefault="007E11AD" w:rsidP="007E11AD">
      <w:pPr>
        <w:pStyle w:val="Quotation"/>
      </w:pPr>
      <w:r>
        <w:t>For the forest management scenarios, there remains significant uncertainty about the sustainability of increased y</w:t>
      </w:r>
      <w:r w:rsidR="00EA4865">
        <w:t xml:space="preserve">ield from thinning treatments. </w:t>
      </w:r>
      <w:r>
        <w:t xml:space="preserve">Experimental areas </w:t>
      </w:r>
      <w:r w:rsidR="00A87989">
        <w:t>[</w:t>
      </w:r>
      <w:r w:rsidRPr="002A792F">
        <w:rPr>
          <w:strike/>
        </w:rPr>
        <w:t>were</w:t>
      </w:r>
      <w:r w:rsidR="00A87989">
        <w:t>]</w:t>
      </w:r>
      <w:r>
        <w:t xml:space="preserve"> established under the Melbourne Water research program provided invaluable data on forest treatments, including the early data on the effect of thinning. It is recommended that hydrological measurements on these areas be recommenced to establish the extent to which the increased yields may have changed (relative to the control catchments).</w:t>
      </w:r>
    </w:p>
    <w:p w14:paraId="31388A8D" w14:textId="77BEC05D" w:rsidR="00022403" w:rsidRDefault="00C95629" w:rsidP="00022403">
      <w:pPr>
        <w:pStyle w:val="Para0"/>
      </w:pPr>
      <w:r>
        <w:t>Artificial</w:t>
      </w:r>
      <w:r w:rsidR="00022403">
        <w:t xml:space="preserve"> thinning of forests by harvesting only some of the trees can reduce </w:t>
      </w:r>
      <w:r w:rsidR="00A937F7">
        <w:t xml:space="preserve">actual evapotranspiration </w:t>
      </w:r>
      <w:r w:rsidR="00022403">
        <w:t xml:space="preserve">and therefore increase streamflows. Thinning treatments include selective removal of trees </w:t>
      </w:r>
      <w:r>
        <w:t>uniformly</w:t>
      </w:r>
      <w:r w:rsidR="00022403">
        <w:t xml:space="preserve"> throughout the forest; cutting and regenerating small patches of forest (for example</w:t>
      </w:r>
      <w:r w:rsidR="00A87989">
        <w:t>,</w:t>
      </w:r>
      <w:r w:rsidR="00022403">
        <w:t xml:space="preserve"> 30</w:t>
      </w:r>
      <w:r w:rsidR="00A87989">
        <w:rPr>
          <w:rFonts w:cs="Arial"/>
        </w:rPr>
        <w:t>–</w:t>
      </w:r>
      <w:r w:rsidR="00022403">
        <w:t>40</w:t>
      </w:r>
      <w:r w:rsidR="00D00997">
        <w:t xml:space="preserve"> </w:t>
      </w:r>
      <w:r w:rsidR="00022403">
        <w:t>m diameter patches); or cutting and retaining alternate strips of forest (for example</w:t>
      </w:r>
      <w:r w:rsidR="00A87989">
        <w:t>,</w:t>
      </w:r>
      <w:r w:rsidR="00022403">
        <w:t xml:space="preserve"> alternate 35</w:t>
      </w:r>
      <w:r w:rsidR="00EC7334">
        <w:t xml:space="preserve"> </w:t>
      </w:r>
      <w:r w:rsidR="00022403">
        <w:t>m wide strips have been used).</w:t>
      </w:r>
      <w:r w:rsidR="00014017">
        <w:t xml:space="preserve"> </w:t>
      </w:r>
      <w:r w:rsidR="00022403">
        <w:t xml:space="preserve">WWS2008 included analysis of five different </w:t>
      </w:r>
      <w:r w:rsidR="00022403">
        <w:lastRenderedPageBreak/>
        <w:t>scenarios for thinning of the forests, at varying ages and in conjunction with various rotation</w:t>
      </w:r>
      <w:r w:rsidR="00014017">
        <w:t xml:space="preserve"> lengths for timber harvesting.</w:t>
      </w:r>
    </w:p>
    <w:p w14:paraId="2D40CB56" w14:textId="5ADF86B9" w:rsidR="00A87989" w:rsidRDefault="00022403" w:rsidP="00022403">
      <w:pPr>
        <w:pStyle w:val="Para0"/>
      </w:pPr>
      <w:r>
        <w:t>Several experimental studies have been undertaken since WWS2008</w:t>
      </w:r>
      <w:r w:rsidR="00E45E72">
        <w:t xml:space="preserve">, </w:t>
      </w:r>
      <w:r>
        <w:t>test</w:t>
      </w:r>
      <w:r w:rsidR="00E45E72">
        <w:t>ing</w:t>
      </w:r>
      <w:r>
        <w:t xml:space="preserve"> the change in </w:t>
      </w:r>
      <w:r w:rsidR="007877C7">
        <w:t>catchment water yield</w:t>
      </w:r>
      <w:r>
        <w:t xml:space="preserve"> due to thinning in forested catchments, </w:t>
      </w:r>
      <w:r w:rsidR="00E45E72">
        <w:t xml:space="preserve">and </w:t>
      </w:r>
      <w:r>
        <w:t>updat</w:t>
      </w:r>
      <w:r w:rsidR="00E45E72">
        <w:t>ing</w:t>
      </w:r>
      <w:r>
        <w:t xml:space="preserve"> the results of long-term paired catchment experiments reported in the 1990s. </w:t>
      </w:r>
      <w:r w:rsidR="00E45E72">
        <w:t xml:space="preserve">For example, </w:t>
      </w:r>
      <w:r>
        <w:t xml:space="preserve">Bren </w:t>
      </w:r>
      <w:r w:rsidR="001C1F9A" w:rsidRPr="001C1F9A">
        <w:rPr>
          <w:i/>
        </w:rPr>
        <w:t>et al.</w:t>
      </w:r>
      <w:r>
        <w:t xml:space="preserve"> (2010) documented a persistent </w:t>
      </w:r>
      <w:r w:rsidR="007877C7">
        <w:t>catchment water yield</w:t>
      </w:r>
      <w:r>
        <w:t xml:space="preserve"> decrease 8 to 23 years after selective harvesting followed by regeneration in a mature mountain ash catchment. In the final year of the study, 24 years after the selective logging, the </w:t>
      </w:r>
      <w:r w:rsidR="007877C7">
        <w:t>catchment water yield</w:t>
      </w:r>
      <w:r>
        <w:t xml:space="preserve"> reduction was no longer evident.</w:t>
      </w:r>
      <w:r w:rsidR="00D3640F">
        <w:t xml:space="preserve"> </w:t>
      </w:r>
    </w:p>
    <w:p w14:paraId="2BA02B09" w14:textId="1634EAEB" w:rsidR="00022403" w:rsidRDefault="00B4400E" w:rsidP="00022403">
      <w:pPr>
        <w:pStyle w:val="Para0"/>
      </w:pPr>
      <w:r>
        <w:fldChar w:fldCharType="begin" w:fldLock="1"/>
      </w:r>
      <w:r w:rsidR="007416C7">
        <w:instrText>ADDIN CSL_CITATION {"citationItems":[{"id":"ITEM-1","itemData":{"DOI":"10.1016/j.foreco.2013.09.046","ISSN":"03781127","abstract":"Forest thinning has the potential to be used as a water supply augmentation strategy through the reduction of sapwood and leaf areas that also decreases stand evapotranspiration. This study investigated the long term effects of a range of thinning treatments (patch-cutting, uniform thinning, strip-thinning, understorey removal) on the vegetation structure and water yield of mountain ash (Eucalyptus regnans) forests in south eastern Australia. The paired catchment method and Light Detection and Ranging (LiDAR) data were utilised to assess the post-thinning changes in water yield and vegetation structure respectively. The first post-treatment phase started at the end of the treatments in the late 1970s/early 1980s until the suspension of measurements in 1997, the second post-treatment phase started when the measurements resumed in 2007/2008 until a wildfire in February 2008. Up to 36% increase in annual water yield was detected during the first post-treatment phase. Strip-thinning produced the largest cumulative increase in water yield (up to 1813. mm), followed by uniform thinning and patch-cutting. The magnitude of the treatment effect appeared to be amplified during a very wet/dry period, which may be due to post-thinning changes in the runoff generation processes. During the second post-treatment phase, a trend of decreased water yield was detected at several treated catchments. Canopy height profiles (CHPs) and mean effective leaf area index (LAI) that were derived from LiDAR data, along with recent forest inventory data, indicated a recovery of vegetation cover. This may partially explain the decrease in water yield. Meanwhile, the decade-long drought (1997-2008) that coincided with this period of decreased water yield might have exacerbated its magnitude. Thinning may not be a net water gain over the long term if the recent trend of decreasing water yield continues. © 2013 Elsevier B.V.","author":[{"dropping-particle":"","family":"Hawthorne","given":"Sandra N D","non-dropping-particle":"","parse-names":false,"suffix":""},{"dropping-particle":"","family":"Lane","given":"Patrick N J","non-dropping-particle":"","parse-names":false,"suffix":""},{"dropping-particle":"","family":"Bren","given":"Leon J.","non-dropping-particle":"","parse-names":false,"suffix":""},{"dropping-particle":"","family":"Sims","given":"Neil C.","non-dropping-particle":"","parse-names":false,"suffix":""}],"container-title":"Forest Ecology and Management","id":"ITEM-1","issued":{"date-parts":[["2013"]]},"page":"983-993","publisher":"Elsevier B.V.","title":"The long term effects of thinning treatments on vegetation structure and water yield","type":"article-journal","volume":"310"},"uris":["http://www.mendeley.com/documents/?uuid=d3862d37-506f-4659-8f3d-9e9cafd4d10a"]}],"mendeley":{"formattedCitation":"(Hawthorne &lt;i&gt;et al.&lt;/i&gt;, 2013)","manualFormatting":"Hawthorne et al. (2013)","plainTextFormattedCitation":"(Hawthorne et al., 2013)","previouslyFormattedCitation":"(Hawthorne &lt;i&gt;et al.&lt;/i&gt;, 2013)"},"properties":{"noteIndex":0},"schema":"https://github.com/citation-style-language/schema/raw/master/csl-citation.json"}</w:instrText>
      </w:r>
      <w:r>
        <w:fldChar w:fldCharType="separate"/>
      </w:r>
      <w:r w:rsidRPr="00B4400E">
        <w:rPr>
          <w:noProof/>
        </w:rPr>
        <w:t xml:space="preserve">Hawthorne </w:t>
      </w:r>
      <w:r w:rsidR="001C1F9A" w:rsidRPr="001C1F9A">
        <w:rPr>
          <w:i/>
          <w:noProof/>
        </w:rPr>
        <w:t>et al.</w:t>
      </w:r>
      <w:r w:rsidRPr="00B4400E">
        <w:rPr>
          <w:noProof/>
        </w:rPr>
        <w:t xml:space="preserve"> </w:t>
      </w:r>
      <w:r>
        <w:rPr>
          <w:noProof/>
        </w:rPr>
        <w:t>(</w:t>
      </w:r>
      <w:r w:rsidRPr="00B4400E">
        <w:rPr>
          <w:noProof/>
        </w:rPr>
        <w:t>2013)</w:t>
      </w:r>
      <w:r>
        <w:fldChar w:fldCharType="end"/>
      </w:r>
      <w:r w:rsidR="00022403">
        <w:t xml:space="preserve"> </w:t>
      </w:r>
      <w:r w:rsidR="00E45E72">
        <w:t xml:space="preserve">also </w:t>
      </w:r>
      <w:r w:rsidR="00022403">
        <w:t>quantified long-term responses to various types of thinning in 37</w:t>
      </w:r>
      <w:r w:rsidR="00A87989">
        <w:rPr>
          <w:rFonts w:cs="Arial"/>
        </w:rPr>
        <w:t>–</w:t>
      </w:r>
      <w:r w:rsidR="00022403">
        <w:t>45</w:t>
      </w:r>
      <w:r w:rsidR="00D718CB">
        <w:t> </w:t>
      </w:r>
      <w:r w:rsidR="00022403">
        <w:t xml:space="preserve">year old </w:t>
      </w:r>
      <w:r w:rsidR="00022403" w:rsidRPr="002A792F">
        <w:rPr>
          <w:i/>
        </w:rPr>
        <w:t>E. regnans</w:t>
      </w:r>
      <w:r w:rsidR="00022403">
        <w:t xml:space="preserve"> regrowth forest</w:t>
      </w:r>
      <w:r w:rsidR="00E45E72">
        <w:t>. They</w:t>
      </w:r>
      <w:r w:rsidR="00022403">
        <w:t xml:space="preserve"> show</w:t>
      </w:r>
      <w:r w:rsidR="00E45E72">
        <w:t>ed</w:t>
      </w:r>
      <w:r w:rsidR="00022403">
        <w:t xml:space="preserve"> that streamflow increases after thinning</w:t>
      </w:r>
      <w:r w:rsidR="00D718CB">
        <w:t xml:space="preserve"> were</w:t>
      </w:r>
      <w:r w:rsidR="00022403">
        <w:t xml:space="preserve"> evident for up to 20</w:t>
      </w:r>
      <w:r w:rsidR="00A87989">
        <w:t> </w:t>
      </w:r>
      <w:r w:rsidR="00022403">
        <w:t>years</w:t>
      </w:r>
      <w:r w:rsidR="00C1200C">
        <w:t>,</w:t>
      </w:r>
      <w:r w:rsidR="00022403">
        <w:t xml:space="preserve"> </w:t>
      </w:r>
      <w:r w:rsidR="00D718CB">
        <w:t xml:space="preserve">but </w:t>
      </w:r>
      <w:r w:rsidR="00022403">
        <w:t>were no longer detectable after about 30</w:t>
      </w:r>
      <w:r w:rsidR="00A87989">
        <w:t> </w:t>
      </w:r>
      <w:r w:rsidR="00022403">
        <w:t>years. Monitoring ceased for about 10</w:t>
      </w:r>
      <w:r w:rsidR="00C1200C">
        <w:t> </w:t>
      </w:r>
      <w:r w:rsidR="00022403">
        <w:t>years in the late 1990s</w:t>
      </w:r>
      <w:r w:rsidR="00A87989">
        <w:t>,</w:t>
      </w:r>
      <w:r w:rsidR="00022403">
        <w:t xml:space="preserve"> </w:t>
      </w:r>
      <w:r w:rsidR="00D718CB">
        <w:t xml:space="preserve">and </w:t>
      </w:r>
      <w:r w:rsidR="00022403">
        <w:t xml:space="preserve">when </w:t>
      </w:r>
      <w:r w:rsidR="00D718CB">
        <w:t xml:space="preserve">it </w:t>
      </w:r>
      <w:r w:rsidR="00022403">
        <w:t>resumed in 2007</w:t>
      </w:r>
      <w:r w:rsidR="00A87989">
        <w:rPr>
          <w:rFonts w:cs="Arial"/>
        </w:rPr>
        <w:t>–</w:t>
      </w:r>
      <w:r w:rsidR="00714757">
        <w:rPr>
          <w:rFonts w:cs="Arial"/>
        </w:rPr>
        <w:t>0</w:t>
      </w:r>
      <w:r w:rsidR="00022403">
        <w:t xml:space="preserve">8 </w:t>
      </w:r>
      <w:r w:rsidR="00E45E72">
        <w:t xml:space="preserve">the </w:t>
      </w:r>
      <w:r w:rsidR="00022403">
        <w:t>streamflows had declined slightly</w:t>
      </w:r>
      <w:r w:rsidR="00C1200C" w:rsidRPr="00C1200C">
        <w:t xml:space="preserve"> </w:t>
      </w:r>
      <w:r w:rsidR="00C1200C">
        <w:t>in most treated catchments</w:t>
      </w:r>
      <w:r w:rsidR="00022403">
        <w:t xml:space="preserve">, relative to the control catchment, indicating that “the view of thinning as a net water gain may not hold if this trend continued”. </w:t>
      </w:r>
      <w:r w:rsidR="00C5230D">
        <w:t>Airborne ‘Light Detection And Ranging’ (LiDAR)</w:t>
      </w:r>
      <w:r w:rsidR="00022403">
        <w:t xml:space="preserve"> measurements of vegetation structure indicated a partial recovery of vegetation in the thinned catchments.</w:t>
      </w:r>
      <w:r w:rsidR="00D3640F">
        <w:t xml:space="preserve"> </w:t>
      </w:r>
      <w:r>
        <w:fldChar w:fldCharType="begin" w:fldLock="1"/>
      </w:r>
      <w:r w:rsidR="00627104">
        <w:instrText>ADDIN CSL_CITATION {"citationItems":[{"id":"ITEM-1","itemData":{"DOI":"10.1016/j.jhydrol.2012.07.034","ISSN":"00221694","abstract":"The Karuah replicated paired catchment experiment was initiated in the 1970s to examine the hydrological effects of eucalypt-to-eucalypt forest succession in New South Wales, Australia. Treatments were conducted on 25.4-78.8% of the area of six small catchments in 1983. Five of the treated catchments experienced a significant increase in streamflow following forest disturbance, equivalent to annual water yield changes ranging from 120mm to 319.6mm which varied in proportion to the percentage of each catchment logged. This initial increase lasted for greater than 5years in the logged and unburnt Bollygum (L-) catchment, but had returned to pre-treatment levels within 2.5years in the logged and burnt (L+) Corkwood and Jackwood catchments, and within 2years in the Kokata and Coachwood plantation catchments (P). A significant reduction in streamflow then occurred in three catchments - Corkwood (113.5mma -1), Bollygum (72.7mma -1) and Kokata (68.9mma -1) - but had returned to the pre-treatment level within 7years post-harvest in the Corkwood catchment. A continuing suppression of streamflow after 27years is evident in two of the catchments, Bollygum and Kokata, with Kokata experiencing a further decline from 2005 onwards to a mean annual reduction of 172.4mm. By contrast a significant increase in streamflow relative to the pre-treatment level has been recorded in the Jackwood catchment after 23years (157.6mma -1). Relative changes in streamflow measured in this experiment can be explained largely by changes in forest species composition, basal area and stocking rates. The eucalypt stands have variously self-thinned and in some cases forest growth appears to have been slowed by insect attack and bell miner associated dieback. Contrary to earlier published findings, while this study confirms that Mountain ash type water yield reductions can occur in other forest types, this response appears to be the exception rather than the rule. These findings have implications for the modelling and management of water yield impacts of mixed species eucalypt forest disturbance. © 2012 Elsevier B.V.","author":[{"dropping-particle":"","family":"Webb","given":"Ashley A.","non-dropping-particle":"","parse-names":false,"suffix":""},{"dropping-particle":"","family":"Kathuria","given":"Amrit","non-dropping-particle":"","parse-names":false,"suffix":""},{"dropping-particle":"","family":"Turner","given":"Lisa","non-dropping-particle":"","parse-names":false,"suffix":""}],"container-title":"Journal of Hydrology","id":"ITEM-1","issued":{"date-parts":[["2012"]]},"page":"412-422","publisher":"Elsevier B.V.","title":"Longer-term changes in streamflow following logging and mixed species eucalypt forest regeneration: The Karuah experiment","type":"article-journal","volume":"464-465"},"uris":["http://www.mendeley.com/documents/?uuid=2b68f6b0-7b2c-4e73-b222-64aa3fe074ed"]}],"mendeley":{"formattedCitation":"(Webb &lt;i&gt;et al.&lt;/i&gt;, 2012)","manualFormatting":"Webb et al. (2012)","plainTextFormattedCitation":"(Webb et al., 2012)","previouslyFormattedCitation":"(Webb &lt;i&gt;et al.&lt;/i&gt;, 2012)"},"properties":{"noteIndex":0},"schema":"https://github.com/citation-style-language/schema/raw/master/csl-citation.json"}</w:instrText>
      </w:r>
      <w:r>
        <w:fldChar w:fldCharType="separate"/>
      </w:r>
      <w:r w:rsidRPr="00B4400E">
        <w:rPr>
          <w:noProof/>
        </w:rPr>
        <w:t xml:space="preserve">Webb </w:t>
      </w:r>
      <w:r w:rsidR="001C1F9A" w:rsidRPr="001C1F9A">
        <w:rPr>
          <w:i/>
          <w:noProof/>
        </w:rPr>
        <w:t>et al.</w:t>
      </w:r>
      <w:r w:rsidRPr="00B4400E">
        <w:rPr>
          <w:noProof/>
        </w:rPr>
        <w:t xml:space="preserve"> </w:t>
      </w:r>
      <w:r>
        <w:rPr>
          <w:noProof/>
        </w:rPr>
        <w:t>(</w:t>
      </w:r>
      <w:r w:rsidRPr="00B4400E">
        <w:rPr>
          <w:noProof/>
        </w:rPr>
        <w:t>2012)</w:t>
      </w:r>
      <w:r>
        <w:fldChar w:fldCharType="end"/>
      </w:r>
      <w:r>
        <w:t xml:space="preserve"> </w:t>
      </w:r>
      <w:r w:rsidR="00022403">
        <w:t xml:space="preserve">showed that in </w:t>
      </w:r>
      <w:r w:rsidR="005A53E6">
        <w:t>mixed-species</w:t>
      </w:r>
      <w:r w:rsidR="00022403">
        <w:t xml:space="preserve"> forests in northern NSW, streamflows usually returned to pre-treatment levels within a few decades: a long-term Kuczera-type streamflow reduction was an exception, rather than the rule.</w:t>
      </w:r>
    </w:p>
    <w:p w14:paraId="4A68863A" w14:textId="6BE69B75" w:rsidR="00A10554" w:rsidRDefault="00A10554" w:rsidP="00A10554">
      <w:pPr>
        <w:pStyle w:val="Para0"/>
        <w:pBdr>
          <w:top w:val="single" w:sz="4" w:space="1" w:color="auto"/>
          <w:left w:val="single" w:sz="4" w:space="4" w:color="auto"/>
          <w:bottom w:val="single" w:sz="4" w:space="1" w:color="auto"/>
          <w:right w:val="single" w:sz="4" w:space="4" w:color="auto"/>
        </w:pBdr>
        <w:spacing w:after="360"/>
      </w:pPr>
      <w:r w:rsidRPr="000A6466">
        <w:rPr>
          <w:b/>
          <w:bCs/>
        </w:rPr>
        <w:t>In summary</w:t>
      </w:r>
      <w:r w:rsidRPr="00627104">
        <w:rPr>
          <w:b/>
          <w:bCs/>
        </w:rPr>
        <w:t>,</w:t>
      </w:r>
      <w:r>
        <w:t xml:space="preserve"> recent research has demonstrated that thinning can increase </w:t>
      </w:r>
      <w:r w:rsidR="007877C7">
        <w:t>catchment water yield</w:t>
      </w:r>
      <w:r>
        <w:t xml:space="preserve">s in the first few decades after treatment but these differences </w:t>
      </w:r>
      <w:r w:rsidR="00957170">
        <w:t xml:space="preserve">seem </w:t>
      </w:r>
      <w:r>
        <w:t>to disappear after 20 to 30</w:t>
      </w:r>
      <w:r w:rsidR="00657A1A">
        <w:t> </w:t>
      </w:r>
      <w:r>
        <w:t xml:space="preserve">years. </w:t>
      </w:r>
    </w:p>
    <w:p w14:paraId="408ED4B3" w14:textId="1E73A045" w:rsidR="00CC6486" w:rsidRDefault="00CC6486" w:rsidP="00CC6486">
      <w:pPr>
        <w:pStyle w:val="Heading2"/>
      </w:pPr>
      <w:bookmarkStart w:id="27" w:name="_Toc36033087"/>
      <w:r>
        <w:t xml:space="preserve">Analysis of recommendations from </w:t>
      </w:r>
      <w:r w:rsidR="00657A1A">
        <w:t xml:space="preserve">the </w:t>
      </w:r>
      <w:r>
        <w:t>WWS</w:t>
      </w:r>
      <w:r w:rsidR="00B86C5D">
        <w:t>2008</w:t>
      </w:r>
      <w:r>
        <w:t xml:space="preserve"> Macaque modelling report</w:t>
      </w:r>
      <w:bookmarkEnd w:id="27"/>
    </w:p>
    <w:p w14:paraId="38B1097D" w14:textId="145CA4B3" w:rsidR="00190D36" w:rsidRDefault="00CC6486" w:rsidP="00CC6486">
      <w:pPr>
        <w:pStyle w:val="Heading3"/>
      </w:pPr>
      <w:bookmarkStart w:id="28" w:name="_Ref24450916"/>
      <w:bookmarkStart w:id="29" w:name="_Toc36033088"/>
      <w:r>
        <w:t>I</w:t>
      </w:r>
      <w:r w:rsidR="00190D36">
        <w:t>mproved methods for understanding and modelling spatial variations in AET</w:t>
      </w:r>
      <w:r w:rsidR="00B328DE">
        <w:t xml:space="preserve"> and improved methods for understanding and modelling response of vegetation to bushfire</w:t>
      </w:r>
      <w:bookmarkEnd w:id="28"/>
      <w:bookmarkEnd w:id="29"/>
    </w:p>
    <w:p w14:paraId="40F99C03" w14:textId="142C964F" w:rsidR="007E11AD" w:rsidRDefault="00C611F3" w:rsidP="00727238">
      <w:pPr>
        <w:pStyle w:val="Para0"/>
      </w:pPr>
      <w:r>
        <w:fldChar w:fldCharType="begin" w:fldLock="1"/>
      </w:r>
      <w:r w:rsidR="00627104">
        <w:instrText>ADDIN CSL_CITATION {"citationItems":[{"id":"ITEM-1","itemData":{"author":[{"dropping-particle":"","family":"Feikema","given":"PM","non-dropping-particle":"","parse-names":false,"suffix":""},{"dropping-particle":"","family":"Lane","given":"PNJ","non-dropping-particle":"","parse-names":false,"suffix":""},{"dropping-particle":"","family":"Sherwin","given":"CB","non-dropping-particle":"","parse-names":false,"suffix":""}],"id":"ITEM-1","issued":{"date-parts":[["2008"]]},"title":"Hydrological studies into the impact of timber harvesting on water yield in state forests supplying water to Melbourne – Part 2 of Hydrological studies (Climate change and Bushfire)","type":"report"},"uris":["http://www.mendeley.com/documents/?uuid=c6d63285-7e7e-4e77-ae35-e785fc2967c2"]}],"mendeley":{"formattedCitation":"(Feikema &lt;i&gt;et al.&lt;/i&gt;, 2008)","manualFormatting":"Feikema et al. (2008)","plainTextFormattedCitation":"(Feikema et al., 2008)","previouslyFormattedCitation":"(Feikema &lt;i&gt;et al.&lt;/i&gt;, 2008)"},"properties":{"noteIndex":0},"schema":"https://github.com/citation-style-language/schema/raw/master/csl-citation.json"}</w:instrText>
      </w:r>
      <w:r>
        <w:fldChar w:fldCharType="separate"/>
      </w:r>
      <w:r w:rsidRPr="00C611F3">
        <w:rPr>
          <w:noProof/>
        </w:rPr>
        <w:t xml:space="preserve">Feikema </w:t>
      </w:r>
      <w:r w:rsidRPr="00C611F3">
        <w:rPr>
          <w:i/>
          <w:noProof/>
        </w:rPr>
        <w:t>et al.</w:t>
      </w:r>
      <w:r w:rsidRPr="00C611F3">
        <w:rPr>
          <w:noProof/>
        </w:rPr>
        <w:t xml:space="preserve"> </w:t>
      </w:r>
      <w:r>
        <w:rPr>
          <w:noProof/>
        </w:rPr>
        <w:t>(</w:t>
      </w:r>
      <w:r w:rsidRPr="00C611F3">
        <w:rPr>
          <w:noProof/>
        </w:rPr>
        <w:t>2008)</w:t>
      </w:r>
      <w:r>
        <w:fldChar w:fldCharType="end"/>
      </w:r>
      <w:r>
        <w:t xml:space="preserve"> </w:t>
      </w:r>
      <w:r w:rsidR="007E11AD">
        <w:t>identified three specific areas where</w:t>
      </w:r>
      <w:r w:rsidR="00A937F7">
        <w:t xml:space="preserve"> </w:t>
      </w:r>
      <w:r w:rsidR="007E11AD">
        <w:t>“limitations and uncertainties point to avenues for further research to improve our parameterisation and confidence in representing these systems”.</w:t>
      </w:r>
    </w:p>
    <w:p w14:paraId="2BA4D7F3" w14:textId="0D8F1B0F" w:rsidR="007E11AD" w:rsidRDefault="007E11AD">
      <w:pPr>
        <w:pStyle w:val="Para0"/>
      </w:pPr>
      <w:r>
        <w:t>The first</w:t>
      </w:r>
      <w:r w:rsidR="00B328DE">
        <w:t xml:space="preserve"> and third</w:t>
      </w:r>
      <w:r>
        <w:t xml:space="preserve"> specific issue</w:t>
      </w:r>
      <w:r w:rsidR="00B328DE">
        <w:t>s</w:t>
      </w:r>
      <w:r>
        <w:t xml:space="preserve"> that they identified </w:t>
      </w:r>
      <w:r w:rsidR="00B328DE">
        <w:t>were</w:t>
      </w:r>
      <w:r w:rsidR="00A937F7">
        <w:t>:</w:t>
      </w:r>
    </w:p>
    <w:p w14:paraId="720B672F" w14:textId="70917F93" w:rsidR="00B86C5D" w:rsidRDefault="007E11AD" w:rsidP="007E11AD">
      <w:pPr>
        <w:pStyle w:val="Quotation"/>
        <w:rPr>
          <w:i w:val="0"/>
        </w:rPr>
      </w:pPr>
      <w:r>
        <w:t>Ground truthing of LAI</w:t>
      </w:r>
      <w:r w:rsidR="00A937F7">
        <w:t xml:space="preserve"> </w:t>
      </w:r>
      <w:r w:rsidR="00A937F7" w:rsidRPr="00A937F7">
        <w:t>[Leaf Area Index]</w:t>
      </w:r>
      <w:r>
        <w:t>. Macaque uses a single relationship of LAI over time for a given forest type, irrespective of growing conditions or location. Ground truthing of LAI, and preferably calibration of some form of remotely sensed data to enable a spatial representation over time, would provide a basis for examining the accuracy of the LAI representation within the model.</w:t>
      </w:r>
    </w:p>
    <w:p w14:paraId="2DEB017D" w14:textId="63F967AE" w:rsidR="007E11AD" w:rsidRPr="00B328DE" w:rsidRDefault="00C5230D" w:rsidP="00627104">
      <w:pPr>
        <w:pStyle w:val="Quotation"/>
        <w:ind w:left="0"/>
        <w:rPr>
          <w:i w:val="0"/>
        </w:rPr>
      </w:pPr>
      <w:r>
        <w:rPr>
          <w:i w:val="0"/>
        </w:rPr>
        <w:t>A</w:t>
      </w:r>
      <w:r w:rsidR="00B328DE">
        <w:rPr>
          <w:i w:val="0"/>
        </w:rPr>
        <w:t>nd</w:t>
      </w:r>
    </w:p>
    <w:p w14:paraId="3A7BA9E8" w14:textId="35076F2A" w:rsidR="00B328DE" w:rsidRDefault="00B328DE" w:rsidP="00B328DE">
      <w:pPr>
        <w:pStyle w:val="Quotation"/>
      </w:pPr>
      <w:r>
        <w:lastRenderedPageBreak/>
        <w:t>The response of vegetation to fire. Especially in the case of mixed species forests, there are very few, if any, studies that have investigated the transpiration characteristics of recently burnt trees when they start producing epicormic shoots following fire. The recovery of trees after a fire and the consequent evapotranspiration depends largely on the species response to fire and the degree to which the vegetation was burnt. A fire may severely scorch a tree, but not result in mortality. Experimental data to help understand how mixed species forests respond to fire would improve the representation of post-fire development of LAI within Macaque.</w:t>
      </w:r>
    </w:p>
    <w:p w14:paraId="1C83B196" w14:textId="0A367428" w:rsidR="007E11AD" w:rsidRDefault="00B328DE" w:rsidP="00022403">
      <w:pPr>
        <w:pStyle w:val="Para0"/>
      </w:pPr>
      <w:r>
        <w:t>Since the completion of WWS2008 there have been several field investigation campaigns, which have provided improved understanding of spatial and temporal variations in AET across parts of Melbourne’s forested catchments and other similar forest types.</w:t>
      </w:r>
      <w:r w:rsidR="00F61666">
        <w:t xml:space="preserve"> This section discusses how those experimental studies pertain to the two recommendations from Feikema </w:t>
      </w:r>
      <w:r w:rsidR="001C1F9A" w:rsidRPr="001C1F9A">
        <w:rPr>
          <w:i/>
        </w:rPr>
        <w:t>et al.</w:t>
      </w:r>
      <w:r w:rsidR="00F61666">
        <w:t xml:space="preserve"> (2008) and hence the findings from WWS2008.</w:t>
      </w:r>
    </w:p>
    <w:p w14:paraId="5AD62A1D" w14:textId="0D8009B2" w:rsidR="00F61666" w:rsidRDefault="00F61666" w:rsidP="00F61666">
      <w:pPr>
        <w:pStyle w:val="Para0"/>
      </w:pPr>
      <w:r>
        <w:t>Spatio</w:t>
      </w:r>
      <w:r w:rsidR="00C5230D">
        <w:t>-</w:t>
      </w:r>
      <w:r>
        <w:t>temporal maps of sapwood area at catchment scale, derived using forest inventory or LiDAR data, can be used to accurately map annual evapotranspiration</w:t>
      </w:r>
      <w:r w:rsidR="00C5230D">
        <w:t>. W</w:t>
      </w:r>
      <w:r>
        <w:t>hen this information is combined with maps of precipitation, it is possible to reliably predict annual or seasonal streamflows</w:t>
      </w:r>
      <w:r w:rsidR="00171410">
        <w:t xml:space="preserve"> </w:t>
      </w:r>
      <w:r w:rsidR="00254800">
        <w:fldChar w:fldCharType="begin" w:fldLock="1"/>
      </w:r>
      <w:r w:rsidR="0010108C">
        <w:instrText>ADDIN CSL_CITATION {"citationItems":[{"id":"ITEM-1","itemData":{"DOI":"doi.org/10.1002/eco.255","author":[{"dropping-particle":"","family":"Mitchell","given":"Patrick J","non-dropping-particle":"","parse-names":false,"suffix":""},{"dropping-particle":"","family":"Lane","given":"Patrick N J","non-dropping-particle":"","parse-names":false,"suffix":""},{"dropping-particle":"","family":"Benyon","given":"Richard G","non-dropping-particle":"","parse-names":false,"suffix":""}],"container-title":"Ecohydrology","id":"ITEM-1","issue":"6","issued":{"date-parts":[["2011"]]},"page":"708-720","publisher":"Wiley Online Library","title":"Capturing within catchment variation in evapotranspiration from montane forests using LiDAR canopy profiles with measured and modelled fluxes of water","type":"article-journal","volume":"5"},"uris":["http://www.mendeley.com/documents/?uuid=04dd4852-4f6a-4b84-892d-dbfd55914e82"]},{"id":"ITEM-2","itemData":{"DOI":"10.1002/ 2015WR017321","author":[{"dropping-particle":"","family":"Benyon","given":"Richard G","non-dropping-particle":"","parse-names":false,"suffix":""},{"dropping-particle":"","family":"Lane","given":"Patrick N J","non-dropping-particle":"","parse-names":false,"suffix":""},{"dropping-particle":"","family":"Jaskierniak","given":"Dominik","non-dropping-particle":"","parse-names":false,"suffix":""},{"dropping-particle":"","family":"Kuczera","given":"George","non-dropping-particle":"","parse-names":false,"suffix":""},{"dropping-particle":"","family":"Haydon","given":"Shane R","non-dropping-particle":"","parse-names":false,"suffix":""}],"container-title":"Water Resources Research","id":"ITEM-2","issue":"7","issued":{"date-parts":[["2015"]]},"page":"5318-5331","title":"Use of a forest sapwood area index to explain long-term variability in mean annual evapotranspiration and streamflow in Moist Eucalypt Forests","type":"article-journal","volume":"51"},"uris":["http://www.mendeley.com/documents/?uuid=60c8d14d-da03-45b6-a90a-2c55e2919403"]},{"id":"ITEM-3","itemData":{"DOI":"10.3390/rs70607298","ISSN":"20724292","abstract":"Managers of forested water supply catchments require efficient and accurate methods to quantify changes in forest water use due to changes in forest structure and \\r\\ndensity after disturbance. Using Light Detection and Ranging (LiDAR) data with as few as 0.9 pulses m−2, we applied a local maximum filtering (LMF) method and normalised cut (NCut) algorithm to predict stocking density (SDen) of a 69-year-old Eucalyptus regnans forest comprising 251 plots with resolution of the order of 0.04 ha. Using the NCut method we predicted basal area (BAHa) per hectare and sapwood area (SAHa) per hectare, a \\r\\nwell-established proxy for transpiration. Sapwood area was also indirectly estimated with allometric relationships dependent on LiDAR derived SDen and BAHa using a computationally efficient procedure. The individual tree detection (ITD) rates for the LMF and NCut methods respectively had 72% and 68% of stems correctly identified, 25% and 20% of stems missed, and 2% and 12% of stems over-segmented. The significantly higher computational requirement of the NCut algorithm makes the LMF method more suitable for predicting SDen across large forested areas. Using NCut derived ITD segments, observed versus predicted stand BAHa had R2 ranging from 0.70 to 0.98 across six catchments, whereas a generalised parsimonious model applied to all sites used the portion of hits greater than 37 m in height (PH37) to explain 68% of BAHa. For extrapolating one ha resolution SAHa estimates across large forested catchments, we found that directly relating SAHa to NCut derived LiDAR indices (R2 = 0.56) was slightly more accurate but computationally more demanding than indirect estimates of SAHa using allometric relationships consisting of BAHa (R2 = 0.50) or a sapwood perimeter index, defined as (BAHaSDen)½ (R2 = 0.48).","author":[{"dropping-particle":"","family":"Jaskierniak","given":"Dominik","non-dropping-particle":"","parse-names":false,"suffix":""},{"dropping-particle":"","family":"Kuczera","given":"George","non-dropping-particle":"","parse-names":false,"suffix":""},{"dropping-particle":"","family":"Benyon","given":"Richard","non-dropping-particle":"","parse-names":false,"suffix":""},{"dropping-particle":"","family":"Wallace","given":"Luke","non-dropping-particle":"","parse-names":false,"suffix":""}],"container-title":"Remote Sensing","id":"ITEM-3","issue":"6","issued":{"date-parts":[["2015"]]},"page":"7298-7323","title":"Using tree detection algorithms to predict stand sapwood area, basal area and stocking density in Eucalyptus regnans forest","type":"article-journal","volume":"7"},"uris":["http://www.mendeley.com/documents/?uuid=5ac9979b-f4bc-49f4-832a-9d75a20b4b60"]},{"id":"ITEM-4","itemData":{"DOI":"10.1016/j.jhydrol.2018.10.075","ISSN":"00221694","abstract":"Forest growth dynamics affect streamflow with changes in actual evapotranspiration (AET) during forest regeneration. Using a “top-down” model approach, we present a seasonal forest hydrology model that estimates streamflow in forested catchments containing sparse soil and climate data. Across a 1423 km2 remote study area, a rainfall interpolation procedure using available rainfall data and information on terrain was integrated into a new seasonal streamflow model, called ABCF, which uses catchment sapwood area (SA) as the emergent property that equilibrates with potential evapotranspiration (PET), and a soil storage threshold that reduces AET below PET when soil water is limiting. We produce seasonal estimates of streamflow with Nash Sutcliffe efficiencies of 0.85, 0.87, and 0.91 for three major catchments within the study area. A fundamental feature of the “top-down” model approach is the use of LiDAR data and forest inventory data to model forest structural properties that relate strongly with SA. Building on our previous work with this modelling framework, our representation of eco-hydrological properties of the forest has been refined with a more accurate procedure for estimating stand mean sapwood thickness, and hence SA, and a remotely sensed tree stocking density (N) of old-growth forests to correct the temporal evolution of N as a means to improve SA estimates. Regional consistency of model parameters shows that the “top-down” modelling framework may be used to estimate streamflow in ungauged catchments using a forest growth model. The seasonal model generalised for both water-limited and water-unlimited forest conditions has significant potential for application in water supply planning and drought security.","author":[{"dropping-particle":"","family":"Jaskierniak","given":"Dominik","non-dropping-particle":"","parse-names":false,"suffix":""},{"dropping-particle":"","family":"Kuczera","given":"George","non-dropping-particle":"","parse-names":false,"suffix":""},{"dropping-particle":"","family":"Benyon","given":"Richard G.","non-dropping-particle":"","parse-names":false,"suffix":""},{"dropping-particle":"","family":"Haydon","given":"Shane","non-dropping-particle":"","parse-names":false,"suffix":""},{"dropping-particle":"","family":"Lane","given":"Patrick N.J.","non-dropping-particle":"","parse-names":false,"suffix":""}],"container-title":"Journal of Hydrology","id":"ITEM-4","issued":{"date-parts":[["2019"]]},"page":"372-384","publisher":"Elsevier","title":"Top-down seasonal streamflow model with spatiotemporal forest sapwood area","type":"article-journal","volume":"568"},"uris":["http://www.mendeley.com/documents/?uuid=3db71e78-c7e6-42d8-8ac4-ad75e69dbb80"]},{"id":"ITEM-5","itemData":{"DOI":"10.1002/2015WR018029","author":[{"dropping-particle":"","family":"Jaskierniak","given":"D","non-dropping-particle":"","parse-names":false,"suffix":""},{"dropping-particle":"","family":"Kuczera","given":"G","non-dropping-particle":"","parse-names":false,"suffix":""},{"dropping-particle":"","family":"Benyon","given":"R","non-dropping-particle":"","parse-names":false,"suffix":""}],"container-title":"Water Resources Research","id":"ITEM-5","issue":"4","issued":{"date-parts":[["2016"]]},"page":"3052-3067","publisher":"Wiley Online Library","title":"Predicting long-term streamflow variability in moist eucalypt forests using forest growth models and a sapwood area index","type":"article-journal","volume":"52"},"uris":["http://www.mendeley.com/documents/?uuid=55a705ed-17db-4c19-98dc-8f9d1f13be44"]}],"mendeley":{"formattedCitation":"(Mitchell &lt;i&gt;et al.&lt;/i&gt;, 2011; Benyon &lt;i&gt;et al.&lt;/i&gt;, 2015; Jaskierniak &lt;i&gt;et al.&lt;/i&gt;, 2015, 2016, 2019)","plainTextFormattedCitation":"(Mitchell et al., 2011; Benyon et al., 2015; Jaskierniak et al., 2015, 2016, 2019)","previouslyFormattedCitation":"(Mitchell &lt;i&gt;et al.&lt;/i&gt;, 2011; Benyon &lt;i&gt;et al.&lt;/i&gt;, 2015; Jaskierniak &lt;i&gt;et al.&lt;/i&gt;, 2015, 2016, 2019)"},"properties":{"noteIndex":0},"schema":"https://github.com/citation-style-language/schema/raw/master/csl-citation.json"}</w:instrText>
      </w:r>
      <w:r w:rsidR="00254800">
        <w:fldChar w:fldCharType="separate"/>
      </w:r>
      <w:r w:rsidR="0010108C" w:rsidRPr="0010108C">
        <w:rPr>
          <w:noProof/>
        </w:rPr>
        <w:t xml:space="preserve">(Mitchell </w:t>
      </w:r>
      <w:r w:rsidR="0010108C" w:rsidRPr="0010108C">
        <w:rPr>
          <w:i/>
          <w:noProof/>
        </w:rPr>
        <w:t>et al.</w:t>
      </w:r>
      <w:r w:rsidR="0010108C" w:rsidRPr="0010108C">
        <w:rPr>
          <w:noProof/>
        </w:rPr>
        <w:t xml:space="preserve">, 2011; Benyon </w:t>
      </w:r>
      <w:r w:rsidR="0010108C" w:rsidRPr="0010108C">
        <w:rPr>
          <w:i/>
          <w:noProof/>
        </w:rPr>
        <w:t>et al.</w:t>
      </w:r>
      <w:r w:rsidR="0010108C" w:rsidRPr="0010108C">
        <w:rPr>
          <w:noProof/>
        </w:rPr>
        <w:t xml:space="preserve">, 2015; Jaskierniak </w:t>
      </w:r>
      <w:r w:rsidR="0010108C" w:rsidRPr="0010108C">
        <w:rPr>
          <w:i/>
          <w:noProof/>
        </w:rPr>
        <w:t>et al.</w:t>
      </w:r>
      <w:r w:rsidR="0010108C" w:rsidRPr="0010108C">
        <w:rPr>
          <w:noProof/>
        </w:rPr>
        <w:t>, 2015, 2016, 2019)</w:t>
      </w:r>
      <w:r w:rsidR="00254800">
        <w:fldChar w:fldCharType="end"/>
      </w:r>
      <w:r>
        <w:t xml:space="preserve">. The Macaque model used in WWS2008 requires two inputs </w:t>
      </w:r>
      <w:r w:rsidR="00B86C5D">
        <w:t xml:space="preserve">– </w:t>
      </w:r>
      <w:r>
        <w:t>leaf area index and leaf conductance</w:t>
      </w:r>
      <w:r w:rsidR="00B86C5D">
        <w:t xml:space="preserve"> –</w:t>
      </w:r>
      <w:r>
        <w:t xml:space="preserve"> </w:t>
      </w:r>
      <w:r w:rsidR="00B86C5D">
        <w:t xml:space="preserve">to determine evapotranspiration, </w:t>
      </w:r>
      <w:r>
        <w:t>and the model simulates the changing influence of forest age on these inputs over time. However, more recent approaches have shown that a single variable, sapwood area index</w:t>
      </w:r>
      <w:r w:rsidR="00C5230D">
        <w:t xml:space="preserve"> (SAI)</w:t>
      </w:r>
      <w:r>
        <w:t>, can be used to predict annual AET and that this property can be mapped spatially and temporally using commonly collected forest inventory data and LiDAR.</w:t>
      </w:r>
    </w:p>
    <w:p w14:paraId="7A3E6098" w14:textId="185A3CF2" w:rsidR="00F61666" w:rsidRDefault="00C5230D" w:rsidP="00190D36">
      <w:pPr>
        <w:pStyle w:val="Para0"/>
      </w:pPr>
      <w:r>
        <w:t xml:space="preserve">The recommendations from Feikema </w:t>
      </w:r>
      <w:r w:rsidR="001C1F9A" w:rsidRPr="001C1F9A">
        <w:rPr>
          <w:i/>
        </w:rPr>
        <w:t>et al.</w:t>
      </w:r>
      <w:r>
        <w:t xml:space="preserve"> (2008) specifically address the need to revisit LAI. Since 2008, the collection of relevant remotely sensed data</w:t>
      </w:r>
      <w:r w:rsidR="00B407AA">
        <w:t xml:space="preserve"> has improved, as also has </w:t>
      </w:r>
      <w:r>
        <w:t xml:space="preserve">the predictive capability of SAI over LAI. Therefore, </w:t>
      </w:r>
      <w:r w:rsidR="00044E7C">
        <w:t xml:space="preserve">future modelling of </w:t>
      </w:r>
      <w:r w:rsidR="007877C7">
        <w:t>catchment water yield</w:t>
      </w:r>
      <w:r w:rsidR="00044E7C">
        <w:t xml:space="preserve"> should transition to use SAI instead of LAI. </w:t>
      </w:r>
      <w:r w:rsidR="0010108C">
        <w:fldChar w:fldCharType="begin" w:fldLock="1"/>
      </w:r>
      <w:r w:rsidR="00627104">
        <w:instrText>ADDIN CSL_CITATION {"citationItems":[{"id":"ITEM-1","itemData":{"DOI":"doi.org/10.1002/eco.255","author":[{"dropping-particle":"","family":"Mitchell","given":"Patrick J","non-dropping-particle":"","parse-names":false,"suffix":""},{"dropping-particle":"","family":"Lane","given":"Patrick N J","non-dropping-particle":"","parse-names":false,"suffix":""},{"dropping-particle":"","family":"Benyon","given":"Richard G","non-dropping-particle":"","parse-names":false,"suffix":""}],"container-title":"Ecohydrology","id":"ITEM-1","issue":"6","issued":{"date-parts":[["2011"]]},"page":"708-720","publisher":"Wiley Online Library","title":"Capturing within catchment variation in evapotranspiration from montane forests using LiDAR canopy profiles with measured and modelled fluxes of water","type":"article-journal","volume":"5"},"uris":["http://www.mendeley.com/documents/?uuid=04dd4852-4f6a-4b84-892d-dbfd55914e82"]}],"mendeley":{"formattedCitation":"(Mitchell &lt;i&gt;et al.&lt;/i&gt;, 2011)","manualFormatting":"Mitchell et al. (2011)","plainTextFormattedCitation":"(Mitchell et al., 2011)","previouslyFormattedCitation":"(Mitchell &lt;i&gt;et al.&lt;/i&gt;, 2011)"},"properties":{"noteIndex":0},"schema":"https://github.com/citation-style-language/schema/raw/master/csl-citation.json"}</w:instrText>
      </w:r>
      <w:r w:rsidR="0010108C">
        <w:fldChar w:fldCharType="separate"/>
      </w:r>
      <w:r w:rsidR="0010108C" w:rsidRPr="0010108C">
        <w:rPr>
          <w:noProof/>
        </w:rPr>
        <w:t xml:space="preserve">Mitchell </w:t>
      </w:r>
      <w:r w:rsidR="0010108C" w:rsidRPr="0010108C">
        <w:rPr>
          <w:i/>
          <w:noProof/>
        </w:rPr>
        <w:t>et al.</w:t>
      </w:r>
      <w:r w:rsidR="0010108C" w:rsidRPr="0010108C">
        <w:rPr>
          <w:noProof/>
        </w:rPr>
        <w:t xml:space="preserve"> </w:t>
      </w:r>
      <w:r w:rsidR="0010108C">
        <w:rPr>
          <w:noProof/>
        </w:rPr>
        <w:t>(</w:t>
      </w:r>
      <w:r w:rsidR="0010108C" w:rsidRPr="0010108C">
        <w:rPr>
          <w:noProof/>
        </w:rPr>
        <w:t>2011)</w:t>
      </w:r>
      <w:r w:rsidR="0010108C">
        <w:fldChar w:fldCharType="end"/>
      </w:r>
      <w:r w:rsidR="0010108C">
        <w:t xml:space="preserve"> </w:t>
      </w:r>
      <w:r w:rsidR="00044E7C">
        <w:t xml:space="preserve">observe that, “merging of detailed forest structural data and field-validated evapotranspiration fluxes offers promise in advancing our understanding and prediction of key ecohydrologic processes in forested catchments”. </w:t>
      </w:r>
      <w:r w:rsidR="00B407AA">
        <w:t>In Section 5.6 there is f</w:t>
      </w:r>
      <w:r w:rsidR="00044E7C">
        <w:t>urther discussion of recommended future modelling approaches.</w:t>
      </w:r>
    </w:p>
    <w:p w14:paraId="25EEE140" w14:textId="58E0D7FF" w:rsidR="00D3640F" w:rsidRDefault="00AD4C38" w:rsidP="00190D36">
      <w:pPr>
        <w:pStyle w:val="Para0"/>
      </w:pPr>
      <w:r>
        <w:t>I</w:t>
      </w:r>
      <w:r w:rsidR="00D3640F">
        <w:t xml:space="preserve">n catchments dominated by </w:t>
      </w:r>
      <w:r w:rsidR="0082184B">
        <w:t xml:space="preserve">forests of </w:t>
      </w:r>
      <w:r w:rsidR="00D3640F">
        <w:t>obligate r</w:t>
      </w:r>
      <w:r w:rsidR="00C46FE1">
        <w:t>e</w:t>
      </w:r>
      <w:r w:rsidR="00D3640F">
        <w:t>seed</w:t>
      </w:r>
      <w:r w:rsidR="0082184B">
        <w:t>ers</w:t>
      </w:r>
      <w:r w:rsidR="00D3640F">
        <w:t xml:space="preserve">, </w:t>
      </w:r>
      <w:r>
        <w:t xml:space="preserve">several studies </w:t>
      </w:r>
      <w:r w:rsidR="00D3640F">
        <w:t>completed since 2008 have confirmed the long-term “Kuczera curve”</w:t>
      </w:r>
      <w:r w:rsidR="00B86C5D">
        <w:t>-</w:t>
      </w:r>
      <w:r w:rsidR="00D3640F">
        <w:t xml:space="preserve">type response of </w:t>
      </w:r>
      <w:r w:rsidR="00A937F7">
        <w:t xml:space="preserve">evapotranspiration </w:t>
      </w:r>
      <w:r w:rsidR="00D3640F">
        <w:t xml:space="preserve">and </w:t>
      </w:r>
      <w:r w:rsidR="007877C7">
        <w:t>catchment water yield</w:t>
      </w:r>
      <w:r w:rsidR="00D3640F">
        <w:t xml:space="preserve"> following forest disturbance. Mean sap velocities were found to be similar between old and young stands of </w:t>
      </w:r>
      <w:r w:rsidR="00D3640F" w:rsidRPr="002A792F">
        <w:rPr>
          <w:i/>
        </w:rPr>
        <w:t>E.</w:t>
      </w:r>
      <w:r>
        <w:rPr>
          <w:i/>
        </w:rPr>
        <w:t> </w:t>
      </w:r>
      <w:r w:rsidR="00D3640F" w:rsidRPr="002A792F">
        <w:rPr>
          <w:i/>
        </w:rPr>
        <w:t>marginata</w:t>
      </w:r>
      <w:r w:rsidR="00D3640F">
        <w:t xml:space="preserve"> </w:t>
      </w:r>
      <w:r>
        <w:t xml:space="preserve">(jarrah) </w:t>
      </w:r>
      <w:r w:rsidR="00D3640F">
        <w:t>forest in south</w:t>
      </w:r>
      <w:r>
        <w:t>-</w:t>
      </w:r>
      <w:r w:rsidR="00D3640F">
        <w:t>west W</w:t>
      </w:r>
      <w:r>
        <w:t xml:space="preserve">estern </w:t>
      </w:r>
      <w:r w:rsidR="00D3640F">
        <w:t>A</w:t>
      </w:r>
      <w:r>
        <w:t>ustralia</w:t>
      </w:r>
      <w:r w:rsidR="00D3640F">
        <w:t xml:space="preserve"> but sapwood area was almost twice as much in the young stands, resulting in a similar difference in </w:t>
      </w:r>
      <w:r w:rsidR="00A937F7">
        <w:t xml:space="preserve">actual </w:t>
      </w:r>
      <w:r w:rsidR="00A937F7" w:rsidRPr="00A937F7">
        <w:t xml:space="preserve">evapotranspiration </w:t>
      </w:r>
      <w:r w:rsidR="00A937F7">
        <w:t xml:space="preserve">rates </w:t>
      </w:r>
      <w:r w:rsidR="00D3640F">
        <w:fldChar w:fldCharType="begin" w:fldLock="1"/>
      </w:r>
      <w:r w:rsidR="007416C7">
        <w:instrText xml:space="preserve">ADDIN CSL_CITATION {"citationItems":[{"id":"ITEM-1","itemData":{"DOI":"10.1016/j.foreco.2010.04.005","ISSN":"03781127","abstract":"We tested the hypothesis that overstorey of eucalypt forest dominated by tall, large diameter trees uses less water than regrowth stands in the high rainfall zone (&gt;1100 mm year-1) of the northern jarrah (Eucalyptus marginata) forest in southwestern Australia. We measured leaf area, cover, sapwood area and sapwood density at three paired old and regrowth stands. We also measured sapflow velocity at one paired stand (Dwellingup) from June 2007 to October 2008. Old stands had more basal area but less foliage cover, less leaf area and slightly thinner sapwood. The ratio of sapwood area to basal area decreased markedly as tree size increased. Sapwood area of the regrowth forest stands (6.6 ± 0.30 m2 ha-1) was nearly double that of the old stands (3.4 ± 0.17 m2 ha-1), despite larger basal area at the old stands. Leaf area index of the regrowth stands (2.1 ± 0.26) was only one-third larger than that at the old stands (1.5 ± 0.15); hence, the ratio of leaf area to sapwood area was larger in old stands than in regrowth stands (0.45 ± 0.022 m2 cm-2 versus 0.32 ± 0.045 m2 cm-2). Our results are consistent with theories that trees have evolved to optimize carbon gain rather than maintain stomatal conductance. Neither sapwood density (540-650 kg m-3) nor sap velocity differed greatly between regrowth and old stands. At the old forest site, daily transpiration rose from 0.5 mm day-1 in winter to 0.9 mm day-1 in spring-summer, compared to 0.9 mm day-1 and 1.8 mm day-1 at the regrowth site. Annual water use by the overstorey trees was estimated to be </w:instrText>
      </w:r>
      <w:r w:rsidR="007416C7">
        <w:rPr>
          <w:rFonts w:ascii="Cambria Math" w:hAnsi="Cambria Math" w:cs="Cambria Math"/>
        </w:rPr>
        <w:instrText>∼</w:instrText>
      </w:r>
      <w:r w:rsidR="007416C7">
        <w:instrText xml:space="preserve">230 mm year-1 for the old stand and </w:instrText>
      </w:r>
      <w:r w:rsidR="007416C7">
        <w:rPr>
          <w:rFonts w:ascii="Cambria Math" w:hAnsi="Cambria Math" w:cs="Cambria Math"/>
        </w:rPr>
        <w:instrText>∼</w:instrText>
      </w:r>
      <w:r w:rsidR="007416C7">
        <w:instrText>500 mm year-1 at the regrowth stand, or 20% and 44% of annual rainfall. The overwhelming role of stand sapwood area in determining stand water use, combined with the marked changes in the ratio of sapwood area to basal area with tree age and size, suggest that stand overstorey structure can be managed to alter overstorey water use and catchment water yield. Silviculture to promote old-forest-like attributes may be a viable means of delivering multiple water and conservation benefits. © 2010 Elsevier B.V. All rights reserved.","author":[{"dropping-particle":"","family":"Macfarlane","given":"Craig","non-dropping-particle":"","parse-names":false,"suffix":""},{"dropping-particle":"","family":"Bond","given":"Céline","non-dropping-particle":"","parse-names":false,"suffix":""},{"dropping-particle":"","family":"White","given":"Donald A.","non-dropping-particle":"","parse-names":false,"suffix":""},{"dropping-particle":"","family":"Grigg","given":"Andrew H.","non-dropping-particle":"","parse-names":false,"suffix":""},{"dropping-particle":"","family":"Ogden","given":"Gary N.","non-dropping-particle":"","parse-names":false,"suffix":""},{"dropping-particle":"","family":"Silberstein","given":"Richard","non-dropping-particle":"","parse-names":false,"suffix":""}],"container-title":"Forest Ecology and Management","id":"ITEM-1","issue":"1","issued":{"date-parts":[["2010"]]},"page":"96-105","title":"Transpiration and hydraulic traits of old and regrowth eucalypt forest in southwestern Australia","type":"article-journal","volume":"260"},"uris":["http://www.mendeley.com/documents/?uuid=891d0954-ad48-410f-9758-f829cdc06898"]}],"mendeley":{"formattedCitation":"(Macfarlane &lt;i&gt;et al.&lt;/i&gt;, 2010)","plainTextFormattedCitation":"(Macfarlane et al., 2010)","previouslyFormattedCitation":"(Macfarlane &lt;i&gt;et al.&lt;/i&gt;, 2010)"},"properties":{"noteIndex":0},"schema":"https://github.com/citation-style-language/schema/raw/master/csl-citation.json"}</w:instrText>
      </w:r>
      <w:r w:rsidR="00D3640F">
        <w:fldChar w:fldCharType="separate"/>
      </w:r>
      <w:r w:rsidR="007416C7" w:rsidRPr="007416C7">
        <w:rPr>
          <w:noProof/>
        </w:rPr>
        <w:t xml:space="preserve">(Macfarlane </w:t>
      </w:r>
      <w:r w:rsidR="007416C7" w:rsidRPr="007416C7">
        <w:rPr>
          <w:i/>
          <w:noProof/>
        </w:rPr>
        <w:t>et al.</w:t>
      </w:r>
      <w:r w:rsidR="007416C7" w:rsidRPr="007416C7">
        <w:rPr>
          <w:noProof/>
        </w:rPr>
        <w:t>, 2010)</w:t>
      </w:r>
      <w:r w:rsidR="00D3640F">
        <w:fldChar w:fldCharType="end"/>
      </w:r>
      <w:r w:rsidR="00D3640F">
        <w:t xml:space="preserve">. These results indicate that observations of substantially higher water use in regrowth stands are not confined to the ash-type eucalypt forests of eastern Australia. </w:t>
      </w:r>
      <w:r w:rsidR="00171410">
        <w:fldChar w:fldCharType="begin" w:fldLock="1"/>
      </w:r>
      <w:r w:rsidR="007416C7">
        <w:instrText>ADDIN CSL_CITATION {"citationItems":[{"id":"ITEM-1","itemData":{"DOI":"10.1016/j.foreco.2012.01.008","ISSN":"03781127","abstract":"We estimated plot level water use from sap flux measurements over a 9-month period, in post-fire regrowth and mature plots of Eucalyptus delegatensis R. Baker (Alpine ash) in high elevation catchments near Falls Creek, Victoria, Australia, seven years after a major stand-replacing bushfire. Water use was more than double (460±100mmyear -1 more) in regrowth as compared to mature plots, whereas sap flux was similar between age classes. This difference in water use reflected 72% greater sapwood area index and 35% greater leaf area index in regrowth than in mature plots. A small part of the difference in water use can be attributed to nocturnal transpiration, which was greater in regrowth than in mature plots (10.3±0.8% vs 7.3±0.8% of diel totals). As evaporative demand was 41% greater in mature than in regrowth plots, these data suggest mean transpiration rate and stomatal conductance per unit leaf area were approximately 1.6 and 2.3 times greater, respectively, in the regrowth. However, mid-day leaf water potential and photosynthetic capacity were similar in both age classes. Evaporative demand was the primary environmental driver of water use in all cases, whereas soil moisture was not a strong driver of either water use or canopy conductance (estimated as sap flux/evaporative demand). Together, our results suggest (a) stand water use rapidly recovers after fire in these high elevation forests and quickly surpasses rates in mature stands, confirming projections by Kuczera (1987) for lower-elevation Mountain Ash (E. regnans) forests and highlighting the potential impact of tree water use on water yield in the first decade of forest regeneration after fires, and (b) stomatal conductance and sapwood area/leaf area ratio are both less in tall, older Alpine ash trees, whereas leaf water status and photosynthetic capacity appear to be sustained - consistent with predictions from optimisation theory but not Pipe-Model Theory. © 2012 Elsevier B.V.","author":[{"dropping-particle":"","family":"Buckley","given":"Thomas N.","non-dropping-particle":"","parse-names":false,"suffix":""},{"dropping-particle":"","family":"Turnbull","given":"Tarryn L.","non-dropping-particle":"","parse-names":false,"suffix":""},{"dropping-particle":"","family":"Pfautsch","given":"Sebastian","non-dropping-particle":"","parse-names":false,"suffix":""},{"dropping-particle":"","family":"Gharun","given":"Mana","non-dropping-particle":"","parse-names":false,"suffix":""},{"dropping-particle":"","family":"Adams","given":"Mark A.","non-dropping-particle":"","parse-names":false,"suffix":""}],"container-title":"Forest Ecology and Management","id":"ITEM-1","issued":{"date-parts":[["2012"]]},"page":"1-10","publisher":"Elsevier B.V.","title":"Differences in water use between mature and post-fire regrowth stands of subalpine Eucalyptus delegatensis R. Baker","type":"article-journal","volume":"270"},"uris":["http://www.mendeley.com/documents/?uuid=56780b8c-898b-4054-bd5f-d27f3333ae7c"]}],"mendeley":{"formattedCitation":"(Buckley &lt;i&gt;et al.&lt;/i&gt;, 2012)","manualFormatting":"Buckley et al. (2012)","plainTextFormattedCitation":"(Buckley et al., 2012)","previouslyFormattedCitation":"(Buckley &lt;i&gt;et al.&lt;/i&gt;, 2012)"},"properties":{"noteIndex":0},"schema":"https://github.com/citation-style-language/schema/raw/master/csl-citation.json"}</w:instrText>
      </w:r>
      <w:r w:rsidR="00171410">
        <w:fldChar w:fldCharType="separate"/>
      </w:r>
      <w:r w:rsidR="00171410" w:rsidRPr="00171410">
        <w:rPr>
          <w:noProof/>
        </w:rPr>
        <w:t xml:space="preserve">Buckley </w:t>
      </w:r>
      <w:r w:rsidR="001C1F9A" w:rsidRPr="001C1F9A">
        <w:rPr>
          <w:i/>
          <w:noProof/>
        </w:rPr>
        <w:t>et al.</w:t>
      </w:r>
      <w:r w:rsidR="00171410" w:rsidRPr="00171410">
        <w:rPr>
          <w:noProof/>
        </w:rPr>
        <w:t xml:space="preserve"> </w:t>
      </w:r>
      <w:r w:rsidR="00171410">
        <w:rPr>
          <w:noProof/>
        </w:rPr>
        <w:t>(</w:t>
      </w:r>
      <w:r w:rsidR="00171410" w:rsidRPr="00171410">
        <w:rPr>
          <w:noProof/>
        </w:rPr>
        <w:t>2012)</w:t>
      </w:r>
      <w:r w:rsidR="00171410">
        <w:fldChar w:fldCharType="end"/>
      </w:r>
      <w:r w:rsidR="00171410">
        <w:t xml:space="preserve"> </w:t>
      </w:r>
      <w:r w:rsidR="00D3640F">
        <w:t xml:space="preserve">measured and compared sap velocity and stand transpiration in plots of 7-year-old and 70-year-old </w:t>
      </w:r>
      <w:r w:rsidR="00D3640F" w:rsidRPr="002A792F">
        <w:rPr>
          <w:i/>
        </w:rPr>
        <w:t>E.</w:t>
      </w:r>
      <w:r>
        <w:rPr>
          <w:i/>
        </w:rPr>
        <w:t> </w:t>
      </w:r>
      <w:r w:rsidR="00D3640F" w:rsidRPr="002A792F">
        <w:rPr>
          <w:i/>
        </w:rPr>
        <w:t>delegatensis</w:t>
      </w:r>
      <w:r w:rsidR="00D3640F">
        <w:t xml:space="preserve"> (alpine ash). Higher water use in </w:t>
      </w:r>
      <w:r w:rsidR="00D3640F">
        <w:lastRenderedPageBreak/>
        <w:t>the young regrowth is consistent with conversion of old</w:t>
      </w:r>
      <w:r w:rsidR="00B407AA">
        <w:t xml:space="preserve"> forest</w:t>
      </w:r>
      <w:r w:rsidR="00D3640F">
        <w:t xml:space="preserve"> to regrowth ash forest, resulting in a long-term streamflow decline followed by a gradual recovery.</w:t>
      </w:r>
    </w:p>
    <w:p w14:paraId="037E6FD7" w14:textId="2D8DDCA5" w:rsidR="00402AF1" w:rsidRDefault="00F61666" w:rsidP="00D77368">
      <w:pPr>
        <w:pStyle w:val="Para0"/>
      </w:pPr>
      <w:r>
        <w:t xml:space="preserve">About 50% of the forested area of Melbourne’s water supply catchment is </w:t>
      </w:r>
      <w:r w:rsidR="005A53E6">
        <w:t>mixed-species</w:t>
      </w:r>
      <w:r w:rsidRPr="005C238D">
        <w:t xml:space="preserve"> eucalypt</w:t>
      </w:r>
      <w:r w:rsidR="00772C67">
        <w:t xml:space="preserve"> forest</w:t>
      </w:r>
      <w:r>
        <w:t xml:space="preserve">. Further field experiments have improved the understanding of how evapotranspiration in </w:t>
      </w:r>
      <w:r w:rsidR="005A53E6">
        <w:t>mixed-species</w:t>
      </w:r>
      <w:r w:rsidR="00805139">
        <w:t xml:space="preserve"> eucalypt forest</w:t>
      </w:r>
      <w:r>
        <w:t xml:space="preserve"> differs from </w:t>
      </w:r>
      <w:r w:rsidR="006839FF">
        <w:t xml:space="preserve">evapotranspiration in </w:t>
      </w:r>
      <w:r>
        <w:t>ash-type forests.</w:t>
      </w:r>
      <w:r w:rsidR="00D77368">
        <w:t xml:space="preserve"> Sapwood velocity </w:t>
      </w:r>
      <w:r w:rsidR="006839FF">
        <w:t xml:space="preserve">was </w:t>
      </w:r>
      <w:r w:rsidR="00D77368">
        <w:t xml:space="preserve">found to be spatially uniform across </w:t>
      </w:r>
      <w:r w:rsidR="005A53E6">
        <w:t>mixed-species</w:t>
      </w:r>
      <w:r w:rsidR="00805139">
        <w:t xml:space="preserve"> eucalypt forest</w:t>
      </w:r>
      <w:r w:rsidR="00D77368">
        <w:t xml:space="preserve"> catchments </w:t>
      </w:r>
      <w:r w:rsidR="00D07F71">
        <w:fldChar w:fldCharType="begin" w:fldLock="1"/>
      </w:r>
      <w:r w:rsidR="0010108C">
        <w:instrText>ADDIN CSL_CITATION {"citationItems":[{"id":"ITEM-1","itemData":{"DOI":"10.1016/j.jhydrol.2012.03.026","author":[{"dropping-particle":"","family":"Mitchell","given":"Patrick J","non-dropping-particle":"","parse-names":false,"suffix":""},{"dropping-particle":"","family":"Benyon","given":"Richard G","non-dropping-particle":"","parse-names":false,"suffix":""},{"dropping-particle":"","family":"Lane","given":"Patrick N J","non-dropping-particle":"","parse-names":false,"suffix":""}],"container-title":"Journal of Hydrology","id":"ITEM-1","issued":{"date-parts":[["2012"]]},"page":"62-74","publisher":"Elsevier","title":"Responses of evapotranspiration at different topographic positions and catchment water balance following a pronounced drought in a mixed species eucalypt forest, Australia","type":"article-journal","volume":"440"},"uris":["http://www.mendeley.com/documents/?uuid=3ea6b7c9-9f0b-4437-a50c-595579a1321b"]}],"mendeley":{"formattedCitation":"(Mitchell &lt;i&gt;et al.&lt;/i&gt;, 2012)","plainTextFormattedCitation":"(Mitchell et al., 2012)","previouslyFormattedCitation":"(Mitchell &lt;i&gt;et al.&lt;/i&gt;, 2012)"},"properties":{"noteIndex":0},"schema":"https://github.com/citation-style-language/schema/raw/master/csl-citation.json"}</w:instrText>
      </w:r>
      <w:r w:rsidR="00D07F71">
        <w:fldChar w:fldCharType="separate"/>
      </w:r>
      <w:r w:rsidR="0010108C" w:rsidRPr="0010108C">
        <w:rPr>
          <w:noProof/>
        </w:rPr>
        <w:t xml:space="preserve">(Mitchell </w:t>
      </w:r>
      <w:r w:rsidR="0010108C" w:rsidRPr="0010108C">
        <w:rPr>
          <w:i/>
          <w:noProof/>
        </w:rPr>
        <w:t>et al.</w:t>
      </w:r>
      <w:r w:rsidR="0010108C" w:rsidRPr="0010108C">
        <w:rPr>
          <w:noProof/>
        </w:rPr>
        <w:t>, 2012)</w:t>
      </w:r>
      <w:r w:rsidR="00D07F71">
        <w:fldChar w:fldCharType="end"/>
      </w:r>
      <w:r w:rsidR="00D07F71">
        <w:t xml:space="preserve">. However, structural attributes of </w:t>
      </w:r>
      <w:r w:rsidR="005A53E6">
        <w:t>mixed-species</w:t>
      </w:r>
      <w:r w:rsidR="00805139">
        <w:t xml:space="preserve"> eucalypt forest</w:t>
      </w:r>
      <w:r w:rsidR="00D07F71">
        <w:t xml:space="preserve"> exhibited considerable spatial variation, which resulted in considerable spatial variation in </w:t>
      </w:r>
      <w:r w:rsidR="00A937F7" w:rsidRPr="00A937F7">
        <w:t>evapotranspiration</w:t>
      </w:r>
      <w:r w:rsidR="00D07F71">
        <w:t xml:space="preserve">. </w:t>
      </w:r>
      <w:r w:rsidR="00D07F71">
        <w:fldChar w:fldCharType="begin" w:fldLock="1"/>
      </w:r>
      <w:r w:rsidR="0010108C">
        <w:instrText>ADDIN CSL_CITATION {"citationItems":[{"id":"ITEM-1","itemData":{"DOI":"10.1016/j.jhydrol.2012.03.026","author":[{"dropping-particle":"","family":"Mitchell","given":"Patrick J","non-dropping-particle":"","parse-names":false,"suffix":""},{"dropping-particle":"","family":"Benyon","given":"Richard G","non-dropping-particle":"","parse-names":false,"suffix":""},{"dropping-particle":"","family":"Lane","given":"Patrick N J","non-dropping-particle":"","parse-names":false,"suffix":""}],"container-title":"Journal of Hydrology","id":"ITEM-1","issued":{"date-parts":[["2012"]]},"page":"62-74","publisher":"Elsevier","title":"Responses of evapotranspiration at different topographic positions and catchment water balance following a pronounced drought in a mixed species eucalypt forest, Australia","type":"article-journal","volume":"440"},"uris":["http://www.mendeley.com/documents/?uuid=3ea6b7c9-9f0b-4437-a50c-595579a1321b"]}],"mendeley":{"formattedCitation":"(Mitchell &lt;i&gt;et al.&lt;/i&gt;, 2012)","plainTextFormattedCitation":"(Mitchell et al., 2012)","previouslyFormattedCitation":"(Mitchell &lt;i&gt;et al.&lt;/i&gt;, 2012)"},"properties":{"noteIndex":0},"schema":"https://github.com/citation-style-language/schema/raw/master/csl-citation.json"}</w:instrText>
      </w:r>
      <w:r w:rsidR="00D07F71">
        <w:fldChar w:fldCharType="separate"/>
      </w:r>
      <w:r w:rsidR="0010108C" w:rsidRPr="0010108C">
        <w:rPr>
          <w:noProof/>
        </w:rPr>
        <w:t xml:space="preserve">(Mitchell </w:t>
      </w:r>
      <w:r w:rsidR="0010108C" w:rsidRPr="0010108C">
        <w:rPr>
          <w:i/>
          <w:noProof/>
        </w:rPr>
        <w:t>et al.</w:t>
      </w:r>
      <w:r w:rsidR="0010108C" w:rsidRPr="0010108C">
        <w:rPr>
          <w:noProof/>
        </w:rPr>
        <w:t>, 2012)</w:t>
      </w:r>
      <w:r w:rsidR="00D07F71">
        <w:fldChar w:fldCharType="end"/>
      </w:r>
      <w:r w:rsidR="00D07F71">
        <w:t xml:space="preserve"> concluded that, </w:t>
      </w:r>
    </w:p>
    <w:p w14:paraId="09CE6B7D" w14:textId="33A2CE35" w:rsidR="00402AF1" w:rsidRDefault="00D07F71" w:rsidP="00627104">
      <w:pPr>
        <w:pStyle w:val="Para0"/>
        <w:spacing w:before="60"/>
        <w:ind w:left="709"/>
      </w:pPr>
      <w:r w:rsidRPr="00627104">
        <w:rPr>
          <w:i/>
          <w:iCs/>
        </w:rPr>
        <w:t>variation in forest structure arising from changes in elevation in these south-facing catchments is a major determinant of forest water use and shows a threefold change in annual evapotranspiration across the elevation gradient</w:t>
      </w:r>
      <w:r>
        <w:t xml:space="preserve">. </w:t>
      </w:r>
    </w:p>
    <w:p w14:paraId="261E9029" w14:textId="45F6E84F" w:rsidR="00D77368" w:rsidRDefault="00D07F71" w:rsidP="00D77368">
      <w:pPr>
        <w:pStyle w:val="Para0"/>
      </w:pPr>
      <w:r>
        <w:fldChar w:fldCharType="begin" w:fldLock="1"/>
      </w:r>
      <w:r w:rsidR="007416C7">
        <w:instrText>ADDIN CSL_CITATION {"citationItems":[{"id":"ITEM-1","itemData":{"DOI":"10.1016/j.jhydrol.2013.03.051","ISSN":"00221694","abstract":"Studies of the hydrology of native eucalypt forests in south-east Australia have focused on ash-type eucalypt species that are largely confined to Victoria and Tasmania. Mixed species foothill forests comprise the largest proportion of the forest estate in south-east Australia, yet are poorly known hydrologically. The ability to predict forest transpiration, both with reasonable accuracy and in response to changes in the environment, is essential for catchment management.A soil-plant-atmosphere model (SPA) was validated for 222days in a mature, mixed species forest of north-east Victoria using measurements of overstorey transpiration (Eucalyptus radiata and Eucalyptus goniocalyx) and site-specific climate and vegetation parameters. There was a stronger relationship between average daily transpiration (0.71mmday-1) and daily minimum relative humidity (R2=0.71), than between average daily transpiration and daily maximum temperature (R2=0.65). Stand water use could be predicted best from vapour pressure deficit (R2=0.89).SPA successfully predicted stand transpiration (R2=0.85) over a range of soil water and climatic conditions. A sensitivity analysis suggests that among the various required inputs, leaf area index (LAI) was the most important, and accurate estimates of LAI could significantly improve estimation of stand transpiration. © 2013.","author":[{"dropping-particle":"","family":"Gharun","given":"Mana","non-dropping-particle":"","parse-names":false,"suffix":""},{"dropping-particle":"","family":"Turnbull","given":"Tarryn L.","non-dropping-particle":"","parse-names":false,"suffix":""},{"dropping-particle":"","family":"Adams","given":"Mark A.","non-dropping-particle":"","parse-names":false,"suffix":""}],"container-title":"Journal of Hydrology","id":"ITEM-1","issued":{"date-parts":[["2013"]]},"page":"219-227","publisher":"Elsevier B.V.","title":"Validation of canopy transpiration in a mixed-species foothill eucalypt forest using a soil-plant-atmosphere model","type":"article-journal","volume":"492"},"uris":["http://www.mendeley.com/documents/?uuid=ed0be68a-131a-4fa2-a112-114010dfab58"]}],"mendeley":{"formattedCitation":"(Gharun &lt;i&gt;et al.&lt;/i&gt;, 2013)","plainTextFormattedCitation":"(Gharun et al., 2013)","previouslyFormattedCitation":"(Gharun &lt;i&gt;et al.&lt;/i&gt;, 2013)"},"properties":{"noteIndex":0},"schema":"https://github.com/citation-style-language/schema/raw/master/csl-citation.json"}</w:instrText>
      </w:r>
      <w:r>
        <w:fldChar w:fldCharType="separate"/>
      </w:r>
      <w:r w:rsidR="007416C7" w:rsidRPr="007416C7">
        <w:rPr>
          <w:noProof/>
        </w:rPr>
        <w:t xml:space="preserve">(Gharun </w:t>
      </w:r>
      <w:r w:rsidR="007416C7" w:rsidRPr="007416C7">
        <w:rPr>
          <w:i/>
          <w:noProof/>
        </w:rPr>
        <w:t>et al.</w:t>
      </w:r>
      <w:r w:rsidR="007416C7" w:rsidRPr="007416C7">
        <w:rPr>
          <w:noProof/>
        </w:rPr>
        <w:t>, 2013)</w:t>
      </w:r>
      <w:r>
        <w:fldChar w:fldCharType="end"/>
      </w:r>
      <w:r>
        <w:t xml:space="preserve"> found that LAI, which is related to forest structure, was a key predictor of </w:t>
      </w:r>
      <w:r w:rsidR="00A937F7" w:rsidRPr="00A937F7">
        <w:t xml:space="preserve">evapotranspiration </w:t>
      </w:r>
      <w:r>
        <w:t xml:space="preserve">in </w:t>
      </w:r>
      <w:r w:rsidR="005A53E6">
        <w:t>mixed-species</w:t>
      </w:r>
      <w:r w:rsidR="00805139">
        <w:t xml:space="preserve"> eucalypt forest</w:t>
      </w:r>
      <w:r>
        <w:t xml:space="preserve">. Aspect and drainage position were also identified by </w:t>
      </w:r>
      <w:r w:rsidR="0081453E">
        <w:fldChar w:fldCharType="begin" w:fldLock="1"/>
      </w:r>
      <w:r w:rsidR="00D11C5B">
        <w:instrText>ADDIN CSL_CITATION {"citationItems":[{"id":"ITEM-1","itemData":{"DOI":"10.1016/j.scitotenv.2019.07.357","author":[{"dropping-particle":"","family":"Metzen","given":"Daniel","non-dropping-particle":"","parse-names":false,"suffix":""},{"dropping-particle":"","family":"Sheridan","given":"Gary J","non-dropping-particle":"","parse-names":false,"suffix":""},{"dropping-particle":"","family":"Benyon","given":"Richard G","non-dropping-particle":"","parse-names":false,"suffix":""},{"dropping-particle":"V","family":"Bolstad","given":"Paul","non-dropping-particle":"","parse-names":false,"suffix":""},{"dropping-particle":"","family":"Griebel","given":"Anne","non-dropping-particle":"","parse-names":false,"suffix":""},{"dropping-particle":"","family":"Lane","given":"Patrick N J","non-dropping-particle":"","parse-names":false,"suffix":""}],"container-title":"Science of the Total Environment","id":"ITEM-1","issued":{"date-parts":[["2019"]]},"page":"133551","publisher":"Elsevier","title":"Spatio-temporal transpiration patterns reflect vegetation structure in complex upland terrain","type":"article-journal","volume":"694"},"uris":["http://www.mendeley.com/documents/?uuid=bffa4253-5f94-4079-b42d-03daafbe24a1"]}],"mendeley":{"formattedCitation":"(Metzen &lt;i&gt;et al.&lt;/i&gt;, 2019)","manualFormatting":"Metzen et al. (2019)","plainTextFormattedCitation":"(Metzen et al., 2019)","previouslyFormattedCitation":"(Metzen &lt;i&gt;et al.&lt;/i&gt;, 2019)"},"properties":{"noteIndex":0},"schema":"https://github.com/citation-style-language/schema/raw/master/csl-citation.json"}</w:instrText>
      </w:r>
      <w:r w:rsidR="0081453E">
        <w:fldChar w:fldCharType="separate"/>
      </w:r>
      <w:r w:rsidR="0081453E" w:rsidRPr="0081453E">
        <w:rPr>
          <w:noProof/>
        </w:rPr>
        <w:t xml:space="preserve">Metzen </w:t>
      </w:r>
      <w:r w:rsidR="001C1F9A" w:rsidRPr="001C1F9A">
        <w:rPr>
          <w:i/>
          <w:iCs/>
          <w:noProof/>
        </w:rPr>
        <w:t>et al.</w:t>
      </w:r>
      <w:r w:rsidR="0081453E" w:rsidRPr="0081453E">
        <w:rPr>
          <w:noProof/>
        </w:rPr>
        <w:t xml:space="preserve"> </w:t>
      </w:r>
      <w:r w:rsidR="0081453E">
        <w:rPr>
          <w:noProof/>
        </w:rPr>
        <w:t>(</w:t>
      </w:r>
      <w:r w:rsidR="0081453E" w:rsidRPr="0081453E">
        <w:rPr>
          <w:noProof/>
        </w:rPr>
        <w:t>2019)</w:t>
      </w:r>
      <w:r w:rsidR="0081453E">
        <w:fldChar w:fldCharType="end"/>
      </w:r>
      <w:r>
        <w:t xml:space="preserve"> as key controls on </w:t>
      </w:r>
      <w:r w:rsidR="00651D07" w:rsidRPr="00651D07">
        <w:t xml:space="preserve">evapotranspiration </w:t>
      </w:r>
      <w:r>
        <w:t xml:space="preserve">from </w:t>
      </w:r>
      <w:r w:rsidR="005A53E6">
        <w:t>mixed-species</w:t>
      </w:r>
      <w:r w:rsidR="00805139">
        <w:t xml:space="preserve"> eucalypt forest</w:t>
      </w:r>
      <w:r>
        <w:t xml:space="preserve"> stands. </w:t>
      </w:r>
      <w:r w:rsidR="00171410">
        <w:fldChar w:fldCharType="begin" w:fldLock="1"/>
      </w:r>
      <w:r w:rsidR="007416C7">
        <w:instrText>ADDIN CSL_CITATION {"citationItems":[{"id":"ITEM-1","itemData":{"DOI":"10.1002/eco.1463","ISSN":"19360592","abstract":"© 2014 John Wiley  &amp;  Sons, Ltd. Forests that recover from disturbance predominately via vegetative resprouting may be expected to have different catchment water balance dynamics following wildfire than forests recovering from seed. However, the impacts of wildfire on forest water use are largely unknown in resprouting forest types. This is despite their dominance across the majority of southern Australia's forested catchments and the large areas burnt in recent years. We hypothesized that postfire changes in evapotranspiration (E t ) would be a function of fire severity and topography and that partitioning of E t would change after fire because of altered stand structure. We tested these hypotheses by monitoring E t and component fluxes across different topographic positions and fire severities in a mixed eucalypt species forest located in water supply catchments for the city of Melbourne. For this forest type, wildfire triggers vegetative resprouting from lignotubers and epicormic shoots on the bole and branches of the overstorey trees, in addition to prolific seedling germination. Monitoring was undertaken over 1-3years following the 2009 Black Saturday wildfires. We found that E t was on average 41% lower in forest burnt at high severity compared with unburnt forest, whereas E t from forest burnt at moderate severity was only 3% lower than unburnt forest over 1-2years postfire but on average 9% higher over 2-3years postfire. E t losses were driven by tree and shrub mortality in conjunction with lower transpiration in surviving trees. Lower E t was partially offset by regenerating seedlings that drove increases in forest floor E t and interception loss. Finally, we found that topography, through its effects on evaporative demand and forest structure, was a strong determinant of total E t but did not affect the nature of postfire recovery.","author":[{"dropping-particle":"","family":"Nolan","given":"Rachael H.","non-dropping-particle":"","parse-names":false,"suffix":""},{"dropping-particle":"","family":"Lane","given":"Patrick N.J.","non-dropping-particle":"","parse-names":false,"suffix":""},{"dropping-particle":"","family":"Benyon","given":"Richard G.","non-dropping-particle":"","parse-names":false,"suffix":""},{"dropping-particle":"","family":"Bradstock","given":"Ross A.","non-dropping-particle":"","parse-names":false,"suffix":""},{"dropping-particle":"","family":"Mitchell","given":"Patrick J.","non-dropping-particle":"","parse-names":false,"suffix":""}],"container-title":"Ecohydrology","id":"ITEM-1","issue":"5","issued":{"date-parts":[["2014"]]},"page":"1363-1377","title":"Changes in evapotranspiration following wildfire in resprouting eucalypt forests","type":"article-journal","volume":"7"},"uris":["http://www.mendeley.com/documents/?uuid=4de609e1-d7bd-41b6-a0dc-d5006d7ff807"]},{"id":"ITEM-2","itemData":{"DOI":"10.1016/j.jhydrol.2015.02.045","ISSN":"00221694","abstract":"The objective of this study was to estimate the recovery trajectory of evapotranspiration (E&lt;inf&gt;t&lt;/inf&gt;) and streamflow (Q) in resprouting forested catchments following wildfire. Recovery dynamics were assessed in mixed species eucalypt forests in south-eastern Australia which recover from disturbance largely via vegetative resprouting, and to a lesser degree, via seedling recruitment. Changes in E&lt;inf&gt;t&lt;/inf&gt; were evaluated in two ways. Firstly, we developed semi-empirical models of post-fire E&lt;inf&gt;t&lt;/inf&gt; following moderate and high severity wildfire. These models were based on datasets of plot-scale E&lt;inf&gt;t&lt;/inf&gt;, measured within five years post-fire, and published literature on post-fire changes in vegetation structure. Secondly, we analysed long-term Q records (25years) from a mixed species catchment, including a 1-5year period following a predominately moderate severity wildfire. We found that the overall length of recovery time for E&lt;inf&gt;t&lt;/inf&gt; and Q following wildfire was 8-12years, which is much less than for eucalypt forests recovering via seedlings only. This emphasises the importance of functional responses to fire in forest ecosystems as a key driver of the hydrologic resilience of catchments, with resprouting forest types conferring relatively rapid recovery following disturbance. We also found that the recovery trajectory of post-fire E&lt;inf&gt;t&lt;/inf&gt; was dependent on fire severity. Increased E&lt;inf&gt;t&lt;/inf&gt; and consequent declines in Q occurred following moderate severity fire. In contrast, there was no evidence of increased E&lt;inf&gt;t&lt;/inf&gt; following high severity fire. Based on patterns of long-term Q and rainfall observed in a small mixed species catchment, declines in Q due to increased E&lt;inf&gt;t&lt;/inf&gt; following moderate severity wildfire were of similar magnitude to Q declines driven by a drought that coincided with the fire. We conclude that the coincidence of wildfire with drought exacerbates reductions in Q under moderate severity fire, resulting in greater Q declines. This is due to the enhanced rates of E&lt;inf&gt;t&lt;/inf&gt;, primarily driven by regenerating seedlings and higher rates of transpiration from surviving trees.","author":[{"dropping-particle":"","family":"Nolan","given":"Rachael H.","non-dropping-particle":"","parse-names":false,"suffix":""},{"dropping-particle":"","family":"Lane","given":"Patrick N J","non-dropping-particle":"","parse-names":false,"suffix":""},{"dropping-particle":"","family":"Benyon","given":"Richard G.","non-dropping-particle":"","parse-names":false,"suffix":""},{"dropping-particle":"","family":"Bradstock","given":"Ross A.","non-dropping-particle":"","parse-names":false,"suffix":""},{"dropping-particle":"","family":"Mitchell","given":"Patrick J.","non-dropping-particle":"","parse-names":false,"suffix":""}],"container-title":"Journal of Hydrology","id":"ITEM-2","issued":{"date-parts":[["2015"]]},"page":"614-624","publisher":"Elsevier B.V.","title":"Trends in evapotranspiration and streamflow following wildfire in resprouting eucalypt forests","type":"article-journal","volume":"524"},"uris":["http://www.mendeley.com/documents/?uuid=31a2ac24-7774-4b4f-a30b-b741d2cca280"]}],"mendeley":{"formattedCitation":"(Nolan &lt;i&gt;et al.&lt;/i&gt;, 2014, 2015)","manualFormatting":"Nolan et al. (2014, 2015)","plainTextFormattedCitation":"(Nolan et al., 2014, 2015)","previouslyFormattedCitation":"(Nolan &lt;i&gt;et al.&lt;/i&gt;, 2014, 2015)"},"properties":{"noteIndex":0},"schema":"https://github.com/citation-style-language/schema/raw/master/csl-citation.json"}</w:instrText>
      </w:r>
      <w:r w:rsidR="00171410">
        <w:fldChar w:fldCharType="separate"/>
      </w:r>
      <w:r w:rsidR="00171410" w:rsidRPr="00171410">
        <w:rPr>
          <w:noProof/>
        </w:rPr>
        <w:t xml:space="preserve">Nolan </w:t>
      </w:r>
      <w:r w:rsidR="001C1F9A" w:rsidRPr="001C1F9A">
        <w:rPr>
          <w:i/>
          <w:noProof/>
        </w:rPr>
        <w:t>et al.</w:t>
      </w:r>
      <w:r w:rsidR="00171410" w:rsidRPr="00171410">
        <w:rPr>
          <w:noProof/>
        </w:rPr>
        <w:t xml:space="preserve"> </w:t>
      </w:r>
      <w:r w:rsidR="00171410">
        <w:rPr>
          <w:noProof/>
        </w:rPr>
        <w:t>(</w:t>
      </w:r>
      <w:r w:rsidR="00171410" w:rsidRPr="00171410">
        <w:rPr>
          <w:noProof/>
        </w:rPr>
        <w:t>2014, 2015)</w:t>
      </w:r>
      <w:r w:rsidR="00171410">
        <w:fldChar w:fldCharType="end"/>
      </w:r>
      <w:r w:rsidR="00525D1C">
        <w:t>,</w:t>
      </w:r>
      <w:r w:rsidR="00171410">
        <w:t xml:space="preserve"> </w:t>
      </w:r>
      <w:r>
        <w:t xml:space="preserve">in resprouting </w:t>
      </w:r>
      <w:r w:rsidR="005A53E6">
        <w:t>mixed-species</w:t>
      </w:r>
      <w:r w:rsidR="00805139">
        <w:t xml:space="preserve"> eucalypt forest</w:t>
      </w:r>
      <w:r w:rsidR="00525D1C">
        <w:t>,</w:t>
      </w:r>
      <w:r>
        <w:t xml:space="preserve"> </w:t>
      </w:r>
      <w:r w:rsidR="00772C67">
        <w:t xml:space="preserve">noted </w:t>
      </w:r>
      <w:r>
        <w:t>that moderate severity fire may stimulate additional seedling regrowth, causing a small increase in annual evapotranspiration for a few years, but a return to pre-fire conditions within 8 to 12 years.</w:t>
      </w:r>
    </w:p>
    <w:p w14:paraId="37A12F9E" w14:textId="634C024F" w:rsidR="00D77368" w:rsidRDefault="00D77368" w:rsidP="00D77368">
      <w:pPr>
        <w:pStyle w:val="Para0"/>
      </w:pPr>
      <w:r w:rsidRPr="00CF2089">
        <w:t>Timber harvesting by clear fell</w:t>
      </w:r>
      <w:r w:rsidR="00805139" w:rsidRPr="00CF2089">
        <w:t xml:space="preserve"> </w:t>
      </w:r>
      <w:r w:rsidR="004570C7" w:rsidRPr="00CF2089">
        <w:t>followed by regeneration from seeds</w:t>
      </w:r>
      <w:r w:rsidR="004570C7">
        <w:t>,</w:t>
      </w:r>
      <w:r w:rsidR="004570C7" w:rsidRPr="00CF2089">
        <w:t xml:space="preserve"> </w:t>
      </w:r>
      <w:r w:rsidR="00805139" w:rsidRPr="00CF2089">
        <w:t xml:space="preserve">which is the method that is typically employed in Victoria’s </w:t>
      </w:r>
      <w:r w:rsidR="005A53E6">
        <w:t>mixed-species</w:t>
      </w:r>
      <w:r w:rsidR="00805139" w:rsidRPr="00CF2089">
        <w:t xml:space="preserve"> eucalypt forests</w:t>
      </w:r>
      <w:r w:rsidRPr="00CF2089">
        <w:t xml:space="preserve">, </w:t>
      </w:r>
      <w:r w:rsidR="00805139" w:rsidRPr="00CF2089">
        <w:t>may have</w:t>
      </w:r>
      <w:r w:rsidR="004570C7">
        <w:t xml:space="preserve"> effects</w:t>
      </w:r>
      <w:r w:rsidR="00422567">
        <w:t xml:space="preserve"> on evapotranspiration and streamflow that are</w:t>
      </w:r>
      <w:r w:rsidR="00D46C11" w:rsidRPr="00CF2089">
        <w:t xml:space="preserve"> </w:t>
      </w:r>
      <w:r w:rsidRPr="00CF2089">
        <w:t xml:space="preserve">similar to </w:t>
      </w:r>
      <w:r w:rsidR="004570C7">
        <w:t xml:space="preserve">the effects </w:t>
      </w:r>
      <w:r w:rsidR="00805139" w:rsidRPr="00CF2089">
        <w:t>bush</w:t>
      </w:r>
      <w:r w:rsidRPr="00CF2089">
        <w:t xml:space="preserve">fire </w:t>
      </w:r>
      <w:r w:rsidR="004570C7">
        <w:t xml:space="preserve">has </w:t>
      </w:r>
      <w:r w:rsidR="007A4327" w:rsidRPr="00CF2089">
        <w:t>in obligate seeder forests</w:t>
      </w:r>
      <w:r w:rsidRPr="00CF2089">
        <w:t xml:space="preserve">. In </w:t>
      </w:r>
      <w:r w:rsidR="004570C7">
        <w:t xml:space="preserve">both forest types, removal of mature trees – by harvesting in mixed-species eucalypt forest, or by </w:t>
      </w:r>
      <w:r w:rsidRPr="00CF2089">
        <w:t>moderate or high intensity fire</w:t>
      </w:r>
      <w:r w:rsidR="004570C7">
        <w:t xml:space="preserve"> in obligate seeder forest – stimulates seed germination on the forest floor, and then </w:t>
      </w:r>
      <w:r w:rsidRPr="00CF2089">
        <w:t>dense regrowth</w:t>
      </w:r>
      <w:r w:rsidR="004570C7">
        <w:t>,</w:t>
      </w:r>
      <w:r w:rsidRPr="00CF2089">
        <w:t xml:space="preserve"> </w:t>
      </w:r>
      <w:r w:rsidR="004570C7">
        <w:t xml:space="preserve">which increases </w:t>
      </w:r>
      <w:r w:rsidRPr="00CF2089">
        <w:t xml:space="preserve">annual </w:t>
      </w:r>
      <w:r w:rsidR="00D46C11" w:rsidRPr="00CF2089">
        <w:t xml:space="preserve">evapotranspiration </w:t>
      </w:r>
      <w:r w:rsidRPr="00CF2089">
        <w:t xml:space="preserve">and </w:t>
      </w:r>
      <w:r w:rsidR="004570C7">
        <w:t xml:space="preserve">reduces </w:t>
      </w:r>
      <w:r w:rsidRPr="00CF2089">
        <w:t xml:space="preserve">streamflow. </w:t>
      </w:r>
    </w:p>
    <w:p w14:paraId="2940839A" w14:textId="56947449" w:rsidR="00F61666" w:rsidRDefault="00F61666" w:rsidP="00F61666">
      <w:pPr>
        <w:pStyle w:val="Para0"/>
      </w:pPr>
      <w:r>
        <w:t xml:space="preserve">Using a longer calibration period, </w:t>
      </w:r>
      <w:r w:rsidR="00171410">
        <w:fldChar w:fldCharType="begin" w:fldLock="1"/>
      </w:r>
      <w:r w:rsidR="007416C7">
        <w:instrText xml:space="preserve">ADDIN CSL_CITATION {"citationItems":[{"id":"ITEM-1","itemData":{"DOI":"10.1002/wrcr.20351","ISSN":"00431397","abstract":"Widespread disturbance within forested catchments typically increases runoff. However, following widespread fire in 1939 throughout south-east Australia, Kuczera (1987) reported persistent reductions in runoff that were attributed to increased evapotranspiration from regenerating “ash” forests. Kuczera projected ongoing reductions of water yield for </w:instrText>
      </w:r>
      <w:r w:rsidR="007416C7">
        <w:rPr>
          <w:rFonts w:ascii="Cambria Math" w:hAnsi="Cambria Math" w:cs="Cambria Math"/>
        </w:rPr>
        <w:instrText>∼</w:instrText>
      </w:r>
      <w:r w:rsidR="007416C7">
        <w:instrText>150 years. In 2003, widespread fire in the headwaters of the Murray-Darling Basin (MDB) again stimulated extensive regeneration of ash forests, raising the prospect of subsequent water yield reductions. To understand the potential impact of the 2003 bushfires, we re-evaluated yield reductions from three of the catchments originally studied by Kuczera using the same calibration period. We also used an expanded prefire calibration period (1908–1938) based on data not originally available to Kuczera. The trend of postfire water yield that we observed in 1939-affected catchments is qualitatively consistent with Kuczera's projections, but the quantitative details were, as expected, sensitive to the prefire calibration period used. We then used a simplified method to examine a further five ash-dominated catchments affected by the 2003 fires. We report relative reductions in mean annual stream flow in all five catchments and a statistically significant (α = 0.05) postfire reduction in one of five catchments. Postfire yield reductions during the austral summer (October to April) were greater in relative magnitude in all five catchments and were statistically significant (α = 0.05) in three of five catchments. We conclude that a postbushfire Kuczera-type response may be widespread in regenerating ash forests. On that basis, we anticipate postfire yield reductions in ash forests elsewhere and conclude that further reductions in stream flow are likely in the MDB for at least another decade.","author":[{"dropping-particle":"","family":"Brookhouse","given":"Matthew T.","non-dropping-particle":"","parse-names":false,"suffix":""},{"dropping-particle":"","family":"Farquhar","given":"Graham D.","non-dropping-particle":"","parse-names":false,"suffix":""},{"dropping-particle":"","family":"Roderick","given":"Michael L.","non-dropping-particle":"","parse-names":false,"suffix":""}],"container-title":"Water Resources Research","id":"ITEM-1","issue":"7","issued":{"date-parts":[["2013"]]},"page":"4493-4505","title":"The impact of bushfires on water yield from south-east Australia's ash forests","type":"article-journal","volume":"49"},"uris":["http://www.mendeley.com/documents/?uuid=eedcbcf3-9f03-4ead-923a-5476c88989ba"]}],"mendeley":{"formattedCitation":"(Brookhouse &lt;i&gt;et al.&lt;/i&gt;, 2013)","manualFormatting":"Brookhouse et al. (2013)","plainTextFormattedCitation":"(Brookhouse et al., 2013)","previouslyFormattedCitation":"(Brookhouse &lt;i&gt;et al.&lt;/i&gt;, 2013)"},"properties":{"noteIndex":0},"schema":"https://github.com/citation-style-language/schema/raw/master/csl-citation.json"}</w:instrText>
      </w:r>
      <w:r w:rsidR="00171410">
        <w:fldChar w:fldCharType="separate"/>
      </w:r>
      <w:r w:rsidR="00171410" w:rsidRPr="00171410">
        <w:rPr>
          <w:noProof/>
        </w:rPr>
        <w:t xml:space="preserve">Brookhouse </w:t>
      </w:r>
      <w:r w:rsidR="001C1F9A" w:rsidRPr="001C1F9A">
        <w:rPr>
          <w:i/>
          <w:noProof/>
        </w:rPr>
        <w:t>et al.</w:t>
      </w:r>
      <w:r w:rsidR="00171410" w:rsidRPr="00171410">
        <w:rPr>
          <w:noProof/>
        </w:rPr>
        <w:t xml:space="preserve"> </w:t>
      </w:r>
      <w:r w:rsidR="00171410">
        <w:rPr>
          <w:noProof/>
        </w:rPr>
        <w:t>(</w:t>
      </w:r>
      <w:r w:rsidR="00171410" w:rsidRPr="00171410">
        <w:rPr>
          <w:noProof/>
        </w:rPr>
        <w:t>2013)</w:t>
      </w:r>
      <w:r w:rsidR="00171410">
        <w:fldChar w:fldCharType="end"/>
      </w:r>
      <w:r w:rsidR="00171410">
        <w:t xml:space="preserve"> </w:t>
      </w:r>
      <w:r>
        <w:t>re-analysed streamflow responses to the 1939 fires in three of the catchments originally used to develop the Kuczera curve</w:t>
      </w:r>
      <w:r w:rsidR="007F2D6C">
        <w:t xml:space="preserve"> </w:t>
      </w:r>
      <w:r>
        <w:t>(</w:t>
      </w:r>
      <w:r w:rsidR="007F2D6C">
        <w:t xml:space="preserve">see </w:t>
      </w:r>
      <w:r>
        <w:t>Section</w:t>
      </w:r>
      <w:r w:rsidR="004570C7">
        <w:t> </w:t>
      </w:r>
      <w:r w:rsidR="007F2D6C">
        <w:fldChar w:fldCharType="begin"/>
      </w:r>
      <w:r w:rsidR="007F2D6C">
        <w:instrText xml:space="preserve"> REF _Ref24443096 \r \h </w:instrText>
      </w:r>
      <w:r w:rsidR="007F2D6C">
        <w:fldChar w:fldCharType="separate"/>
      </w:r>
      <w:r w:rsidR="00062E08">
        <w:t>2</w:t>
      </w:r>
      <w:r w:rsidR="007F2D6C">
        <w:fldChar w:fldCharType="end"/>
      </w:r>
      <w:r>
        <w:t xml:space="preserve">). Results were qualitatively similar to Kuczera’s but maximum </w:t>
      </w:r>
      <w:r w:rsidR="009B265E">
        <w:t xml:space="preserve">reduction in </w:t>
      </w:r>
      <w:r w:rsidR="007877C7">
        <w:t>catchment water yield</w:t>
      </w:r>
      <w:r>
        <w:t xml:space="preserve"> was less and </w:t>
      </w:r>
      <w:r w:rsidR="001E6D98">
        <w:t xml:space="preserve">it </w:t>
      </w:r>
      <w:r>
        <w:t>occurred sooner</w:t>
      </w:r>
      <w:r w:rsidR="001E6D98">
        <w:t>,</w:t>
      </w:r>
      <w:r>
        <w:t xml:space="preserve"> with a faster recovery predicted. Their results suggest catchment</w:t>
      </w:r>
      <w:r w:rsidR="009B265E">
        <w:t>-</w:t>
      </w:r>
      <w:r>
        <w:t xml:space="preserve">level </w:t>
      </w:r>
      <w:r w:rsidR="00651D07" w:rsidRPr="00651D07">
        <w:t xml:space="preserve">evapotranspiration </w:t>
      </w:r>
      <w:r w:rsidR="00015D90">
        <w:t xml:space="preserve">can </w:t>
      </w:r>
      <w:r>
        <w:t>peak 6 to 11 years earlier than indicated by the Kuczera curve, with a more rapid decline following the peak. Similar analysis</w:t>
      </w:r>
      <w:r w:rsidR="00015D90">
        <w:t>,</w:t>
      </w:r>
      <w:r w:rsidR="009D46FB">
        <w:t xml:space="preserve"> </w:t>
      </w:r>
      <w:r w:rsidR="00015D90">
        <w:t>in</w:t>
      </w:r>
      <w:r>
        <w:t xml:space="preserve"> other ash forest catchments</w:t>
      </w:r>
      <w:r w:rsidR="009D46FB">
        <w:t xml:space="preserve"> in</w:t>
      </w:r>
      <w:r>
        <w:t xml:space="preserve"> </w:t>
      </w:r>
      <w:r w:rsidR="009B265E">
        <w:t xml:space="preserve">North East Victoria </w:t>
      </w:r>
      <w:r w:rsidR="00015D90">
        <w:t xml:space="preserve">that were </w:t>
      </w:r>
      <w:r w:rsidR="009B265E">
        <w:t xml:space="preserve">responding </w:t>
      </w:r>
      <w:r>
        <w:t>to the 2003 fires</w:t>
      </w:r>
      <w:r w:rsidR="009D46FB">
        <w:t>,</w:t>
      </w:r>
      <w:r>
        <w:t xml:space="preserve"> indicated that “a post-bushfire Kuczera-type response may be widespread in regenerating ash”</w:t>
      </w:r>
      <w:r w:rsidR="009B265E">
        <w:t>.</w:t>
      </w:r>
      <w:r>
        <w:t xml:space="preserve"> </w:t>
      </w:r>
      <w:r w:rsidR="009B265E">
        <w:t xml:space="preserve">This conclusion </w:t>
      </w:r>
      <w:r>
        <w:t>was also supported by the plot-scale transpiration measure</w:t>
      </w:r>
      <w:r w:rsidR="0067669B">
        <w:t>ments of</w:t>
      </w:r>
      <w:r w:rsidR="00171410">
        <w:t xml:space="preserve"> </w:t>
      </w:r>
      <w:r w:rsidR="00171410">
        <w:fldChar w:fldCharType="begin" w:fldLock="1"/>
      </w:r>
      <w:r w:rsidR="007416C7">
        <w:instrText>ADDIN CSL_CITATION {"citationItems":[{"id":"ITEM-1","itemData":{"DOI":"10.1016/j.foreco.2012.01.008","ISSN":"03781127","abstract":"We estimated plot level water use from sap flux measurements over a 9-month period, in post-fire regrowth and mature plots of Eucalyptus delegatensis R. Baker (Alpine ash) in high elevation catchments near Falls Creek, Victoria, Australia, seven years after a major stand-replacing bushfire. Water use was more than double (460±100mmyear -1 more) in regrowth as compared to mature plots, whereas sap flux was similar between age classes. This difference in water use reflected 72% greater sapwood area index and 35% greater leaf area index in regrowth than in mature plots. A small part of the difference in water use can be attributed to nocturnal transpiration, which was greater in regrowth than in mature plots (10.3±0.8% vs 7.3±0.8% of diel totals). As evaporative demand was 41% greater in mature than in regrowth plots, these data suggest mean transpiration rate and stomatal conductance per unit leaf area were approximately 1.6 and 2.3 times greater, respectively, in the regrowth. However, mid-day leaf water potential and photosynthetic capacity were similar in both age classes. Evaporative demand was the primary environmental driver of water use in all cases, whereas soil moisture was not a strong driver of either water use or canopy conductance (estimated as sap flux/evaporative demand). Together, our results suggest (a) stand water use rapidly recovers after fire in these high elevation forests and quickly surpasses rates in mature stands, confirming projections by Kuczera (1987) for lower-elevation Mountain Ash (E. regnans) forests and highlighting the potential impact of tree water use on water yield in the first decade of forest regeneration after fires, and (b) stomatal conductance and sapwood area/leaf area ratio are both less in tall, older Alpine ash trees, whereas leaf water status and photosynthetic capacity appear to be sustained - consistent with predictions from optimisation theory but not Pipe-Model Theory. © 2012 Elsevier B.V.","author":[{"dropping-particle":"","family":"Buckley","given":"Thomas N.","non-dropping-particle":"","parse-names":false,"suffix":""},{"dropping-particle":"","family":"Turnbull","given":"Tarryn L.","non-dropping-particle":"","parse-names":false,"suffix":""},{"dropping-particle":"","family":"Pfautsch","given":"Sebastian","non-dropping-particle":"","parse-names":false,"suffix":""},{"dropping-particle":"","family":"Gharun","given":"Mana","non-dropping-particle":"","parse-names":false,"suffix":""},{"dropping-particle":"","family":"Adams","given":"Mark A.","non-dropping-particle":"","parse-names":false,"suffix":""}],"container-title":"Forest Ecology and Management","id":"ITEM-1","issued":{"date-parts":[["2012"]]},"page":"1-10","publisher":"Elsevier B.V.","title":"Differences in water use between mature and post-fire regrowth stands of subalpine Eucalyptus delegatensis R. Baker","type":"article-journal","volume":"270"},"uris":["http://www.mendeley.com/documents/?uuid=56780b8c-898b-4054-bd5f-d27f3333ae7c"]}],"mendeley":{"formattedCitation":"(Buckley &lt;i&gt;et al.&lt;/i&gt;, 2012)","manualFormatting":"Buckley et al. (2012)","plainTextFormattedCitation":"(Buckley et al., 2012)","previouslyFormattedCitation":"(Buckley &lt;i&gt;et al.&lt;/i&gt;, 2012)"},"properties":{"noteIndex":0},"schema":"https://github.com/citation-style-language/schema/raw/master/csl-citation.json"}</w:instrText>
      </w:r>
      <w:r w:rsidR="00171410">
        <w:fldChar w:fldCharType="separate"/>
      </w:r>
      <w:r w:rsidR="00171410" w:rsidRPr="00171410">
        <w:rPr>
          <w:noProof/>
        </w:rPr>
        <w:t xml:space="preserve">Buckley </w:t>
      </w:r>
      <w:r w:rsidR="001C1F9A" w:rsidRPr="001C1F9A">
        <w:rPr>
          <w:i/>
          <w:noProof/>
        </w:rPr>
        <w:t>et al.</w:t>
      </w:r>
      <w:r w:rsidR="00171410" w:rsidRPr="00171410">
        <w:rPr>
          <w:noProof/>
        </w:rPr>
        <w:t xml:space="preserve"> </w:t>
      </w:r>
      <w:r w:rsidR="00A16928">
        <w:rPr>
          <w:noProof/>
        </w:rPr>
        <w:t>(</w:t>
      </w:r>
      <w:r w:rsidR="00171410" w:rsidRPr="00171410">
        <w:rPr>
          <w:noProof/>
        </w:rPr>
        <w:t>2012)</w:t>
      </w:r>
      <w:r w:rsidR="00171410">
        <w:fldChar w:fldCharType="end"/>
      </w:r>
      <w:r w:rsidR="0067669B">
        <w:t>.</w:t>
      </w:r>
    </w:p>
    <w:p w14:paraId="3B9492A4" w14:textId="08E6C906" w:rsidR="00F61666" w:rsidRDefault="00F61666" w:rsidP="00F61666">
      <w:pPr>
        <w:pStyle w:val="Para0"/>
      </w:pPr>
      <w:r>
        <w:t xml:space="preserve">Bren </w:t>
      </w:r>
      <w:r w:rsidR="001C1F9A" w:rsidRPr="001C1F9A">
        <w:rPr>
          <w:i/>
        </w:rPr>
        <w:t>et al.</w:t>
      </w:r>
      <w:r>
        <w:t xml:space="preserve"> (2010) observed an increase in catchment water yield for the first 8 years following timber </w:t>
      </w:r>
      <w:r w:rsidRPr="00281EF3">
        <w:t>harvesting. Th</w:t>
      </w:r>
      <w:r w:rsidR="00E84F1F">
        <w:t>e</w:t>
      </w:r>
      <w:r w:rsidRPr="00281EF3">
        <w:t>s</w:t>
      </w:r>
      <w:r w:rsidR="00E84F1F">
        <w:t>e</w:t>
      </w:r>
      <w:r w:rsidRPr="00281EF3">
        <w:t xml:space="preserve"> experimental data confirm the Macaque modelling results from WWS2008 and </w:t>
      </w:r>
      <w:r w:rsidR="00171410">
        <w:fldChar w:fldCharType="begin" w:fldLock="1"/>
      </w:r>
      <w:r w:rsidR="00D11C5B">
        <w:instrText>ADDIN CSL_CITATION {"citationItems":[{"id":"ITEM-1","itemData":{"DOI":"10.1002/(SICI)1099-1085(19990415)13:5&lt;689::AID-HYP773&gt;3.0.CO;2-D","author":[{"dropping-particle":"","family":"Watson","given":"Fred R","non-dropping-particle":"","parse-names":false,"suffix":""},{"dropping-particle":"","family":"Vertessey","given":"Robert A","non-dropping-particle":"","parse-names":false,"suffix":""},{"dropping-particle":"","family":"Grayson","given":"Rodger B","non-dropping-particle":"","parse-names":false,"suffix":""}],"container-title":"Hydrological Processes","id":"ITEM-1","issued":{"date-parts":[["1999"]]},"page":"689-700","title":"Large-scale modelling of forest hydrological processes and their long-term effect on water yield","type":"article-journal","volume":"13"},"uris":["http://www.mendeley.com/documents/?uuid=aa3dd823-23c9-4807-b3a6-8ffafdcad5a6"]},{"id":"ITEM-2","itemData":{"DOI":"10.1016/S0378-1127(00)00517-X","author":[{"dropping-particle":"","family":"Watson","given":"Fred","non-dropping-particle":"","parse-names":false,"suffix":""},{"dropping-particle":"","family":"Vertessy","given":"Rob A","non-dropping-particle":"","parse-names":false,"suffix":""},{"dropping-particle":"","family":"McMahon","given":"Tom","non-dropping-particle":"","parse-names":false,"suffix":""},{"dropping-particle":"","family":"Rhodes","given":"Bruce","non-dropping-particle":"","parse-names":false,"suffix":""},{"dropping-particle":"","family":"Watson","given":"Ian","non-dropping-particle":"","parse-names":false,"suffix":""}],"container-title":"Forest Ecology and Management","id":"ITEM-2","issue":"1-3","issued":{"date-parts":[["2001"]]},"page":"189-204","publisher":"Elsevier","title":"Improved methods to assess water yield changes from paired-catchment studies: application to the Maroondah catchments","type":"article-journal","volume":"143"},"uris":["http://www.mendeley.com/documents/?uuid=a92fceb4-1b69-47bd-9528-f48f4d0c1919"]}],"mendeley":{"formattedCitation":"(Watson &lt;i&gt;et al.&lt;/i&gt;, 1999, 2001)","manualFormatting":"Watson et al. (1999, 2001)","plainTextFormattedCitation":"(Watson et al., 1999, 2001)","previouslyFormattedCitation":"(Watson &lt;i&gt;et al.&lt;/i&gt;, 1999, 2001)"},"properties":{"noteIndex":0},"schema":"https://github.com/citation-style-language/schema/raw/master/csl-citation.json"}</w:instrText>
      </w:r>
      <w:r w:rsidR="00171410">
        <w:fldChar w:fldCharType="separate"/>
      </w:r>
      <w:r w:rsidR="00171410" w:rsidRPr="00171410">
        <w:rPr>
          <w:noProof/>
        </w:rPr>
        <w:t xml:space="preserve">Watson </w:t>
      </w:r>
      <w:r w:rsidR="001C1F9A" w:rsidRPr="001C1F9A">
        <w:rPr>
          <w:i/>
          <w:noProof/>
        </w:rPr>
        <w:t>et al.</w:t>
      </w:r>
      <w:r w:rsidR="00171410" w:rsidRPr="00171410">
        <w:rPr>
          <w:noProof/>
        </w:rPr>
        <w:t xml:space="preserve"> </w:t>
      </w:r>
      <w:r w:rsidR="00171410">
        <w:rPr>
          <w:noProof/>
        </w:rPr>
        <w:t>(</w:t>
      </w:r>
      <w:r w:rsidR="00171410" w:rsidRPr="00171410">
        <w:rPr>
          <w:noProof/>
        </w:rPr>
        <w:t>1999, 2001)</w:t>
      </w:r>
      <w:r w:rsidR="00171410">
        <w:fldChar w:fldCharType="end"/>
      </w:r>
      <w:r w:rsidR="00171410">
        <w:t xml:space="preserve">, </w:t>
      </w:r>
      <w:r w:rsidRPr="00281EF3">
        <w:t xml:space="preserve">which showed an initial increase in </w:t>
      </w:r>
      <w:r w:rsidR="007877C7">
        <w:t xml:space="preserve">catchment water </w:t>
      </w:r>
      <w:r w:rsidR="007877C7">
        <w:lastRenderedPageBreak/>
        <w:t>yield</w:t>
      </w:r>
      <w:r w:rsidRPr="00281EF3">
        <w:t xml:space="preserve"> for the first few years after harvesting, followed by a long-term decline</w:t>
      </w:r>
      <w:r>
        <w:t xml:space="preserve">. Kuczera (1987) did not observe any increase in </w:t>
      </w:r>
      <w:r w:rsidR="007877C7">
        <w:t>catchment water yield</w:t>
      </w:r>
      <w:r>
        <w:t xml:space="preserve"> for the first few years following the 1939 bushfires. </w:t>
      </w:r>
      <w:r w:rsidR="005833A1">
        <w:fldChar w:fldCharType="begin" w:fldLock="1"/>
      </w:r>
      <w:r w:rsidR="00544257">
        <w:instrText>ADDIN CSL_CITATION {"citationItems":[{"id":"ITEM-1","itemData":{"ISBN":"9780858258686","abstract":"The February 2009 Victorian bushfires affected approximately 30% of Melbourne's water supply catchments. Previous experience of bushfires in south-eastern Australia indicates fires can affect catchment water balances, potentially increasing short-term runoff due to reduced vegetation cover and changes in soil conditions, and reducing long-term water yield due to forest regrowth. While changes in post-fire runoff can be investigated using conceptual or physically-based catchment models, these approaches often involve modelling assumptions. uncertainties and intensive data requirements. Consequently, there is a need for rapid assessment methods requiring fewer assumptions using readily-available hydrologic observations. In this paper, an approach for comparing pre- and post-fire runoff coefficients for hydrologically-similar rainfall events (and monthly, seasonal and annual periods) is used to investigate short- and medium-term runoff changes. Results reveal mixed catchment responses, with no clear indication of increased runoff in the initial one and a half year post-2009 bushfires possibly due to the relatively low/moderate burn severity and mortality in the two Melbourne Water catchments investigated.","author":[{"dropping-particle":"","family":"Tan","given":"K. S.","non-dropping-particle":"","parse-names":false,"suffix":""},{"dropping-particle":"","family":"Flower","given":"D. J.M.","non-dropping-particle":"","parse-names":false,"suffix":""},{"dropping-particle":"","family":"Flowers","given":"D. M.","non-dropping-particle":"","parse-names":false,"suffix":""}],"container-title":"34th IAHR Congress 2011 - Balance and Uncertainty: Water in a Changing World, Incorporating the 33rd Hydrology and Water Resources Symposium and the 10th Conference on Hydraulics in Water Engineering","id":"ITEM-1","issue":"July","issued":{"date-parts":[["2011"]]},"page":"1522-1529","title":"An event runoff coefficient approach for assessing changes in short-term catchment runoff following bushfires","type":"article-journal"},"uris":["http://www.mendeley.com/documents/?uuid=fe359194-dcaa-4b19-8d86-f7ed7ad5bdb8"]}],"mendeley":{"formattedCitation":"(Tan &lt;i&gt;et al.&lt;/i&gt;, 2011)","manualFormatting":"Tan et al. (2011)","plainTextFormattedCitation":"(Tan et al., 2011)","previouslyFormattedCitation":"(Tan &lt;i&gt;et al.&lt;/i&gt;, 2011)"},"properties":{"noteIndex":0},"schema":"https://github.com/citation-style-language/schema/raw/master/csl-citation.json"}</w:instrText>
      </w:r>
      <w:r w:rsidR="005833A1">
        <w:fldChar w:fldCharType="separate"/>
      </w:r>
      <w:r w:rsidR="005833A1" w:rsidRPr="005833A1">
        <w:rPr>
          <w:noProof/>
        </w:rPr>
        <w:t xml:space="preserve">Tan </w:t>
      </w:r>
      <w:r w:rsidR="001C1F9A" w:rsidRPr="001C1F9A">
        <w:rPr>
          <w:i/>
          <w:noProof/>
        </w:rPr>
        <w:t>et al.</w:t>
      </w:r>
      <w:r w:rsidR="005833A1" w:rsidRPr="005833A1">
        <w:rPr>
          <w:noProof/>
        </w:rPr>
        <w:t xml:space="preserve"> </w:t>
      </w:r>
      <w:r w:rsidR="005833A1">
        <w:rPr>
          <w:noProof/>
        </w:rPr>
        <w:t>(</w:t>
      </w:r>
      <w:r w:rsidR="005833A1" w:rsidRPr="005833A1">
        <w:rPr>
          <w:noProof/>
        </w:rPr>
        <w:t>2011)</w:t>
      </w:r>
      <w:r w:rsidR="005833A1">
        <w:fldChar w:fldCharType="end"/>
      </w:r>
      <w:r w:rsidR="005833A1">
        <w:t xml:space="preserve"> </w:t>
      </w:r>
      <w:r>
        <w:t xml:space="preserve">also did not observe any increase in </w:t>
      </w:r>
      <w:r w:rsidR="007877C7">
        <w:t>catchment water yield</w:t>
      </w:r>
      <w:r>
        <w:t xml:space="preserve"> in the O’Shann</w:t>
      </w:r>
      <w:r w:rsidR="00E1209A">
        <w:t>a</w:t>
      </w:r>
      <w:r>
        <w:t>ssy and Maroondah catchments following the 2009 bushfires.</w:t>
      </w:r>
      <w:r w:rsidR="00872782">
        <w:t xml:space="preserve"> </w:t>
      </w:r>
      <w:r>
        <w:t xml:space="preserve">Feikema </w:t>
      </w:r>
      <w:r w:rsidR="001C1F9A" w:rsidRPr="001C1F9A">
        <w:rPr>
          <w:i/>
        </w:rPr>
        <w:t>et al.</w:t>
      </w:r>
      <w:r>
        <w:t xml:space="preserve"> (2013) reasoned that the water yield response of catchments containing ash</w:t>
      </w:r>
      <w:r w:rsidR="00525D1C">
        <w:t>-</w:t>
      </w:r>
      <w:r>
        <w:t>type forests is different in the first few years following a bushfire to the first few years following timber harvesting because intense bushfires would almost always occur during droughts, when soils would be expected to be drier, on average, than during timber harvesting operations, which can occur across a broader range of soil moisture conditions.</w:t>
      </w:r>
      <w:r w:rsidR="00DC695B">
        <w:t xml:space="preserve"> However, </w:t>
      </w:r>
      <w:r w:rsidR="00DC695B">
        <w:fldChar w:fldCharType="begin" w:fldLock="1"/>
      </w:r>
      <w:r w:rsidR="007416C7">
        <w:instrText>ADDIN CSL_CITATION {"citationItems":[{"id":"ITEM-1","itemData":{"DOI":"10.1080/02626667.2014.961923","ISSN":"21503435","abstract":"This paper quantifies the impacts of bushfire and climate variability on streamflow from three southeast Australian catchments where bushfires occurred in February 1983. Three hydrological models (AWRA-L, Xinanjiang and GR4J) were first calibrated against streamflow data from the pre-bushfire period and then used to simulate runoff for the post-bushfire period with the calibrated parameters. The difference in simulated streamflow between pre- and post-bushfire periods provides an estimate of the impact of climate variability on streamflow. The impact of bushfire on streamflow is quantified by removing the climate variability impact from the difference in mean annual observed streamflow between post- and pre-bushfire periods. For the first 15 years after the 1983 bushfires, the results from hydrological models for the three catchments indicate that there is a substantial increase in streamflow; this is attributed to initial decreases in evapotranspiration and soil infiltration rates resulting from the fires, followed by logging activity. After 15 years, streamflow dynamics are more heavily influenced by climate effects, although some impact from fire and logging regeneration may still occur. The results show that hydrological models provide reasonably consistent estimates of bushfire and climate impacts on streamflow for the three catchments. The models can be used to quantify relative contributions of forest disturbance (bushfire, logging and other forest management) and climate variability. The results presented can also help forest managers understand the relationship between bushfire and climate variability impacts on water yield in the context of climate variability.","author":[{"dropping-particle":"","family":"Zhou","given":"Yanchun","non-dropping-particle":"","parse-names":false,"suffix":""},{"dropping-particle":"","family":"Zhang","given":"Yongqiang","non-dropping-particle":"","parse-names":false,"suffix":""},{"dropping-particle":"","family":"Vaze","given":"Jai","non-dropping-particle":"","parse-names":false,"suffix":""},{"dropping-particle":"","family":"Lane","given":"Patrick","non-dropping-particle":"","parse-names":false,"suffix":""},{"dropping-particle":"","family":"Xu","given":"Shiguo","non-dropping-particle":"","parse-names":false,"suffix":""}],"container-title":"Hydrological Sciences Journal","id":"ITEM-1","issue":"7-8","issued":{"date-parts":[["2015"]]},"page":"1340-1360","publisher":"Taylor &amp; Francis","title":"Impact of bushfire and climate variability on streamflow from forested catchments in southeast Australia","type":"article-journal","volume":"60"},"uris":["http://www.mendeley.com/documents/?uuid=407e84ee-673b-48d1-84fd-e64f41530508"]}],"mendeley":{"formattedCitation":"(Zhou &lt;i&gt;et al.&lt;/i&gt;, 2015)","manualFormatting":"Zhou et al. (2015)","plainTextFormattedCitation":"(Zhou et al., 2015)","previouslyFormattedCitation":"(Zhou &lt;i&gt;et al.&lt;/i&gt;, 2015)"},"properties":{"noteIndex":0},"schema":"https://github.com/citation-style-language/schema/raw/master/csl-citation.json"}</w:instrText>
      </w:r>
      <w:r w:rsidR="00DC695B">
        <w:fldChar w:fldCharType="separate"/>
      </w:r>
      <w:r w:rsidR="00DC695B" w:rsidRPr="00DF521A">
        <w:rPr>
          <w:noProof/>
        </w:rPr>
        <w:t xml:space="preserve">Zhou </w:t>
      </w:r>
      <w:r w:rsidR="001C1F9A" w:rsidRPr="001C1F9A">
        <w:rPr>
          <w:i/>
          <w:noProof/>
        </w:rPr>
        <w:t>et al.</w:t>
      </w:r>
      <w:r w:rsidR="00DC695B" w:rsidRPr="00872782">
        <w:rPr>
          <w:noProof/>
        </w:rPr>
        <w:t xml:space="preserve"> </w:t>
      </w:r>
      <w:r w:rsidR="00BD1C97">
        <w:rPr>
          <w:noProof/>
        </w:rPr>
        <w:t>(</w:t>
      </w:r>
      <w:r w:rsidR="00DC695B" w:rsidRPr="00872782">
        <w:rPr>
          <w:noProof/>
        </w:rPr>
        <w:t>2015)</w:t>
      </w:r>
      <w:r w:rsidR="00DC695B">
        <w:fldChar w:fldCharType="end"/>
      </w:r>
      <w:r w:rsidR="00DC695B">
        <w:t xml:space="preserve"> used conceptual runoff routing models to identify the bushfire contribution of </w:t>
      </w:r>
      <w:r w:rsidR="007877C7">
        <w:t>catchment water yield</w:t>
      </w:r>
      <w:r w:rsidR="00DC695B">
        <w:t xml:space="preserve"> increase in the 16 years following the “Ash Wednesday” 1983 fires</w:t>
      </w:r>
      <w:r w:rsidR="00015D90">
        <w:t xml:space="preserve">. The bushfire contributions were </w:t>
      </w:r>
      <w:r w:rsidR="00DC695B">
        <w:t>between 7% and 12% for the Little Yarra River and between 26% and 37% for Starvation Creek, depending upon the rainfall runoff model that was applied.</w:t>
      </w:r>
    </w:p>
    <w:p w14:paraId="121C6D01" w14:textId="439CF3C7" w:rsidR="00F61666" w:rsidRDefault="0067669B" w:rsidP="00F61666">
      <w:pPr>
        <w:pStyle w:val="Para0"/>
      </w:pPr>
      <w:r>
        <w:fldChar w:fldCharType="begin" w:fldLock="1"/>
      </w:r>
      <w:r w:rsidR="00544257">
        <w:instrText>ADDIN CSL_CITATION {"citationItems":[{"id":"ITEM-1","itemData":{"author":[{"dropping-particle":"","family":"McGuire","given":"D","non-dropping-particle":"","parse-names":false,"suffix":""},{"dropping-particle":"","family":"Bren","given":"L","non-dropping-particle":"","parse-names":false,"suffix":""}],"container-title":"Institute of Foresters of Australia National Conference","id":"ITEM-1","issued":{"date-parts":[["2013"]]},"page":"176-184","publisher-place":"Canberra","title":"The curse of the curves: misuse of simple hydrologic models in forestry","type":"paper-conference"},"uris":["http://www.mendeley.com/documents/?uuid=212e4596-c7cf-4730-82cb-ae28ae11e425"]}],"mendeley":{"formattedCitation":"(McGuire and Bren, 2013)","manualFormatting":"McGuire and Bren (2013)","plainTextFormattedCitation":"(McGuire and Bren, 2013)","previouslyFormattedCitation":"(McGuire and Bren, 2013)"},"properties":{"noteIndex":0},"schema":"https://github.com/citation-style-language/schema/raw/master/csl-citation.json"}</w:instrText>
      </w:r>
      <w:r>
        <w:fldChar w:fldCharType="separate"/>
      </w:r>
      <w:r>
        <w:rPr>
          <w:noProof/>
        </w:rPr>
        <w:t>McGuire and Bren</w:t>
      </w:r>
      <w:r w:rsidRPr="0067669B">
        <w:rPr>
          <w:noProof/>
        </w:rPr>
        <w:t xml:space="preserve"> </w:t>
      </w:r>
      <w:r>
        <w:rPr>
          <w:noProof/>
        </w:rPr>
        <w:t>(</w:t>
      </w:r>
      <w:r w:rsidRPr="0067669B">
        <w:rPr>
          <w:noProof/>
        </w:rPr>
        <w:t>2013)</w:t>
      </w:r>
      <w:r>
        <w:fldChar w:fldCharType="end"/>
      </w:r>
      <w:r>
        <w:t xml:space="preserve"> </w:t>
      </w:r>
      <w:r w:rsidR="00F61666">
        <w:t xml:space="preserve">argued that </w:t>
      </w:r>
      <w:r w:rsidR="00422567">
        <w:t>“</w:t>
      </w:r>
      <w:r w:rsidR="00F61666">
        <w:t>Kuczera curves</w:t>
      </w:r>
      <w:r w:rsidR="00422567">
        <w:t>”</w:t>
      </w:r>
      <w:r w:rsidR="00F61666">
        <w:t xml:space="preserve"> have commonly been misapplied in forest hydrological studies,</w:t>
      </w:r>
      <w:r w:rsidR="0010108C">
        <w:t xml:space="preserve"> noting that Kuczera’s analysis</w:t>
      </w:r>
      <w:r w:rsidR="00F61666">
        <w:t xml:space="preserve"> of streamflow records</w:t>
      </w:r>
      <w:r w:rsidR="0010108C">
        <w:t xml:space="preserve"> </w:t>
      </w:r>
      <w:r w:rsidR="0010108C">
        <w:fldChar w:fldCharType="begin" w:fldLock="1"/>
      </w:r>
      <w:r w:rsidR="0005134E">
        <w:instrText>ADDIN CSL_CITATION {"citationItems":[{"id":"ITEM-1","itemData":{"author":[{"dropping-particle":"","family":"Kuczera","given":"George","non-dropping-particle":"","parse-names":false,"suffix":""}],"id":"ITEM-1","issued":{"date-parts":[["1985"]]},"publisher-place":"Melbourne, Australia","title":"Prediction of water yield reductions following a bushfire in ash-mixed species eucalypt forest","type":"report"},"uris":["http://www.mendeley.com/documents/?uuid=138ba582-4727-44cf-b559-49ed4660d36a"]},{"id":"ITEM-2","itemData":{"DOI":"10.1016/0022-1694(87)90054-0","author":[{"dropping-particle":"","family":"Kuczera","given":"George","non-dropping-particle":"","parse-names":false,"suffix":""}],"container-title":"Journal of Hydrology","id":"ITEM-2","issued":{"date-parts":[["1987"]]},"page":"215-236","publisher":"Journal of Hydrology","publisher-place":"Amsterdam","title":"Predction of water yield reductions following a bushfire in ash-mixed species eucalypt forest","type":"article-journal","volume":"94"},"uris":["http://www.mendeley.com/documents/?uuid=c54d6334-d945-4271-8c27-85eb8def6bf7"]}],"mendeley":{"formattedCitation":"(Kuczera, 1985, 1987)","plainTextFormattedCitation":"(Kuczera, 1985, 1987)","previouslyFormattedCitation":"(Kuczera, 1985, 1987)"},"properties":{"noteIndex":0},"schema":"https://github.com/citation-style-language/schema/raw/master/csl-citation.json"}</w:instrText>
      </w:r>
      <w:r w:rsidR="0010108C">
        <w:fldChar w:fldCharType="separate"/>
      </w:r>
      <w:r w:rsidR="0010108C" w:rsidRPr="0010108C">
        <w:rPr>
          <w:noProof/>
        </w:rPr>
        <w:t>(Kuczera, 1985, 1987)</w:t>
      </w:r>
      <w:r w:rsidR="0010108C">
        <w:fldChar w:fldCharType="end"/>
      </w:r>
      <w:r w:rsidR="00F61666">
        <w:t xml:space="preserve"> was confined to high rainfall catchments and so “for sites with lower annual rainfall the magnitude of the predicted change in flow exceeds the possible runoff, although the streams usually continue flowing” and that because rainfall is not a model input it “has little predictive ability for a given area” which “limits the practicality of application in a year-to-year scenario”. </w:t>
      </w:r>
      <w:r w:rsidR="00643B92">
        <w:t>They also note</w:t>
      </w:r>
      <w:r w:rsidR="00F61666">
        <w:t xml:space="preserve"> that after the 1939 fires there was no detectable initial increase in streamflow, unlike in experimental timber harvesting studies, where there is always an initial </w:t>
      </w:r>
      <w:r w:rsidR="007877C7">
        <w:t>catchment water yield</w:t>
      </w:r>
      <w:r w:rsidR="00F61666">
        <w:t xml:space="preserve"> increase for a few years after harvest and regeneration.</w:t>
      </w:r>
    </w:p>
    <w:p w14:paraId="678E75E9" w14:textId="583C70AD" w:rsidR="00F61666" w:rsidRDefault="00F61666" w:rsidP="00F61666">
      <w:pPr>
        <w:pStyle w:val="Para0"/>
      </w:pPr>
      <w:r>
        <w:t>Models that include the initial increase in runoff in the first few years after timber harvesting, such as the Macaque modelling undertaken in WWS2008, would be consistent</w:t>
      </w:r>
      <w:r w:rsidR="0067669B">
        <w:t xml:space="preserve"> with the experimental data</w:t>
      </w:r>
      <w:r w:rsidR="007F2D6C">
        <w:t xml:space="preserve"> </w:t>
      </w:r>
      <w:r w:rsidR="007F2D6C" w:rsidRPr="005E3238">
        <w:fldChar w:fldCharType="begin" w:fldLock="1"/>
      </w:r>
      <w:r w:rsidR="007416C7">
        <w:instrText>ADDIN CSL_CITATION {"citationItems":[{"id":"ITEM-1","itemData":{"DOI":"10.1016/j.jhydrol.2010.01.007","ISSN":"00221694","abstract":"The Coranderrk Project, located 70 km east of Melbourne, is Australia's longest-running paired catchment study. Three small catchments (\"Slip Creek\", \"Blue Jacket Creek\", and \"Picaninny Creek\") originally carrying old growth mountain ash and mixed species have been gauged since 1958. In 1971/72 Picaninny Creek catchment was substantially clear-felled and regenerated, predominantly with mountain ash (Eucalyptus regnans). The annual flow increased for the next 3 years (relative to the control), reaching a peak of almost 300 mm increase relative to the control catchment. Flow then declined; 8 years after the logging the annual flow had returned to pre-logging levels. Annual flow then continued to decline with a maximum reduction of around 200 mm per annum. Thirty-four years after logging the flow was still below the pre-treatment flow and showing no sign of recovery, although there were year to year variations associated with rainfall and drought. In 1972/73 Blue Jacket Creek had a \"sawmiller selection\" cutting in which approximately 50% of the basal area was removed. The response was a similar but muted version of the Picaninny Creek response. A statistical analysis used 1 year of the pre-treatment period to establish error limits. This showed that in both cases there was a statistically significant increase in flow followed by a statistically significant decrease in flow relative to old growth. Measurement of two of the catchments is continuing. © 2010 Elsevier B.V. All rights reserved.","author":[{"dropping-particle":"","family":"Bren","given":"Leon","non-dropping-particle":"","parse-names":false,"suffix":""},{"dropping-particle":"","family":"Lane","given":"Patrick","non-dropping-particle":"","parse-names":false,"suffix":""},{"dropping-particle":"","family":"Hepworth","given":"Graham","non-dropping-particle":"","parse-names":false,"suffix":""}],"container-title":"Journal of Hydrology","id":"ITEM-1","issue":"1-2","issued":{"date-parts":[["2010"]]},"page":"52-64","title":"Longer-term water use of native eucalyptus forest after logging and regeneration: The Coranderrk experiment","type":"article-journal","volume":"384"},"uris":["http://www.mendeley.com/documents/?uuid=16e351f8-5b26-4efc-88b6-0c81e999a219"]}],"mendeley":{"formattedCitation":"(Bren &lt;i&gt;et al.&lt;/i&gt;, 2010)","manualFormatting":"(Bren et al., 2010;","plainTextFormattedCitation":"(Bren et al., 2010)","previouslyFormattedCitation":"(Bren &lt;i&gt;et al.&lt;/i&gt;, 2010)"},"properties":{"noteIndex":0},"schema":"https://github.com/citation-style-language/schema/raw/master/csl-citation.json"}</w:instrText>
      </w:r>
      <w:r w:rsidR="007F2D6C" w:rsidRPr="005E3238">
        <w:fldChar w:fldCharType="separate"/>
      </w:r>
      <w:r w:rsidR="007F2D6C" w:rsidRPr="00651A83">
        <w:rPr>
          <w:noProof/>
        </w:rPr>
        <w:t xml:space="preserve">(Bren </w:t>
      </w:r>
      <w:r w:rsidR="001C1F9A" w:rsidRPr="001C1F9A">
        <w:rPr>
          <w:i/>
          <w:noProof/>
        </w:rPr>
        <w:t>et al.</w:t>
      </w:r>
      <w:r w:rsidR="007F2D6C" w:rsidRPr="00651A83">
        <w:rPr>
          <w:noProof/>
        </w:rPr>
        <w:t>, 2010;</w:t>
      </w:r>
      <w:r w:rsidR="007F2D6C" w:rsidRPr="005E3238">
        <w:fldChar w:fldCharType="end"/>
      </w:r>
      <w:r w:rsidR="007F2D6C" w:rsidRPr="00DF521A">
        <w:t xml:space="preserve"> </w:t>
      </w:r>
      <w:r w:rsidR="007F2D6C" w:rsidRPr="005E3238">
        <w:fldChar w:fldCharType="begin" w:fldLock="1"/>
      </w:r>
      <w:r w:rsidR="007416C7">
        <w:instrText>ADDIN CSL_CITATION {"citationItems":[{"id":"ITEM-1","itemData":{"DOI":"10.1016/j.jhydrol.2012.07.034","ISSN":"00221694","abstract":"The Karuah replicated paired catchment experiment was initiated in the 1970s to examine the hydrological effects of eucalypt-to-eucalypt forest succession in New South Wales, Australia. Treatments were conducted on 25.4-78.8% of the area of six small catchments in 1983. Five of the treated catchments experienced a significant increase in streamflow following forest disturbance, equivalent to annual water yield changes ranging from 120mm to 319.6mm which varied in proportion to the percentage of each catchment logged. This initial increase lasted for greater than 5years in the logged and unburnt Bollygum (L-) catchment, but had returned to pre-treatment levels within 2.5years in the logged and burnt (L+) Corkwood and Jackwood catchments, and within 2years in the Kokata and Coachwood plantation catchments (P). A significant reduction in streamflow then occurred in three catchments - Corkwood (113.5mma -1), Bollygum (72.7mma -1) and Kokata (68.9mma -1) - but had returned to the pre-treatment level within 7years post-harvest in the Corkwood catchment. A continuing suppression of streamflow after 27years is evident in two of the catchments, Bollygum and Kokata, with Kokata experiencing a further decline from 2005 onwards to a mean annual reduction of 172.4mm. By contrast a significant increase in streamflow relative to the pre-treatment level has been recorded in the Jackwood catchment after 23years (157.6mma -1). Relative changes in streamflow measured in this experiment can be explained largely by changes in forest species composition, basal area and stocking rates. The eucalypt stands have variously self-thinned and in some cases forest growth appears to have been slowed by insect attack and bell miner associated dieback. Contrary to earlier published findings, while this study confirms that Mountain ash type water yield reductions can occur in other forest types, this response appears to be the exception rather than the rule. These findings have implications for the modelling and management of water yield impacts of mixed species eucalypt forest disturbance. © 2012 Elsevier B.V.","author":[{"dropping-particle":"","family":"Webb","given":"Ashley A.","non-dropping-particle":"","parse-names":false,"suffix":""},{"dropping-particle":"","family":"Kathuria","given":"Amrit","non-dropping-particle":"","parse-names":false,"suffix":""},{"dropping-particle":"","family":"Turner","given":"Lisa","non-dropping-particle":"","parse-names":false,"suffix":""}],"container-title":"Journal of Hydrology","id":"ITEM-1","issued":{"date-parts":[["2012"]]},"page":"412-422","publisher":"Elsevier B.V.","title":"Longer-term changes in streamflow following logging and mixed species eucalypt forest regeneration: The Karuah experiment","type":"article-journal","volume":"464-465"},"uris":["http://www.mendeley.com/documents/?uuid=2b68f6b0-7b2c-4e73-b222-64aa3fe074ed"]}],"mendeley":{"formattedCitation":"(Webb &lt;i&gt;et al.&lt;/i&gt;, 2012)","manualFormatting":"Webb et al., 2012","plainTextFormattedCitation":"(Webb et al., 2012)","previouslyFormattedCitation":"(Webb &lt;i&gt;et al.&lt;/i&gt;, 2012)"},"properties":{"noteIndex":0},"schema":"https://github.com/citation-style-language/schema/raw/master/csl-citation.json"}</w:instrText>
      </w:r>
      <w:r w:rsidR="007F2D6C" w:rsidRPr="005E3238">
        <w:fldChar w:fldCharType="separate"/>
      </w:r>
      <w:r w:rsidR="007F2D6C" w:rsidRPr="00651A83">
        <w:rPr>
          <w:noProof/>
        </w:rPr>
        <w:t xml:space="preserve">Webb </w:t>
      </w:r>
      <w:r w:rsidR="001C1F9A" w:rsidRPr="001C1F9A">
        <w:rPr>
          <w:i/>
          <w:noProof/>
        </w:rPr>
        <w:t>et al.</w:t>
      </w:r>
      <w:r w:rsidR="007F2D6C" w:rsidRPr="00651A83">
        <w:rPr>
          <w:noProof/>
        </w:rPr>
        <w:t>, 2012</w:t>
      </w:r>
      <w:r w:rsidR="007F2D6C" w:rsidRPr="005E3238">
        <w:fldChar w:fldCharType="end"/>
      </w:r>
      <w:r w:rsidR="007F2D6C" w:rsidRPr="00DF521A">
        <w:t xml:space="preserve">; </w:t>
      </w:r>
      <w:r w:rsidR="007F2D6C" w:rsidRPr="005E3238">
        <w:fldChar w:fldCharType="begin" w:fldLock="1"/>
      </w:r>
      <w:r w:rsidR="007416C7">
        <w:instrText>ADDIN CSL_CITATION {"citationItems":[{"id":"ITEM-1","itemData":{"DOI":"10.1002/eco.1463","ISSN":"19360592","abstract":"© 2014 John Wiley  &amp;  Sons, Ltd. Forests that recover from disturbance predominately via vegetative resprouting may be expected to have different catchment water balance dynamics following wildfire than forests recovering from seed. However, the impacts of wildfire on forest water use are largely unknown in resprouting forest types. This is despite their dominance across the majority of southern Australia's forested catchments and the large areas burnt in recent years. We hypothesized that postfire changes in evapotranspiration (E t ) would be a function of fire severity and topography and that partitioning of E t would change after fire because of altered stand structure. We tested these hypotheses by monitoring E t and component fluxes across different topographic positions and fire severities in a mixed eucalypt species forest located in water supply catchments for the city of Melbourne. For this forest type, wildfire triggers vegetative resprouting from lignotubers and epicormic shoots on the bole and branches of the overstorey trees, in addition to prolific seedling germination. Monitoring was undertaken over 1-3years following the 2009 Black Saturday wildfires. We found that E t was on average 41% lower in forest burnt at high severity compared with unburnt forest, whereas E t from forest burnt at moderate severity was only 3% lower than unburnt forest over 1-2years postfire but on average 9% higher over 2-3years postfire. E t losses were driven by tree and shrub mortality in conjunction with lower transpiration in surviving trees. Lower E t was partially offset by regenerating seedlings that drove increases in forest floor E t and interception loss. Finally, we found that topography, through its effects on evaporative demand and forest structure, was a strong determinant of total E t but did not affect the nature of postfire recovery.","author":[{"dropping-particle":"","family":"Nolan","given":"Rachael H.","non-dropping-particle":"","parse-names":false,"suffix":""},{"dropping-particle":"","family":"Lane","given":"Patrick N.J.","non-dropping-particle":"","parse-names":false,"suffix":""},{"dropping-particle":"","family":"Benyon","given":"Richard G.","non-dropping-particle":"","parse-names":false,"suffix":""},{"dropping-particle":"","family":"Bradstock","given":"Ross A.","non-dropping-particle":"","parse-names":false,"suffix":""},{"dropping-particle":"","family":"Mitchell","given":"Patrick J.","non-dropping-particle":"","parse-names":false,"suffix":""}],"container-title":"Ecohydrology","id":"ITEM-1","issue":"5","issued":{"date-parts":[["2014"]]},"page":"1363-1377","title":"Changes in evapotranspiration following wildfire in resprouting eucalypt forests","type":"article-journal","volume":"7"},"uris":["http://www.mendeley.com/documents/?uuid=4de609e1-d7bd-41b6-a0dc-d5006d7ff807"]}],"mendeley":{"formattedCitation":"(Nolan &lt;i&gt;et al.&lt;/i&gt;, 2014)","manualFormatting":"Nolan et al., 2014","plainTextFormattedCitation":"(Nolan et al., 2014)","previouslyFormattedCitation":"(Nolan &lt;i&gt;et al.&lt;/i&gt;, 2014)"},"properties":{"noteIndex":0},"schema":"https://github.com/citation-style-language/schema/raw/master/csl-citation.json"}</w:instrText>
      </w:r>
      <w:r w:rsidR="007F2D6C" w:rsidRPr="005E3238">
        <w:fldChar w:fldCharType="separate"/>
      </w:r>
      <w:r w:rsidR="007F2D6C" w:rsidRPr="00651A83">
        <w:rPr>
          <w:noProof/>
        </w:rPr>
        <w:t xml:space="preserve">Nolan </w:t>
      </w:r>
      <w:r w:rsidR="001C1F9A" w:rsidRPr="001C1F9A">
        <w:rPr>
          <w:i/>
          <w:noProof/>
        </w:rPr>
        <w:t>et al.</w:t>
      </w:r>
      <w:r w:rsidR="007F2D6C" w:rsidRPr="00651A83">
        <w:rPr>
          <w:noProof/>
        </w:rPr>
        <w:t>, 2014</w:t>
      </w:r>
      <w:r w:rsidR="007F2D6C" w:rsidRPr="005E3238">
        <w:fldChar w:fldCharType="end"/>
      </w:r>
      <w:r w:rsidR="007F2D6C">
        <w:t xml:space="preserve">, </w:t>
      </w:r>
      <w:r w:rsidR="007F2D6C">
        <w:fldChar w:fldCharType="begin" w:fldLock="1"/>
      </w:r>
      <w:r w:rsidR="007416C7">
        <w:instrText>ADDIN CSL_CITATION {"citationItems":[{"id":"ITEM-1","itemData":{"DOI":"10.1016/j.jhydrol.2015.02.045","ISSN":"00221694","abstract":"The objective of this study was to estimate the recovery trajectory of evapotranspiration (E&lt;inf&gt;t&lt;/inf&gt;) and streamflow (Q) in resprouting forested catchments following wildfire. Recovery dynamics were assessed in mixed species eucalypt forests in south-eastern Australia which recover from disturbance largely via vegetative resprouting, and to a lesser degree, via seedling recruitment. Changes in E&lt;inf&gt;t&lt;/inf&gt; were evaluated in two ways. Firstly, we developed semi-empirical models of post-fire E&lt;inf&gt;t&lt;/inf&gt; following moderate and high severity wildfire. These models were based on datasets of plot-scale E&lt;inf&gt;t&lt;/inf&gt;, measured within five years post-fire, and published literature on post-fire changes in vegetation structure. Secondly, we analysed long-term Q records (25years) from a mixed species catchment, including a 1-5year period following a predominately moderate severity wildfire. We found that the overall length of recovery time for E&lt;inf&gt;t&lt;/inf&gt; and Q following wildfire was 8-12years, which is much less than for eucalypt forests recovering via seedlings only. This emphasises the importance of functional responses to fire in forest ecosystems as a key driver of the hydrologic resilience of catchments, with resprouting forest types conferring relatively rapid recovery following disturbance. We also found that the recovery trajectory of post-fire E&lt;inf&gt;t&lt;/inf&gt; was dependent on fire severity. Increased E&lt;inf&gt;t&lt;/inf&gt; and consequent declines in Q occurred following moderate severity fire. In contrast, there was no evidence of increased E&lt;inf&gt;t&lt;/inf&gt; following high severity fire. Based on patterns of long-term Q and rainfall observed in a small mixed species catchment, declines in Q due to increased E&lt;inf&gt;t&lt;/inf&gt; following moderate severity wildfire were of similar magnitude to Q declines driven by a drought that coincided with the fire. We conclude that the coincidence of wildfire with drought exacerbates reductions in Q under moderate severity fire, resulting in greater Q declines. This is due to the enhanced rates of E&lt;inf&gt;t&lt;/inf&gt;, primarily driven by regenerating seedlings and higher rates of transpiration from surviving trees.","author":[{"dropping-particle":"","family":"Nolan","given":"Rachael H.","non-dropping-particle":"","parse-names":false,"suffix":""},{"dropping-particle":"","family":"Lane","given":"Patrick N J","non-dropping-particle":"","parse-names":false,"suffix":""},{"dropping-particle":"","family":"Benyon","given":"Richard G.","non-dropping-particle":"","parse-names":false,"suffix":""},{"dropping-particle":"","family":"Bradstock","given":"Ross A.","non-dropping-particle":"","parse-names":false,"suffix":""},{"dropping-particle":"","family":"Mitchell","given":"Patrick J.","non-dropping-particle":"","parse-names":false,"suffix":""}],"container-title":"Journal of Hydrology","id":"ITEM-1","issued":{"date-parts":[["2015"]]},"page":"614-624","publisher":"Elsevier B.V.","title":"Trends in evapotranspiration and streamflow following wildfire in resprouting eucalypt forests","type":"article-journal","volume":"524"},"uris":["http://www.mendeley.com/documents/?uuid=31a2ac24-7774-4b4f-a30b-b741d2cca280"]}],"mendeley":{"formattedCitation":"(Nolan &lt;i&gt;et al.&lt;/i&gt;, 2015)","manualFormatting":"2015)","plainTextFormattedCitation":"(Nolan et al., 2015)","previouslyFormattedCitation":"(Nolan &lt;i&gt;et al.&lt;/i&gt;, 2015)"},"properties":{"noteIndex":0},"schema":"https://github.com/citation-style-language/schema/raw/master/csl-citation.json"}</w:instrText>
      </w:r>
      <w:r w:rsidR="007F2D6C">
        <w:fldChar w:fldCharType="separate"/>
      </w:r>
      <w:r w:rsidR="007F2D6C" w:rsidRPr="007F2D6C">
        <w:rPr>
          <w:noProof/>
        </w:rPr>
        <w:t>2015)</w:t>
      </w:r>
      <w:r w:rsidR="007F2D6C">
        <w:fldChar w:fldCharType="end"/>
      </w:r>
      <w:r>
        <w:t xml:space="preserve">, in contrast </w:t>
      </w:r>
      <w:r w:rsidR="00E97CF8">
        <w:t>to</w:t>
      </w:r>
      <w:r>
        <w:t xml:space="preserve"> models that do not include this initial increase in runoff.</w:t>
      </w:r>
    </w:p>
    <w:p w14:paraId="667508EC" w14:textId="5720C86C" w:rsidR="00C46FE1" w:rsidRDefault="00BD1C97" w:rsidP="00F61666">
      <w:pPr>
        <w:pStyle w:val="Para0"/>
      </w:pPr>
      <w:r>
        <w:t xml:space="preserve">Several studies of streamflows in non-ash eucalypt forests indicate that the long-term </w:t>
      </w:r>
      <w:r w:rsidR="007877C7">
        <w:t>catchment water yield</w:t>
      </w:r>
      <w:r>
        <w:t xml:space="preserve"> decline after harvest and regeneration is largely confined to the ash forests. </w:t>
      </w:r>
      <w:r w:rsidR="0010108C">
        <w:fldChar w:fldCharType="begin" w:fldLock="1"/>
      </w:r>
      <w:r w:rsidR="0010108C">
        <w:instrText>ADDIN CSL_CITATION {"citationItems":[{"id":"ITEM-1","itemData":{"DOI":"10.1016/j.jhydrol.2010.01.007","ISSN":"00221694","abstract":"The Coranderrk Project, located 70 km east of Melbourne, is Australia's longest-running paired catchment study. Three small catchments (\"Slip Creek\", \"Blue Jacket Creek\", and \"Picaninny Creek\") originally carrying old growth mountain ash and mixed species have been gauged since 1958. In 1971/72 Picaninny Creek catchment was substantially clear-felled and regenerated, predominantly with mountain ash (Eucalyptus regnans). The annual flow increased for the next 3 years (relative to the control), reaching a peak of almost 300 mm increase relative to the control catchment. Flow then declined; 8 years after the logging the annual flow had returned to pre-logging levels. Annual flow then continued to decline with a maximum reduction of around 200 mm per annum. Thirty-four years after logging the flow was still below the pre-treatment flow and showing no sign of recovery, although there were year to year variations associated with rainfall and drought. In 1972/73 Blue Jacket Creek had a \"sawmiller selection\" cutting in which approximately 50% of the basal area was removed. The response was a similar but muted version of the Picaninny Creek response. A statistical analysis used 1 year of the pre-treatment period to establish error limits. This showed that in both cases there was a statistically significant increase in flow followed by a statistically significant decrease in flow relative to old growth. Measurement of two of the catchments is continuing. © 2010 Elsevier B.V. All rights reserved.","author":[{"dropping-particle":"","family":"Bren","given":"Leon","non-dropping-particle":"","parse-names":false,"suffix":""},{"dropping-particle":"","family":"Lane","given":"Patrick","non-dropping-particle":"","parse-names":false,"suffix":""},{"dropping-particle":"","family":"Hepworth","given":"Graham","non-dropping-particle":"","parse-names":false,"suffix":""}],"container-title":"Journal of Hydrology","id":"ITEM-1","issue":"1-2","issued":{"date-parts":[["2010"]]},"page":"52-64","title":"Longer-term water use of native eucalyptus forest after logging and regeneration: The Coranderrk experiment","type":"article-journal","volume":"384"},"uris":["http://www.mendeley.com/documents/?uuid=16e351f8-5b26-4efc-88b6-0c81e999a219"]}],"mendeley":{"formattedCitation":"(Bren &lt;i&gt;et al.&lt;/i&gt;, 2010)","manualFormatting":"Bren et al. (2010)","plainTextFormattedCitation":"(Bren et al., 2010)","previouslyFormattedCitation":"(Bren &lt;i&gt;et al.&lt;/i&gt;, 2010)"},"properties":{"noteIndex":0},"schema":"https://github.com/citation-style-language/schema/raw/master/csl-citation.json"}</w:instrText>
      </w:r>
      <w:r w:rsidR="0010108C">
        <w:fldChar w:fldCharType="separate"/>
      </w:r>
      <w:r w:rsidR="0010108C" w:rsidRPr="0010108C">
        <w:rPr>
          <w:noProof/>
        </w:rPr>
        <w:t xml:space="preserve">Bren </w:t>
      </w:r>
      <w:r w:rsidR="0010108C" w:rsidRPr="0010108C">
        <w:rPr>
          <w:i/>
          <w:noProof/>
        </w:rPr>
        <w:t>et al.</w:t>
      </w:r>
      <w:r w:rsidR="0010108C">
        <w:rPr>
          <w:i/>
          <w:noProof/>
        </w:rPr>
        <w:t xml:space="preserve"> </w:t>
      </w:r>
      <w:r w:rsidR="0010108C" w:rsidRPr="0010108C">
        <w:rPr>
          <w:noProof/>
        </w:rPr>
        <w:t>(2010)</w:t>
      </w:r>
      <w:r w:rsidR="0010108C">
        <w:fldChar w:fldCharType="end"/>
      </w:r>
      <w:r w:rsidR="0010108C">
        <w:t xml:space="preserve"> </w:t>
      </w:r>
      <w:r w:rsidR="00F61666">
        <w:t xml:space="preserve">analysed streamflow changes for 34 years after timber harvest and regeneration in a mixed </w:t>
      </w:r>
      <w:r w:rsidR="00F61666" w:rsidRPr="002A792F">
        <w:rPr>
          <w:i/>
          <w:iCs/>
        </w:rPr>
        <w:t>E. regnans</w:t>
      </w:r>
      <w:r w:rsidR="00F61666">
        <w:t xml:space="preserve">, </w:t>
      </w:r>
      <w:r w:rsidR="00F61666" w:rsidRPr="002A792F">
        <w:rPr>
          <w:i/>
        </w:rPr>
        <w:t>E. obliqua</w:t>
      </w:r>
      <w:r w:rsidR="00F61666">
        <w:t xml:space="preserve"> catchment and after selective logging in an adjacent </w:t>
      </w:r>
      <w:r w:rsidR="00F61666" w:rsidRPr="002A792F">
        <w:rPr>
          <w:i/>
          <w:iCs/>
        </w:rPr>
        <w:t>E. regnans</w:t>
      </w:r>
      <w:r w:rsidR="00F61666">
        <w:t xml:space="preserve"> catchment. After clearfell and regeneration of a relatively low-rainfall (for mountain ash) catchment, </w:t>
      </w:r>
      <w:r w:rsidR="007877C7">
        <w:t>catchment water yield</w:t>
      </w:r>
      <w:r w:rsidR="00F61666">
        <w:t xml:space="preserve"> increased for 8 years (peaking at +300 mm/year after 3 years) before declining below pre-harvest levels (minimum </w:t>
      </w:r>
      <w:bookmarkStart w:id="30" w:name="_Hlk24727968"/>
      <w:r w:rsidR="00CE7E55">
        <w:rPr>
          <w:rFonts w:cs="Arial"/>
        </w:rPr>
        <w:t>–</w:t>
      </w:r>
      <w:bookmarkEnd w:id="30"/>
      <w:r w:rsidR="00F61666">
        <w:t xml:space="preserve">200 mm/year) with no sign of recovery. After 34 years the cumulative changes in streamflow (accounting for the initial streamflow increase and subsequent long-term decline) </w:t>
      </w:r>
      <w:r w:rsidR="007F2D6C">
        <w:t>t</w:t>
      </w:r>
      <w:r w:rsidR="00F61666">
        <w:t xml:space="preserve">otalled </w:t>
      </w:r>
      <w:r w:rsidR="00CE7E55">
        <w:rPr>
          <w:rFonts w:cs="Arial"/>
        </w:rPr>
        <w:t>–</w:t>
      </w:r>
      <w:r w:rsidR="00F61666">
        <w:t>1500 mm (just less than 50 mm/year) after clearfell logging. During the 1997</w:t>
      </w:r>
      <w:r w:rsidR="00CE7E55">
        <w:rPr>
          <w:rFonts w:cs="Arial"/>
        </w:rPr>
        <w:t>–</w:t>
      </w:r>
      <w:r w:rsidR="00F61666">
        <w:t xml:space="preserve">2010 drought, streamflow from the clearfelled and regenerated catchment often dried up for much of the year. This study shows that in drier catchments, while a Kuczera-type response to logging does occur, in absolute terms (mm per year of runoff) the response is </w:t>
      </w:r>
      <w:r w:rsidR="00015D90">
        <w:t>smaller</w:t>
      </w:r>
      <w:r w:rsidR="00F61666">
        <w:t>, although in drier catchments the percentage reduction due to logging may be greater than in wetter catchments.</w:t>
      </w:r>
      <w:r w:rsidR="007F2D6C">
        <w:t xml:space="preserve"> </w:t>
      </w:r>
      <w:r w:rsidR="00540694">
        <w:fldChar w:fldCharType="begin" w:fldLock="1"/>
      </w:r>
      <w:r w:rsidR="00F833FE">
        <w:instrText>ADDIN CSL_CITATION {"citationItems":[{"id":"ITEM-1","itemData":{"author":[{"dropping-particle":"","family":"Hill","given":"P. I.","non-dropping-particle":"","parse-names":false,"suffix":""},{"dropping-particle":"","family":"Mordue","given":"Anna","non-dropping-particle":"","parse-names":false,"suffix":""},{"dropping-particle":"","family":"Nathan","given":"Rory","non-dropping-particle":"","parse-names":false,"suffix":""},{"dropping-particle":"","family":"Daamen","given":"Carl","non-dropping-particle":"","parse-names":false,"suffix":""},{"dropping-particle":"","family":"Williams","given":"Kate","non-dropping-particle":"","parse-names":false,"suffix":""}],"container-title":"30th Engineers Australia Hydrology and Water Resources Symposium","id":"ITEM-1","issued":{"date-parts":[["2006"]]},"publisher-place":"Launceston, Tasmania, Australia","title":"Spatially explicit modeling of the hydrologic response of bushfires at the catchment scale","type":"paper-conference"},"uris":["http://www.mendeley.com/documents/?uuid=476aa615-a7b4-457e-a5eb-6a027eccaa44"]},{"id":"ITEM-2","itemData":{"DOI":"10.1080/13241583.2008.11465354","author":[{"dropping-particle":"","family":"Hill","given":"P. I.","non-dropping-particle":"","parse-names":false,"suffix":""},{"dropping-particle":"","family":"Mordue","given":"Anna","non-dropping-particle":"","parse-names":false,"suffix":""},{"dropping-particle":"","family":"Nathan","given":"R J","non-dropping-particle":"","parse-names":false,"suffix":""},{"dropping-particle":"","family":"Daamen","given":"CC","non-dropping-particle":"","parse-names":false,"suffix":""},{"dropping-particle":"","family":"Williams","given":"K","non-dropping-particle":"","parse-names":false,"suffix":""},{"dropping-particle":"","family":"Murphy","given":"RE","non-dropping-particle":"","parse-names":false,"suffix":""}],"container-title":"Australian Journal of Water Resources","id":"ITEM-2","issue":"3","issued":{"date-parts":[["2008"]]},"page":"281-290","title":"Spatially explicit modelling of the hydrologic response of bushfires at the catchment scale","type":"article-journal","volume":"12"},"uris":["http://www.mendeley.com/documents/?uuid=c21033e1-948f-4906-9571-5e94650b3e12"]}],"mendeley":{"formattedCitation":"(Hill &lt;i&gt;et al.&lt;/i&gt;, 2006, 2008)","manualFormatting":"Hill et al. (2006, 2008)","plainTextFormattedCitation":"(Hill et al., 2006, 2008)","previouslyFormattedCitation":"(Hill &lt;i&gt;et al.&lt;/i&gt;, 2006, 2008)"},"properties":{"noteIndex":0},"schema":"https://github.com/citation-style-language/schema/raw/master/csl-citation.json"}</w:instrText>
      </w:r>
      <w:r w:rsidR="00540694">
        <w:fldChar w:fldCharType="separate"/>
      </w:r>
      <w:r w:rsidR="00540694" w:rsidRPr="00540694">
        <w:rPr>
          <w:noProof/>
        </w:rPr>
        <w:t xml:space="preserve">Hill </w:t>
      </w:r>
      <w:r w:rsidR="00540694" w:rsidRPr="00540694">
        <w:rPr>
          <w:i/>
          <w:noProof/>
        </w:rPr>
        <w:t>et al.</w:t>
      </w:r>
      <w:r w:rsidR="00540694" w:rsidRPr="00540694">
        <w:rPr>
          <w:noProof/>
        </w:rPr>
        <w:t xml:space="preserve"> </w:t>
      </w:r>
      <w:r w:rsidR="00540694">
        <w:rPr>
          <w:noProof/>
        </w:rPr>
        <w:t>(</w:t>
      </w:r>
      <w:r w:rsidR="00540694" w:rsidRPr="00540694">
        <w:rPr>
          <w:noProof/>
        </w:rPr>
        <w:t>2006, 2008)</w:t>
      </w:r>
      <w:r w:rsidR="00540694">
        <w:fldChar w:fldCharType="end"/>
      </w:r>
      <w:r w:rsidR="00540694">
        <w:t xml:space="preserve"> </w:t>
      </w:r>
      <w:r w:rsidR="00F61666">
        <w:t xml:space="preserve">also noted the relationship between the likely magnitude of peak streamflow </w:t>
      </w:r>
      <w:r w:rsidR="00F61666">
        <w:lastRenderedPageBreak/>
        <w:t>declines and mean annual precipitation. They argued that the Kuczera curve, which had been derived from analysis of streamflow data in relatively high precipitation catchments, should be adjusted for application in catchments that had lower mean annual rainfall rates.</w:t>
      </w:r>
    </w:p>
    <w:p w14:paraId="1C129D2B" w14:textId="18BAA5DA" w:rsidR="002820AE" w:rsidRDefault="005833A1" w:rsidP="00F61666">
      <w:pPr>
        <w:pStyle w:val="Para0"/>
      </w:pPr>
      <w:r>
        <w:fldChar w:fldCharType="begin" w:fldLock="1"/>
      </w:r>
      <w:r w:rsidR="00627104">
        <w:instrText>ADDIN CSL_CITATION {"citationItems":[{"id":"ITEM-1","itemData":{"DOI":"10.1016/j.jhydrol.2012.07.034","ISSN":"00221694","abstract":"The Karuah replicated paired catchment experiment was initiated in the 1970s to examine the hydrological effects of eucalypt-to-eucalypt forest succession in New South Wales, Australia. Treatments were conducted on 25.4-78.8% of the area of six small catchments in 1983. Five of the treated catchments experienced a significant increase in streamflow following forest disturbance, equivalent to annual water yield changes ranging from 120mm to 319.6mm which varied in proportion to the percentage of each catchment logged. This initial increase lasted for greater than 5years in the logged and unburnt Bollygum (L-) catchment, but had returned to pre-treatment levels within 2.5years in the logged and burnt (L+) Corkwood and Jackwood catchments, and within 2years in the Kokata and Coachwood plantation catchments (P). A significant reduction in streamflow then occurred in three catchments - Corkwood (113.5mma -1), Bollygum (72.7mma -1) and Kokata (68.9mma -1) - but had returned to the pre-treatment level within 7years post-harvest in the Corkwood catchment. A continuing suppression of streamflow after 27years is evident in two of the catchments, Bollygum and Kokata, with Kokata experiencing a further decline from 2005 onwards to a mean annual reduction of 172.4mm. By contrast a significant increase in streamflow relative to the pre-treatment level has been recorded in the Jackwood catchment after 23years (157.6mma -1). Relative changes in streamflow measured in this experiment can be explained largely by changes in forest species composition, basal area and stocking rates. The eucalypt stands have variously self-thinned and in some cases forest growth appears to have been slowed by insect attack and bell miner associated dieback. Contrary to earlier published findings, while this study confirms that Mountain ash type water yield reductions can occur in other forest types, this response appears to be the exception rather than the rule. These findings have implications for the modelling and management of water yield impacts of mixed species eucalypt forest disturbance. © 2012 Elsevier B.V.","author":[{"dropping-particle":"","family":"Webb","given":"Ashley A.","non-dropping-particle":"","parse-names":false,"suffix":""},{"dropping-particle":"","family":"Kathuria","given":"Amrit","non-dropping-particle":"","parse-names":false,"suffix":""},{"dropping-particle":"","family":"Turner","given":"Lisa","non-dropping-particle":"","parse-names":false,"suffix":""}],"container-title":"Journal of Hydrology","id":"ITEM-1","issued":{"date-parts":[["2012"]]},"page":"412-422","publisher":"Elsevier B.V.","title":"Longer-term changes in streamflow following logging and mixed species eucalypt forest regeneration: The Karuah experiment","type":"article-journal","volume":"464-465"},"uris":["http://www.mendeley.com/documents/?uuid=2b68f6b0-7b2c-4e73-b222-64aa3fe074ed"]}],"mendeley":{"formattedCitation":"(Webb &lt;i&gt;et al.&lt;/i&gt;, 2012)","manualFormatting":"Webb et al. (2012)","plainTextFormattedCitation":"(Webb et al., 2012)","previouslyFormattedCitation":"(Webb &lt;i&gt;et al.&lt;/i&gt;, 2012)"},"properties":{"noteIndex":0},"schema":"https://github.com/citation-style-language/schema/raw/master/csl-citation.json"}</w:instrText>
      </w:r>
      <w:r>
        <w:fldChar w:fldCharType="separate"/>
      </w:r>
      <w:r w:rsidRPr="005833A1">
        <w:rPr>
          <w:noProof/>
        </w:rPr>
        <w:t xml:space="preserve">Webb </w:t>
      </w:r>
      <w:r w:rsidR="001C1F9A" w:rsidRPr="001C1F9A">
        <w:rPr>
          <w:i/>
          <w:noProof/>
        </w:rPr>
        <w:t>et al.</w:t>
      </w:r>
      <w:r w:rsidRPr="005833A1">
        <w:rPr>
          <w:noProof/>
        </w:rPr>
        <w:t xml:space="preserve"> </w:t>
      </w:r>
      <w:r>
        <w:rPr>
          <w:noProof/>
        </w:rPr>
        <w:t>(</w:t>
      </w:r>
      <w:r w:rsidRPr="005833A1">
        <w:rPr>
          <w:noProof/>
        </w:rPr>
        <w:t>2012)</w:t>
      </w:r>
      <w:r>
        <w:fldChar w:fldCharType="end"/>
      </w:r>
      <w:r>
        <w:t xml:space="preserve"> </w:t>
      </w:r>
      <w:r w:rsidR="00F61666">
        <w:t xml:space="preserve">analysed streamflow changes </w:t>
      </w:r>
      <w:r w:rsidR="007F2D6C">
        <w:t>for</w:t>
      </w:r>
      <w:r w:rsidR="00F61666">
        <w:t xml:space="preserve"> six experimental </w:t>
      </w:r>
      <w:r w:rsidR="005A53E6">
        <w:t>mixed-species</w:t>
      </w:r>
      <w:r w:rsidR="00805139">
        <w:t xml:space="preserve"> eucalypt forest</w:t>
      </w:r>
      <w:r w:rsidR="00F61666">
        <w:t xml:space="preserve"> catchments in northern NSW. Streamflow initially increased in five of the six catchments, by between 120 and 320 mm/year, but then in three of the catchments the </w:t>
      </w:r>
      <w:r w:rsidR="007877C7">
        <w:t>catchment water yield</w:t>
      </w:r>
      <w:r w:rsidR="00F61666">
        <w:t xml:space="preserve"> reduce</w:t>
      </w:r>
      <w:r w:rsidR="00CE7E55">
        <w:t>d</w:t>
      </w:r>
      <w:r w:rsidR="00F61666">
        <w:t xml:space="preserve"> to below pre-harvest values within 2</w:t>
      </w:r>
      <w:r w:rsidR="00CE7E55" w:rsidRPr="00CE7E55">
        <w:t>–</w:t>
      </w:r>
      <w:r w:rsidR="00F61666">
        <w:t>7 years and in the other three catchments water yield returned to pre-harvest values. In the former three catchments, the water yield reduction was short-lived in one</w:t>
      </w:r>
      <w:r w:rsidR="00B70FB9">
        <w:t>,</w:t>
      </w:r>
      <w:r w:rsidR="00F61666">
        <w:t xml:space="preserve"> </w:t>
      </w:r>
      <w:r w:rsidR="00B70FB9">
        <w:t xml:space="preserve">and </w:t>
      </w:r>
      <w:r w:rsidR="00F61666">
        <w:t>more persistent in the other two. The study conclude</w:t>
      </w:r>
      <w:r w:rsidR="00C841F1">
        <w:t>d</w:t>
      </w:r>
      <w:r w:rsidR="00F61666">
        <w:t xml:space="preserve"> that: </w:t>
      </w:r>
    </w:p>
    <w:p w14:paraId="681B4A1C" w14:textId="03F55127" w:rsidR="00F61666" w:rsidRDefault="00F61666" w:rsidP="00627104">
      <w:pPr>
        <w:pStyle w:val="Para0"/>
        <w:spacing w:before="60"/>
        <w:ind w:left="709"/>
      </w:pPr>
      <w:r w:rsidRPr="00627104">
        <w:rPr>
          <w:i/>
          <w:iCs/>
        </w:rPr>
        <w:t xml:space="preserve">Contrary to earlier published findings, while this study confirms that Kuczera (1987) type </w:t>
      </w:r>
      <w:r w:rsidR="007877C7" w:rsidRPr="00627104">
        <w:rPr>
          <w:i/>
          <w:iCs/>
        </w:rPr>
        <w:t>catchment water yield</w:t>
      </w:r>
      <w:r w:rsidRPr="00627104">
        <w:rPr>
          <w:i/>
          <w:iCs/>
        </w:rPr>
        <w:t xml:space="preserve"> reductions can occur in other forest types, this response appears to be the exception rather than the rule. These findings indicate that the use of </w:t>
      </w:r>
      <w:r w:rsidR="007877C7" w:rsidRPr="00627104">
        <w:rPr>
          <w:i/>
          <w:iCs/>
        </w:rPr>
        <w:t>catchment water yield</w:t>
      </w:r>
      <w:r w:rsidRPr="00627104">
        <w:rPr>
          <w:i/>
          <w:iCs/>
        </w:rPr>
        <w:t xml:space="preserve"> models derived from Mountain ash results in other eucalypt forests is inappropriate and subject to error.</w:t>
      </w:r>
    </w:p>
    <w:p w14:paraId="065DB4D4" w14:textId="252B180A" w:rsidR="00E97CF8" w:rsidRDefault="002366B5" w:rsidP="00121736">
      <w:pPr>
        <w:pStyle w:val="Para0"/>
        <w:pBdr>
          <w:top w:val="single" w:sz="4" w:space="1" w:color="auto"/>
          <w:left w:val="single" w:sz="4" w:space="4" w:color="auto"/>
          <w:bottom w:val="single" w:sz="4" w:space="1" w:color="auto"/>
          <w:right w:val="single" w:sz="4" w:space="4" w:color="auto"/>
        </w:pBdr>
        <w:spacing w:after="360"/>
      </w:pPr>
      <w:r>
        <w:rPr>
          <w:b/>
          <w:bCs/>
        </w:rPr>
        <w:t>In summary,</w:t>
      </w:r>
      <w:r w:rsidR="0081453E">
        <w:t xml:space="preserve"> the first and third recommendations from </w:t>
      </w:r>
      <w:r w:rsidR="0081453E">
        <w:fldChar w:fldCharType="begin" w:fldLock="1"/>
      </w:r>
      <w:r w:rsidR="00540694">
        <w:instrText>ADDIN CSL_CITATION {"citationItems":[{"id":"ITEM-1","itemData":{"author":[{"dropping-particle":"","family":"Feikema","given":"PM","non-dropping-particle":"","parse-names":false,"suffix":""},{"dropping-particle":"","family":"Lane","given":"PNJ","non-dropping-particle":"","parse-names":false,"suffix":""},{"dropping-particle":"","family":"Sherwin","given":"CB","non-dropping-particle":"","parse-names":false,"suffix":""}],"id":"ITEM-1","issued":{"date-parts":[["2008"]]},"title":"Hydrological studies into the impact of timber harvesting on water yield in state forests supplying water to Melbourne – Part 2 of Hydrological studies (Climate change and Bushfire)","type":"report"},"uris":["http://www.mendeley.com/documents/?uuid=c6d63285-7e7e-4e77-ae35-e785fc2967c2"]}],"mendeley":{"formattedCitation":"(Feikema &lt;i&gt;et al.&lt;/i&gt;, 2008)","manualFormatting":"Feikema et al. (2008)","plainTextFormattedCitation":"(Feikema et al., 2008)","previouslyFormattedCitation":"(Feikema &lt;i&gt;et al.&lt;/i&gt;, 2008)"},"properties":{"noteIndex":0},"schema":"https://github.com/citation-style-language/schema/raw/master/csl-citation.json"}</w:instrText>
      </w:r>
      <w:r w:rsidR="0081453E">
        <w:fldChar w:fldCharType="separate"/>
      </w:r>
      <w:r w:rsidR="0081453E" w:rsidRPr="0081453E">
        <w:rPr>
          <w:noProof/>
        </w:rPr>
        <w:t xml:space="preserve">Feikema </w:t>
      </w:r>
      <w:r w:rsidR="001C1F9A" w:rsidRPr="001C1F9A">
        <w:rPr>
          <w:i/>
          <w:iCs/>
          <w:noProof/>
        </w:rPr>
        <w:t>et al.</w:t>
      </w:r>
      <w:r w:rsidR="0081453E">
        <w:rPr>
          <w:noProof/>
        </w:rPr>
        <w:t xml:space="preserve"> (</w:t>
      </w:r>
      <w:r w:rsidR="0081453E" w:rsidRPr="0081453E">
        <w:rPr>
          <w:noProof/>
        </w:rPr>
        <w:t>2008)</w:t>
      </w:r>
      <w:r w:rsidR="0081453E">
        <w:fldChar w:fldCharType="end"/>
      </w:r>
      <w:r w:rsidR="0081453E">
        <w:t xml:space="preserve"> identified that further ground truthing of spatial and temporal variations in </w:t>
      </w:r>
      <w:r w:rsidR="00805139">
        <w:t>leaf area index</w:t>
      </w:r>
      <w:r w:rsidR="0081453E">
        <w:t xml:space="preserve"> would </w:t>
      </w:r>
      <w:r w:rsidR="00CE7E55">
        <w:t xml:space="preserve">help </w:t>
      </w:r>
      <w:r w:rsidR="0081453E">
        <w:t xml:space="preserve">to reduce uncertainties in modelling. Research completed since WWS2008 indicate that future modelling of </w:t>
      </w:r>
      <w:r w:rsidR="007877C7">
        <w:t>catchment water yield</w:t>
      </w:r>
      <w:r w:rsidR="0081453E">
        <w:t xml:space="preserve"> should transition to use </w:t>
      </w:r>
      <w:r w:rsidR="00D46C11">
        <w:t>sap</w:t>
      </w:r>
      <w:r w:rsidR="00727238">
        <w:t>wood</w:t>
      </w:r>
      <w:r w:rsidR="00D46C11">
        <w:t xml:space="preserve"> area index </w:t>
      </w:r>
      <w:r w:rsidR="0081453E">
        <w:t xml:space="preserve">instead of </w:t>
      </w:r>
      <w:r w:rsidR="00D46C11">
        <w:t>leaf area index</w:t>
      </w:r>
      <w:r w:rsidR="0081453E">
        <w:t>.</w:t>
      </w:r>
      <w:r w:rsidR="00947F03">
        <w:t xml:space="preserve"> Further analysis of water yield at catchment scale</w:t>
      </w:r>
      <w:r w:rsidR="00E97CF8">
        <w:t>, supported by plot</w:t>
      </w:r>
      <w:r w:rsidR="00CE7E55">
        <w:t>-</w:t>
      </w:r>
      <w:r w:rsidR="00E97CF8">
        <w:t xml:space="preserve">scale </w:t>
      </w:r>
      <w:r w:rsidR="00D46C11" w:rsidRPr="00D46C11">
        <w:t xml:space="preserve">evapotranspiration </w:t>
      </w:r>
      <w:r w:rsidR="00E97CF8">
        <w:t>measurements, suggest</w:t>
      </w:r>
      <w:r w:rsidR="00C841F1">
        <w:t>s</w:t>
      </w:r>
      <w:r w:rsidR="00E97CF8">
        <w:t xml:space="preserve"> </w:t>
      </w:r>
      <w:r w:rsidR="00B70FB9">
        <w:t xml:space="preserve">that </w:t>
      </w:r>
      <w:r w:rsidR="00E97CF8">
        <w:t>catchment</w:t>
      </w:r>
      <w:r w:rsidR="00B70FB9">
        <w:t>-</w:t>
      </w:r>
      <w:r w:rsidR="00E97CF8">
        <w:t xml:space="preserve">level </w:t>
      </w:r>
      <w:r w:rsidR="00D46C11" w:rsidRPr="00D46C11">
        <w:t xml:space="preserve">evapotranspiration </w:t>
      </w:r>
      <w:r w:rsidR="00E97CF8">
        <w:t>for ash forests peak</w:t>
      </w:r>
      <w:r w:rsidR="00B70FB9">
        <w:t>s</w:t>
      </w:r>
      <w:r w:rsidR="00E97CF8">
        <w:t xml:space="preserve"> 6</w:t>
      </w:r>
      <w:r w:rsidR="00CE7E55">
        <w:rPr>
          <w:rFonts w:cs="Arial"/>
        </w:rPr>
        <w:t>–</w:t>
      </w:r>
      <w:r w:rsidR="00E97CF8">
        <w:t>11 years earlier than indicated by the Kuczera curve, with a more rapid decline following the peak. Models that include the initial increase in runoff in the first few years after timber harvesting would be consistent with the experimental data, in contrast to models that do not include this initial increase in runoff. Whilst streamflow experimental data ha</w:t>
      </w:r>
      <w:r w:rsidR="00DC36D7">
        <w:t>ve</w:t>
      </w:r>
      <w:r w:rsidR="00E97CF8">
        <w:t xml:space="preserve"> identified streamflow reductions </w:t>
      </w:r>
      <w:r w:rsidR="00B70FB9">
        <w:t xml:space="preserve">as </w:t>
      </w:r>
      <w:r w:rsidR="00E97CF8">
        <w:t>forest</w:t>
      </w:r>
      <w:r w:rsidR="00B70FB9">
        <w:t>s</w:t>
      </w:r>
      <w:r w:rsidR="00E97CF8">
        <w:t xml:space="preserve"> age in </w:t>
      </w:r>
      <w:r w:rsidR="005A53E6">
        <w:t>mixed-species</w:t>
      </w:r>
      <w:r w:rsidR="00805139">
        <w:t xml:space="preserve"> eucalypt forest</w:t>
      </w:r>
      <w:r w:rsidR="00E97CF8">
        <w:t xml:space="preserve">, changes in </w:t>
      </w:r>
      <w:r w:rsidR="00D46C11" w:rsidRPr="00D46C11">
        <w:t xml:space="preserve">evapotranspiration </w:t>
      </w:r>
      <w:r w:rsidR="00E97CF8">
        <w:t xml:space="preserve">have been found to have considerable spatial variation, driven by forest structure. Impacts on </w:t>
      </w:r>
      <w:r w:rsidR="007877C7">
        <w:t>catchment water yield</w:t>
      </w:r>
      <w:r w:rsidR="00E97CF8">
        <w:t xml:space="preserve"> in drier </w:t>
      </w:r>
      <w:r w:rsidR="005A53E6">
        <w:t>mixed-species</w:t>
      </w:r>
      <w:r w:rsidR="00805139">
        <w:t xml:space="preserve"> eucalypt forest</w:t>
      </w:r>
      <w:r w:rsidR="00E97CF8">
        <w:t xml:space="preserve"> catchments have been found to be considerably more muted and shorter-lived than those in wetter catchments that are dominated by ash</w:t>
      </w:r>
      <w:r w:rsidR="00525D1C">
        <w:t>-</w:t>
      </w:r>
      <w:r w:rsidR="00E97CF8">
        <w:t>type forests</w:t>
      </w:r>
      <w:r w:rsidR="00CE7E55">
        <w:t>,</w:t>
      </w:r>
      <w:r w:rsidR="006146D0">
        <w:t xml:space="preserve"> and catchment models should take these differences into account</w:t>
      </w:r>
      <w:r w:rsidR="00E97CF8">
        <w:t>.</w:t>
      </w:r>
    </w:p>
    <w:p w14:paraId="6CEDF4D6" w14:textId="372B4B35" w:rsidR="00190D36" w:rsidRDefault="00CC6486" w:rsidP="00CC6486">
      <w:pPr>
        <w:pStyle w:val="Heading3"/>
      </w:pPr>
      <w:bookmarkStart w:id="31" w:name="_Toc36033089"/>
      <w:r>
        <w:t>I</w:t>
      </w:r>
      <w:r w:rsidR="00190D36">
        <w:t>mproved methods for understanding and modelling response of forest growth and water use to changes in</w:t>
      </w:r>
      <w:r w:rsidR="00B328DE">
        <w:t xml:space="preserve"> atmospheric</w:t>
      </w:r>
      <w:r w:rsidR="00190D36">
        <w:t xml:space="preserve"> CO</w:t>
      </w:r>
      <w:r w:rsidR="00190D36" w:rsidRPr="00B328DE">
        <w:rPr>
          <w:vertAlign w:val="subscript"/>
        </w:rPr>
        <w:t>2</w:t>
      </w:r>
      <w:r w:rsidR="00B328DE">
        <w:t xml:space="preserve"> concentrations</w:t>
      </w:r>
      <w:bookmarkEnd w:id="31"/>
    </w:p>
    <w:p w14:paraId="75986419" w14:textId="3C9DD6C0" w:rsidR="007E11AD" w:rsidRDefault="007E11AD" w:rsidP="007E11AD">
      <w:pPr>
        <w:pStyle w:val="Para0"/>
      </w:pPr>
      <w:r>
        <w:t xml:space="preserve">The second specific issue identified </w:t>
      </w:r>
      <w:r w:rsidR="00D46C11">
        <w:t xml:space="preserve">by </w:t>
      </w:r>
      <w:r w:rsidR="0010108C">
        <w:fldChar w:fldCharType="begin" w:fldLock="1"/>
      </w:r>
      <w:r w:rsidR="0010108C">
        <w:instrText>ADDIN CSL_CITATION {"citationItems":[{"id":"ITEM-1","itemData":{"author":[{"dropping-particle":"","family":"Feikema","given":"PM","non-dropping-particle":"","parse-names":false,"suffix":""},{"dropping-particle":"","family":"Lane","given":"PNJ","non-dropping-particle":"","parse-names":false,"suffix":""},{"dropping-particle":"","family":"Sherwin","given":"CB","non-dropping-particle":"","parse-names":false,"suffix":""}],"id":"ITEM-1","issued":{"date-parts":[["2008"]]},"title":"Hydrological studies into the impact of timber harvesting on water yield in state forests supplying water to Melbourne – Part 2 of Hydrological studies (Climate change and Bushfire)","type":"report"},"uris":["http://www.mendeley.com/documents/?uuid=c6d63285-7e7e-4e77-ae35-e785fc2967c2"]}],"mendeley":{"formattedCitation":"(Feikema &lt;i&gt;et al.&lt;/i&gt;, 2008)","manualFormatting":"Feikema et al. (2008)","plainTextFormattedCitation":"(Feikema et al., 2008)","previouslyFormattedCitation":"(Feikema &lt;i&gt;et al.&lt;/i&gt;, 2008)"},"properties":{"noteIndex":0},"schema":"https://github.com/citation-style-language/schema/raw/master/csl-citation.json"}</w:instrText>
      </w:r>
      <w:r w:rsidR="0010108C">
        <w:fldChar w:fldCharType="separate"/>
      </w:r>
      <w:r w:rsidR="0010108C" w:rsidRPr="0010108C">
        <w:rPr>
          <w:noProof/>
        </w:rPr>
        <w:t xml:space="preserve">Feikema </w:t>
      </w:r>
      <w:r w:rsidR="0010108C" w:rsidRPr="0010108C">
        <w:rPr>
          <w:i/>
          <w:noProof/>
        </w:rPr>
        <w:t>et al.</w:t>
      </w:r>
      <w:r w:rsidR="0010108C" w:rsidRPr="0010108C">
        <w:rPr>
          <w:noProof/>
        </w:rPr>
        <w:t xml:space="preserve"> </w:t>
      </w:r>
      <w:r w:rsidR="0010108C">
        <w:rPr>
          <w:noProof/>
        </w:rPr>
        <w:t>(</w:t>
      </w:r>
      <w:r w:rsidR="0010108C" w:rsidRPr="0010108C">
        <w:rPr>
          <w:noProof/>
        </w:rPr>
        <w:t>2008)</w:t>
      </w:r>
      <w:r w:rsidR="0010108C">
        <w:fldChar w:fldCharType="end"/>
      </w:r>
      <w:r w:rsidR="0010108C">
        <w:t xml:space="preserve"> </w:t>
      </w:r>
      <w:r>
        <w:t>was</w:t>
      </w:r>
      <w:r w:rsidR="00D46C11">
        <w:t>:</w:t>
      </w:r>
    </w:p>
    <w:p w14:paraId="72450306" w14:textId="45558BB6" w:rsidR="007E11AD" w:rsidRDefault="007E11AD" w:rsidP="003E5D42">
      <w:pPr>
        <w:pStyle w:val="Quotation"/>
      </w:pPr>
      <w:r>
        <w:t>Response of forest growth and water use to changes in CO</w:t>
      </w:r>
      <w:r w:rsidRPr="002A792F">
        <w:rPr>
          <w:vertAlign w:val="subscript"/>
        </w:rPr>
        <w:t>2</w:t>
      </w:r>
      <w:r>
        <w:t xml:space="preserve"> (carbon dioxide) concentrations. The projected increase in CO</w:t>
      </w:r>
      <w:r w:rsidRPr="008E0246">
        <w:rPr>
          <w:vertAlign w:val="subscript"/>
        </w:rPr>
        <w:t>2</w:t>
      </w:r>
      <w:r>
        <w:t xml:space="preserve"> concentration in the atmosphere may also impact on vegetation function. Increasing </w:t>
      </w:r>
      <w:r w:rsidR="008E0246">
        <w:t>CO</w:t>
      </w:r>
      <w:r w:rsidR="008E0246" w:rsidRPr="008E0246">
        <w:rPr>
          <w:vertAlign w:val="subscript"/>
        </w:rPr>
        <w:t>2</w:t>
      </w:r>
      <w:r w:rsidR="008E0246">
        <w:t xml:space="preserve"> </w:t>
      </w:r>
      <w:r>
        <w:t xml:space="preserve">concentration may lead to increased plant growth both directly through increased photosynthetic rates and indirectly through improved water use efficiency. At plot and catchment scales, there is little clarity over whether elevated </w:t>
      </w:r>
      <w:r w:rsidR="008E0246">
        <w:t>CO</w:t>
      </w:r>
      <w:r w:rsidR="008E0246" w:rsidRPr="008E0246">
        <w:rPr>
          <w:vertAlign w:val="subscript"/>
        </w:rPr>
        <w:t>2</w:t>
      </w:r>
      <w:r w:rsidR="008E0246">
        <w:t xml:space="preserve"> </w:t>
      </w:r>
      <w:r>
        <w:t xml:space="preserve">concentrations will suppress or enhance ET. For example, if </w:t>
      </w:r>
      <w:r>
        <w:lastRenderedPageBreak/>
        <w:t xml:space="preserve">elevated </w:t>
      </w:r>
      <w:r w:rsidR="008E0246">
        <w:t>CO</w:t>
      </w:r>
      <w:r w:rsidR="008E0246" w:rsidRPr="008E0246">
        <w:rPr>
          <w:vertAlign w:val="subscript"/>
        </w:rPr>
        <w:t>2</w:t>
      </w:r>
      <w:r w:rsidR="008E0246">
        <w:t xml:space="preserve"> </w:t>
      </w:r>
      <w:r>
        <w:t xml:space="preserve">stimulates LAI, there may be no savings in water at the stand level. Given the lack of experimental data, there are very few physically-based models that incorporate the potential effects of changes in </w:t>
      </w:r>
      <w:r w:rsidR="008E0246">
        <w:t>CO</w:t>
      </w:r>
      <w:r w:rsidR="008E0246" w:rsidRPr="008E0246">
        <w:rPr>
          <w:vertAlign w:val="subscript"/>
        </w:rPr>
        <w:t>2</w:t>
      </w:r>
      <w:r>
        <w:t xml:space="preserve">. Further work on the effects of increased </w:t>
      </w:r>
      <w:r w:rsidR="008E0246">
        <w:t>CO</w:t>
      </w:r>
      <w:r w:rsidR="008E0246" w:rsidRPr="008E0246">
        <w:rPr>
          <w:vertAlign w:val="subscript"/>
        </w:rPr>
        <w:t>2</w:t>
      </w:r>
      <w:r w:rsidR="008E0246">
        <w:t xml:space="preserve"> </w:t>
      </w:r>
      <w:r>
        <w:t>concentrations on tree and forest function is required to achieve some level of confidence before these responses can be incorporated into process-based models.</w:t>
      </w:r>
    </w:p>
    <w:p w14:paraId="27661820" w14:textId="0145F6A7" w:rsidR="00022403" w:rsidRDefault="00022403" w:rsidP="00022403">
      <w:pPr>
        <w:pStyle w:val="Para0"/>
      </w:pPr>
      <w:r>
        <w:t>There is a large degree of uncertainty about how vegetation will respond to a warmer climate with higher atmospheric CO</w:t>
      </w:r>
      <w:r w:rsidRPr="00437C73">
        <w:rPr>
          <w:vertAlign w:val="subscript"/>
        </w:rPr>
        <w:t xml:space="preserve">2 </w:t>
      </w:r>
      <w:r>
        <w:t>concentrations. On the one hand, rising temperature drives higher vapour pressure deficits and higher evaporative demand. This leads to higher potential evapotranspiration (PET)</w:t>
      </w:r>
      <w:r w:rsidR="00C46FE1">
        <w:t xml:space="preserve"> and reductions in runoff</w:t>
      </w:r>
      <w:r>
        <w:t>. On the other hand, as atmospheric CO</w:t>
      </w:r>
      <w:r w:rsidRPr="00437C73">
        <w:rPr>
          <w:vertAlign w:val="subscript"/>
        </w:rPr>
        <w:t>2</w:t>
      </w:r>
      <w:r>
        <w:t xml:space="preserve"> concentrations increase, plant stomata close, increasing </w:t>
      </w:r>
      <w:r w:rsidR="00CF3124">
        <w:t>the water use efficiency of plants</w:t>
      </w:r>
      <w:r w:rsidR="00C46FE1">
        <w:t>,</w:t>
      </w:r>
      <w:r>
        <w:t xml:space="preserve"> </w:t>
      </w:r>
      <w:r w:rsidR="00CF3124">
        <w:t xml:space="preserve">which is likely to reduce </w:t>
      </w:r>
      <w:r w:rsidR="00D46C11">
        <w:t xml:space="preserve">evapotranspiration </w:t>
      </w:r>
      <w:r w:rsidR="00CF3124">
        <w:t>and increase</w:t>
      </w:r>
      <w:r>
        <w:t xml:space="preserve"> runoff </w:t>
      </w:r>
      <w:r>
        <w:fldChar w:fldCharType="begin" w:fldLock="1"/>
      </w:r>
      <w:r w:rsidR="007416C7">
        <w:instrText>ADDIN CSL_CITATION {"citationItems":[{"id":"ITEM-1","itemData":{"DOI":"10.1038/s41558-018-0361-0","ISSN":"17586798","abstract":"Climate model projections using offline aridity and/or drought indices predict substantial terrestrial drying over the twenty-first century1–11. However, these same models also predict an increased runoff12–15. This contradiction has been linked to an absence of vegetation responses to an elevated atmospheric CO2 concentration [CO2] in offline impact models12,14,16,17. Here we report a close and consistent relationship between changes in surface resistance (rs) and [CO2] across 16 CMIP5 models. Attributing evapotranspiration changes under non-water-limited conditions shows that an increase in evapotranspiration caused by a warming-induced vapour pressure deficit increase18 is almost entirely offset by a decrease in evapotranspiration caused by increased rs driven by rising [CO2]. This indicates that climate models do not actually project increased vegetation water use under an elevated [CO2], which counters the perception that ‘warming leads to drying’ in many previous studies1–11. Moreover, we show that the hydrologic information in CMIP5 models can be satisfactorily recovered using an offline hydrologic model that incorporates the [CO2] effect on rs in calculating potential evapotranspiration (EP). This offers an effective, physically-based yet relatively simple way to account for the vegetation response to elevated [CO2] in offline impact models.","author":[{"dropping-particle":"","family":"Yang","given":"Yuting","non-dropping-particle":"","parse-names":false,"suffix":""},{"dropping-particle":"","family":"Roderick","given":"Michael L.","non-dropping-particle":"","parse-names":false,"suffix":""},{"dropping-particle":"","family":"Zhang","given":"Shulei","non-dropping-particle":"","parse-names":false,"suffix":""},{"dropping-particle":"","family":"McVicar","given":"Tim R.","non-dropping-particle":"","parse-names":false,"suffix":""},{"dropping-particle":"","family":"Donohue","given":"Randall J.","non-dropping-particle":"","parse-names":false,"suffix":""}],"container-title":"Nature Climate Change","id":"ITEM-1","issue":"1","issued":{"date-parts":[["2019"]]},"page":"44-48","publisher":"Springer US","title":"Hydrologic implications of vegetation response to elevated CO2 in climate projections","type":"article-journal","volume":"9"},"uris":["http://www.mendeley.com/documents/?uuid=fa53458a-708e-4b68-88a8-cf9f79107fe7"]}],"mendeley":{"formattedCitation":"(Yang &lt;i&gt;et al.&lt;/i&gt;, 2019)","plainTextFormattedCitation":"(Yang et al., 2019)","previouslyFormattedCitation":"(Yang &lt;i&gt;et al.&lt;/i&gt;, 2019)"},"properties":{"noteIndex":0},"schema":"https://github.com/citation-style-language/schema/raw/master/csl-citation.json"}</w:instrText>
      </w:r>
      <w:r>
        <w:fldChar w:fldCharType="separate"/>
      </w:r>
      <w:r w:rsidR="007416C7" w:rsidRPr="007416C7">
        <w:rPr>
          <w:noProof/>
        </w:rPr>
        <w:t xml:space="preserve">(Yang </w:t>
      </w:r>
      <w:r w:rsidR="007416C7" w:rsidRPr="007416C7">
        <w:rPr>
          <w:i/>
          <w:noProof/>
        </w:rPr>
        <w:t>et al.</w:t>
      </w:r>
      <w:r w:rsidR="007416C7" w:rsidRPr="007416C7">
        <w:rPr>
          <w:noProof/>
        </w:rPr>
        <w:t>, 2019)</w:t>
      </w:r>
      <w:r>
        <w:fldChar w:fldCharType="end"/>
      </w:r>
      <w:r>
        <w:t>. Offsetting these effects, additional vegetation growth associated with global greening in response to increased CO</w:t>
      </w:r>
      <w:r w:rsidRPr="00437C73">
        <w:rPr>
          <w:vertAlign w:val="subscript"/>
        </w:rPr>
        <w:t>2</w:t>
      </w:r>
      <w:r>
        <w:t xml:space="preserve">, along with longer and warmer growing seasons and increasing </w:t>
      </w:r>
      <w:r w:rsidRPr="0055382B">
        <w:t>LAI</w:t>
      </w:r>
      <w:r>
        <w:t xml:space="preserve">, leads to an increase in bulk canopy water demand, reducing runoff. </w:t>
      </w:r>
      <w:r>
        <w:fldChar w:fldCharType="begin" w:fldLock="1"/>
      </w:r>
      <w:r w:rsidR="007416C7">
        <w:instrText>ADDIN CSL_CITATION {"citationItems":[{"id":"ITEM-1","itemData":{"DOI":"10.1038/s41561-019-0480-x","ISSN":"1752-0908","author":[{"dropping-particle":"","family":"Mankin","given":"Justin S","non-dropping-particle":"","parse-names":false,"suffix":""},{"dropping-particle":"","family":"Seager","given":"Richard","non-dropping-particle":"","parse-names":false,"suffix":""},{"dropping-particle":"","family":"Smerdon","given":"Jason E","non-dropping-particle":"","parse-names":false,"suffix":""},{"dropping-particle":"","family":"Cook","given":"Benjamin I","non-dropping-particle":"","parse-names":false,"suffix":""},{"dropping-particle":"","family":"Williams","given":"A Park","non-dropping-particle":"","parse-names":false,"suffix":""}],"container-title":"Nature Geoscience","id":"ITEM-1","issued":{"date-parts":[["2019"]]},"publisher":"Springer US","title":"Mid-latitude freshwater availability reduced by projected vegetation responses to climate change","type":"article-journal","volume":"(in press)"},"uris":["http://www.mendeley.com/documents/?uuid=f518edd0-a1b5-4f71-9799-9c82a2703feb","http://www.mendeley.com/documents/?uuid=725cb4fa-3655-4263-8b44-abc6d143b4f6","http://www.mendeley.com/documents/?uuid=7e8ce147-c17e-4385-8347-f9767f3a19d8"]}],"mendeley":{"formattedCitation":"(Mankin &lt;i&gt;et al.&lt;/i&gt;, 2019)","manualFormatting":"Mankin et al. (2019)","plainTextFormattedCitation":"(Mankin et al., 2019)","previouslyFormattedCitation":"(Mankin &lt;i&gt;et al.&lt;/i&gt;, 2019)"},"properties":{"noteIndex":0},"schema":"https://github.com/citation-style-language/schema/raw/master/csl-citation.json"}</w:instrText>
      </w:r>
      <w:r>
        <w:fldChar w:fldCharType="separate"/>
      </w:r>
      <w:r w:rsidRPr="001930E4">
        <w:rPr>
          <w:noProof/>
        </w:rPr>
        <w:t xml:space="preserve">Mankin </w:t>
      </w:r>
      <w:r w:rsidR="001C1F9A" w:rsidRPr="001C1F9A">
        <w:rPr>
          <w:i/>
          <w:noProof/>
        </w:rPr>
        <w:t>et al.</w:t>
      </w:r>
      <w:r w:rsidRPr="001930E4">
        <w:rPr>
          <w:noProof/>
        </w:rPr>
        <w:t xml:space="preserve"> </w:t>
      </w:r>
      <w:r>
        <w:rPr>
          <w:noProof/>
        </w:rPr>
        <w:t>(</w:t>
      </w:r>
      <w:r w:rsidRPr="001930E4">
        <w:rPr>
          <w:noProof/>
        </w:rPr>
        <w:t>2019)</w:t>
      </w:r>
      <w:r>
        <w:fldChar w:fldCharType="end"/>
      </w:r>
      <w:r>
        <w:t xml:space="preserve"> evaluated these competing effects over large areas, and summarise</w:t>
      </w:r>
      <w:r w:rsidR="00C841F1">
        <w:t>d</w:t>
      </w:r>
      <w:r>
        <w:t xml:space="preserve"> by stating that </w:t>
      </w:r>
      <w:r w:rsidRPr="001930E4">
        <w:t xml:space="preserve">terrestrial vegetation </w:t>
      </w:r>
      <w:r>
        <w:t xml:space="preserve">will </w:t>
      </w:r>
      <w:r w:rsidRPr="001930E4">
        <w:t>play a large and unresolved role</w:t>
      </w:r>
      <w:r>
        <w:t xml:space="preserve"> in regional freshwater availability. Because of the effect of higher CO</w:t>
      </w:r>
      <w:r w:rsidRPr="00437C73">
        <w:rPr>
          <w:vertAlign w:val="subscript"/>
        </w:rPr>
        <w:t xml:space="preserve">2 </w:t>
      </w:r>
      <w:r>
        <w:t xml:space="preserve">on increasing surface resistance, simple aridity indices such as the ratio of </w:t>
      </w:r>
      <w:r w:rsidR="00D46C11">
        <w:t xml:space="preserve">potential </w:t>
      </w:r>
      <w:r w:rsidR="00D46C11" w:rsidRPr="00D46C11">
        <w:t>evapotranspiration</w:t>
      </w:r>
      <w:r w:rsidR="00D46C11">
        <w:t xml:space="preserve"> </w:t>
      </w:r>
      <w:r>
        <w:t xml:space="preserve">to precipitation have been criticised </w:t>
      </w:r>
      <w:r>
        <w:fldChar w:fldCharType="begin" w:fldLock="1"/>
      </w:r>
      <w:r w:rsidR="00603218">
        <w:instrText>ADDIN CSL_CITATION {"citationItems":[{"id":"ITEM-1","itemData":{"DOI":"10.1088/1748-9326/ab5046","author":[{"dropping-particle":"","family":"Greve","given":"P.","non-dropping-particle":"","parse-names":false,"suffix":""},{"dropping-particle":"","family":"Roderick","given":"M. L.","non-dropping-particle":"","parse-names":false,"suffix":""},{"dropping-particle":"","family":"Ukkola","given":"A.M.","non-dropping-particle":"","parse-names":false,"suffix":""},{"dropping-particle":"","family":"Wada","given":"Y.","non-dropping-particle":"","parse-names":false,"suffix":""}],"container-title":"Environmental Research Letters","id":"ITEM-1","issue":"22","issued":{"date-parts":[["2019"]]},"page":"124006","title":"The Aridity Index under global warming","type":"article-journal","volume":"14"},"uris":["http://www.mendeley.com/documents/?uuid=dd928d1d-92e3-496b-a8db-85f8840d5c45","http://www.mendeley.com/documents/?uuid=b3c929e2-bc05-453c-b84f-c852bd354094","http://www.mendeley.com/documents/?uuid=8c9cb858-0a1a-4b11-9d4e-aa90cf82df76"]}],"mendeley":{"formattedCitation":"(Greve &lt;i&gt;et al.&lt;/i&gt;, 2019)","plainTextFormattedCitation":"(Greve et al., 2019)","previouslyFormattedCitation":"(Greve &lt;i&gt;et al.&lt;/i&gt;, 2019)"},"properties":{"noteIndex":0},"schema":"https://github.com/citation-style-language/schema/raw/master/csl-citation.json"}</w:instrText>
      </w:r>
      <w:r>
        <w:fldChar w:fldCharType="separate"/>
      </w:r>
      <w:r w:rsidR="007416C7" w:rsidRPr="007416C7">
        <w:rPr>
          <w:noProof/>
        </w:rPr>
        <w:t xml:space="preserve">(Greve </w:t>
      </w:r>
      <w:r w:rsidR="007416C7" w:rsidRPr="007416C7">
        <w:rPr>
          <w:i/>
          <w:noProof/>
        </w:rPr>
        <w:t>et al.</w:t>
      </w:r>
      <w:r w:rsidR="007416C7" w:rsidRPr="007416C7">
        <w:rPr>
          <w:noProof/>
        </w:rPr>
        <w:t>, 2019)</w:t>
      </w:r>
      <w:r>
        <w:fldChar w:fldCharType="end"/>
      </w:r>
      <w:r>
        <w:t xml:space="preserve"> as biasing estimates towards </w:t>
      </w:r>
      <w:r w:rsidR="002C27A8">
        <w:t xml:space="preserve">a </w:t>
      </w:r>
      <w:r>
        <w:t xml:space="preserve">higher </w:t>
      </w:r>
      <w:r w:rsidR="002C27A8">
        <w:t xml:space="preserve">degree of </w:t>
      </w:r>
      <w:r>
        <w:t xml:space="preserve">aridity than are likely. </w:t>
      </w:r>
    </w:p>
    <w:p w14:paraId="4997FC40" w14:textId="301DD3F9" w:rsidR="00190D36" w:rsidRPr="00815797" w:rsidRDefault="00E97CF8" w:rsidP="00190D36">
      <w:pPr>
        <w:pStyle w:val="Para0"/>
      </w:pPr>
      <w:r w:rsidRPr="00815797">
        <w:t xml:space="preserve">It is unclear </w:t>
      </w:r>
      <w:r w:rsidR="00B1332B">
        <w:t>how</w:t>
      </w:r>
      <w:r w:rsidR="00B1332B" w:rsidRPr="00815797">
        <w:t xml:space="preserve"> </w:t>
      </w:r>
      <w:r w:rsidRPr="00815797">
        <w:t>eucalypt forests</w:t>
      </w:r>
      <w:r w:rsidR="00014017" w:rsidRPr="00815797">
        <w:t xml:space="preserve"> in Melbourne’s catchments w</w:t>
      </w:r>
      <w:r w:rsidR="00815797" w:rsidRPr="00815797">
        <w:t xml:space="preserve">ill </w:t>
      </w:r>
      <w:r w:rsidR="00B1332B">
        <w:t xml:space="preserve">specifically respond </w:t>
      </w:r>
      <w:r w:rsidR="00815797" w:rsidRPr="00815797">
        <w:t>to increased atmospheric CO</w:t>
      </w:r>
      <w:r w:rsidR="00815797" w:rsidRPr="00815797">
        <w:rPr>
          <w:vertAlign w:val="subscript"/>
        </w:rPr>
        <w:t>2</w:t>
      </w:r>
      <w:r w:rsidR="00815797" w:rsidRPr="00815797">
        <w:t xml:space="preserve"> concentrations</w:t>
      </w:r>
      <w:r w:rsidRPr="00815797">
        <w:t>.</w:t>
      </w:r>
      <w:r w:rsidR="00CF3124">
        <w:t xml:space="preserve"> Field experiments to test the change in water use of forests under enhanced CO</w:t>
      </w:r>
      <w:r w:rsidR="00CF3124">
        <w:rPr>
          <w:vertAlign w:val="subscript"/>
        </w:rPr>
        <w:t>2</w:t>
      </w:r>
      <w:r w:rsidR="00CF3124">
        <w:t xml:space="preserve"> conditions are currently very expensive</w:t>
      </w:r>
      <w:r w:rsidR="00B1332B">
        <w:t>. Instead</w:t>
      </w:r>
      <w:r w:rsidR="00CF3124">
        <w:t xml:space="preserve">, </w:t>
      </w:r>
      <w:r w:rsidR="00B1332B">
        <w:t xml:space="preserve">it is recommended that the </w:t>
      </w:r>
      <w:r w:rsidR="00CF3124">
        <w:t>response</w:t>
      </w:r>
      <w:r w:rsidR="00B1332B">
        <w:t>s</w:t>
      </w:r>
      <w:r w:rsidR="00CF3124">
        <w:t xml:space="preserve"> of </w:t>
      </w:r>
      <w:r w:rsidR="00D46C11">
        <w:t xml:space="preserve">actual and potential </w:t>
      </w:r>
      <w:r w:rsidR="00D46C11" w:rsidRPr="00D46C11">
        <w:t xml:space="preserve">evapotranspiration </w:t>
      </w:r>
      <w:r w:rsidR="00D46C11">
        <w:t xml:space="preserve">rates </w:t>
      </w:r>
      <w:r w:rsidR="00CF3124">
        <w:t xml:space="preserve">in forested catchments </w:t>
      </w:r>
      <w:r w:rsidR="00B1332B">
        <w:t xml:space="preserve">be investigated </w:t>
      </w:r>
      <w:r w:rsidR="00CF3124">
        <w:t xml:space="preserve">within </w:t>
      </w:r>
      <w:r w:rsidR="00B1332B">
        <w:t>Global Climate Model</w:t>
      </w:r>
      <w:r w:rsidR="00A07254">
        <w:t xml:space="preserve"> (GCM</w:t>
      </w:r>
      <w:r w:rsidR="00B1332B">
        <w:t xml:space="preserve">) </w:t>
      </w:r>
      <w:r w:rsidR="00CF3124">
        <w:t>simulations.</w:t>
      </w:r>
      <w:r w:rsidRPr="00815797">
        <w:t xml:space="preserve"> A </w:t>
      </w:r>
      <w:r w:rsidR="004E3101">
        <w:t>Monte Carlo</w:t>
      </w:r>
      <w:r w:rsidRPr="00815797">
        <w:t xml:space="preserve"> simulation framework, consistent with </w:t>
      </w:r>
      <w:r w:rsidRPr="00815797">
        <w:fldChar w:fldCharType="begin" w:fldLock="1"/>
      </w:r>
      <w:r w:rsidR="00D11C5B">
        <w:instrText>ADDIN CSL_CITATION {"citationItems":[{"id":"ITEM-1","itemData":{"author":[{"dropping-particle":"","family":"Mein","given":"Russell","non-dropping-particle":"","parse-names":false,"suffix":""}],"id":"ITEM-1","issue":"May","issued":{"date-parts":[["2008"]]},"number-of-pages":"24","title":"Potential impacts of forest management on streamflow in Melbourne’s water supply catchments Summary report","type":"report"},"uris":["http://www.mendeley.com/documents/?uuid=8b5f64af-8bc5-46a2-bf12-c3f57288c5f8"]}],"mendeley":{"formattedCitation":"(Mein, 2008)","manualFormatting":"Mein's (2008)","plainTextFormattedCitation":"(Mein, 2008)","previouslyFormattedCitation":"(Mein, 2008)"},"properties":{"noteIndex":0},"schema":"https://github.com/citation-style-language/schema/raw/master/csl-citation.json"}</w:instrText>
      </w:r>
      <w:r w:rsidRPr="00815797">
        <w:fldChar w:fldCharType="separate"/>
      </w:r>
      <w:r w:rsidRPr="00815797">
        <w:rPr>
          <w:noProof/>
        </w:rPr>
        <w:t>Mein's (2008)</w:t>
      </w:r>
      <w:r w:rsidRPr="00815797">
        <w:fldChar w:fldCharType="end"/>
      </w:r>
      <w:r w:rsidRPr="00815797">
        <w:t xml:space="preserve"> first recommendation, </w:t>
      </w:r>
      <w:r w:rsidR="00815797" w:rsidRPr="00815797">
        <w:t xml:space="preserve">may be able to incorporate uncertainty in the </w:t>
      </w:r>
      <w:r w:rsidR="00F667C2">
        <w:t xml:space="preserve">way </w:t>
      </w:r>
      <w:r w:rsidR="00D46C11" w:rsidRPr="00D46C11">
        <w:t xml:space="preserve">evapotranspiration </w:t>
      </w:r>
      <w:r w:rsidR="00815797" w:rsidRPr="00815797">
        <w:t>respon</w:t>
      </w:r>
      <w:r w:rsidR="00F667C2">
        <w:t>ds</w:t>
      </w:r>
      <w:r w:rsidR="00815797" w:rsidRPr="00815797">
        <w:t xml:space="preserve"> to projected increases in CO</w:t>
      </w:r>
      <w:r w:rsidR="00815797" w:rsidRPr="00815797">
        <w:rPr>
          <w:vertAlign w:val="subscript"/>
        </w:rPr>
        <w:t>2</w:t>
      </w:r>
      <w:r w:rsidR="00815797" w:rsidRPr="00815797">
        <w:t xml:space="preserve"> concentrations, if appropriately </w:t>
      </w:r>
      <w:r w:rsidR="00D46C11">
        <w:t>formulated</w:t>
      </w:r>
      <w:r w:rsidR="00815797" w:rsidRPr="00815797">
        <w:t>.</w:t>
      </w:r>
    </w:p>
    <w:p w14:paraId="038ABD6A" w14:textId="046EB50B" w:rsidR="00A10554" w:rsidRDefault="00A10554" w:rsidP="00A10554">
      <w:pPr>
        <w:pStyle w:val="Para0"/>
        <w:pBdr>
          <w:top w:val="single" w:sz="4" w:space="1" w:color="auto"/>
          <w:left w:val="single" w:sz="4" w:space="4" w:color="auto"/>
          <w:bottom w:val="single" w:sz="4" w:space="1" w:color="auto"/>
          <w:right w:val="single" w:sz="4" w:space="4" w:color="auto"/>
        </w:pBdr>
        <w:spacing w:after="360"/>
      </w:pPr>
      <w:r w:rsidRPr="000A6466">
        <w:rPr>
          <w:b/>
          <w:bCs/>
        </w:rPr>
        <w:t>In summary</w:t>
      </w:r>
      <w:r w:rsidRPr="00627104">
        <w:rPr>
          <w:b/>
          <w:bCs/>
        </w:rPr>
        <w:t>,</w:t>
      </w:r>
      <w:r>
        <w:t xml:space="preserve"> </w:t>
      </w:r>
      <w:r w:rsidR="00071B77">
        <w:t>there</w:t>
      </w:r>
      <w:r w:rsidR="00071B77" w:rsidRPr="00071B77">
        <w:t xml:space="preserve"> remains much uncertainty about how vegetation </w:t>
      </w:r>
      <w:r w:rsidR="00071B77">
        <w:t>will</w:t>
      </w:r>
      <w:r w:rsidR="00071B77" w:rsidRPr="00071B77">
        <w:t xml:space="preserve"> respond to </w:t>
      </w:r>
      <w:r w:rsidR="00F667C2">
        <w:t xml:space="preserve">the </w:t>
      </w:r>
      <w:r w:rsidR="00071B77">
        <w:t>increasing</w:t>
      </w:r>
      <w:r w:rsidR="00071B77" w:rsidRPr="00815797">
        <w:t xml:space="preserve"> atmospheric CO</w:t>
      </w:r>
      <w:r w:rsidR="00071B77" w:rsidRPr="00815797">
        <w:rPr>
          <w:vertAlign w:val="subscript"/>
        </w:rPr>
        <w:t>2</w:t>
      </w:r>
      <w:r w:rsidR="00071B77" w:rsidRPr="00815797">
        <w:t xml:space="preserve"> concentrations</w:t>
      </w:r>
      <w:r w:rsidR="00071B77">
        <w:t xml:space="preserve"> </w:t>
      </w:r>
      <w:r w:rsidR="00F667C2">
        <w:t xml:space="preserve">that </w:t>
      </w:r>
      <w:r w:rsidR="00071B77">
        <w:t>are projected under climate change</w:t>
      </w:r>
      <w:r w:rsidR="00F667C2">
        <w:t xml:space="preserve">. Relatively </w:t>
      </w:r>
      <w:r w:rsidR="00071B77">
        <w:t>recent publications</w:t>
      </w:r>
      <w:r w:rsidR="00F667C2">
        <w:t xml:space="preserve">, however, </w:t>
      </w:r>
      <w:r w:rsidR="00071B77">
        <w:t>suggest that physiological effects on actual evapotranspiration are likely to counter-balance each other</w:t>
      </w:r>
      <w:r>
        <w:t>.</w:t>
      </w:r>
      <w:r w:rsidR="00071B77">
        <w:t xml:space="preserve"> </w:t>
      </w:r>
      <w:r w:rsidR="00071B77" w:rsidRPr="00815797">
        <w:t>A</w:t>
      </w:r>
      <w:r w:rsidR="00071B77">
        <w:t>n appropriately designed</w:t>
      </w:r>
      <w:r w:rsidR="00071B77" w:rsidRPr="00815797">
        <w:t xml:space="preserve"> </w:t>
      </w:r>
      <w:r w:rsidR="00071B77">
        <w:t>Monte Carlo</w:t>
      </w:r>
      <w:r w:rsidR="00071B77" w:rsidRPr="00815797">
        <w:t xml:space="preserve"> simulation framework </w:t>
      </w:r>
      <w:r w:rsidR="00071B77">
        <w:t>should</w:t>
      </w:r>
      <w:r w:rsidR="00071B77" w:rsidRPr="00815797">
        <w:t xml:space="preserve"> be able to incorporate uncertainty in the </w:t>
      </w:r>
      <w:r w:rsidR="00071B77" w:rsidRPr="00D46C11">
        <w:t xml:space="preserve">evapotranspiration </w:t>
      </w:r>
      <w:r w:rsidR="00071B77" w:rsidRPr="00815797">
        <w:t>response to projected increases in CO</w:t>
      </w:r>
      <w:r w:rsidR="00071B77" w:rsidRPr="00815797">
        <w:rPr>
          <w:vertAlign w:val="subscript"/>
        </w:rPr>
        <w:t>2</w:t>
      </w:r>
      <w:r w:rsidR="00071B77">
        <w:t xml:space="preserve"> concentrations.</w:t>
      </w:r>
    </w:p>
    <w:p w14:paraId="31DF0003" w14:textId="77777777" w:rsidR="00190D36" w:rsidRDefault="00190D36" w:rsidP="00190D36">
      <w:pPr>
        <w:pStyle w:val="Para0"/>
      </w:pPr>
    </w:p>
    <w:p w14:paraId="53104EE0" w14:textId="66221C64" w:rsidR="00190D36" w:rsidRDefault="00190D36" w:rsidP="00190D36">
      <w:pPr>
        <w:pStyle w:val="Heading1"/>
      </w:pPr>
      <w:bookmarkStart w:id="32" w:name="_Ref24469995"/>
      <w:bookmarkStart w:id="33" w:name="_Toc36033090"/>
      <w:r>
        <w:lastRenderedPageBreak/>
        <w:t>Analysis of relevant issues that have emerged since WWS2008</w:t>
      </w:r>
      <w:bookmarkEnd w:id="32"/>
      <w:bookmarkEnd w:id="33"/>
    </w:p>
    <w:p w14:paraId="5EAC40E0" w14:textId="4F720426" w:rsidR="00A911ED" w:rsidRDefault="009C70CD" w:rsidP="00190D36">
      <w:pPr>
        <w:pStyle w:val="Para0"/>
      </w:pPr>
      <w:r>
        <w:t xml:space="preserve">The previous section examined the six recommendations that were made in the WWS2008 reports (Mein, 2008; Feikema </w:t>
      </w:r>
      <w:r w:rsidR="001C1F9A" w:rsidRPr="001C1F9A">
        <w:rPr>
          <w:i/>
        </w:rPr>
        <w:t>et al.</w:t>
      </w:r>
      <w:r>
        <w:t>, 2008). Since the completion of WWS2008, a number of relevant issues have emerged, through new data collection, new scientific research</w:t>
      </w:r>
      <w:r w:rsidR="00E511A2">
        <w:t xml:space="preserve">, and through </w:t>
      </w:r>
      <w:r>
        <w:t xml:space="preserve">changes in the </w:t>
      </w:r>
      <w:r w:rsidR="00E511A2">
        <w:t xml:space="preserve">condition </w:t>
      </w:r>
      <w:r>
        <w:t>of the catchments themselves.</w:t>
      </w:r>
    </w:p>
    <w:p w14:paraId="0F41C1FD" w14:textId="77777777" w:rsidR="009C70CD" w:rsidRDefault="009C70CD" w:rsidP="00190D36">
      <w:pPr>
        <w:pStyle w:val="Para0"/>
      </w:pPr>
      <w:r>
        <w:t>This section of the report examine</w:t>
      </w:r>
      <w:r w:rsidR="00F34420">
        <w:t>s each of these relevant issues:</w:t>
      </w:r>
    </w:p>
    <w:p w14:paraId="21DA7C3F" w14:textId="0A7D8D6B" w:rsidR="00F34420" w:rsidRDefault="00274DA7" w:rsidP="00C95629">
      <w:pPr>
        <w:pStyle w:val="Para0bullet"/>
        <w:numPr>
          <w:ilvl w:val="0"/>
          <w:numId w:val="20"/>
        </w:numPr>
      </w:pPr>
      <w:r>
        <w:t>areas of timber harvesting since 2008,</w:t>
      </w:r>
    </w:p>
    <w:p w14:paraId="6DA93E62" w14:textId="2423BFB0" w:rsidR="00F34420" w:rsidRDefault="00274DA7" w:rsidP="00C95629">
      <w:pPr>
        <w:pStyle w:val="Para0bullet"/>
        <w:numPr>
          <w:ilvl w:val="0"/>
          <w:numId w:val="20"/>
        </w:numPr>
      </w:pPr>
      <w:r>
        <w:t>e</w:t>
      </w:r>
      <w:r w:rsidR="00F34420">
        <w:t>ffect of bushfires in Melbourne’s catchments since 2008</w:t>
      </w:r>
      <w:r>
        <w:t>,</w:t>
      </w:r>
    </w:p>
    <w:p w14:paraId="27DAF711" w14:textId="2654F410" w:rsidR="00F34420" w:rsidRDefault="00274DA7" w:rsidP="00C95629">
      <w:pPr>
        <w:pStyle w:val="Para0bullet"/>
        <w:numPr>
          <w:ilvl w:val="0"/>
          <w:numId w:val="20"/>
        </w:numPr>
      </w:pPr>
      <w:r>
        <w:t>reassessment of model calibration with additional data collected since 2008,</w:t>
      </w:r>
    </w:p>
    <w:p w14:paraId="0F29618A" w14:textId="15573711" w:rsidR="00F34420" w:rsidRDefault="00274DA7" w:rsidP="00C95629">
      <w:pPr>
        <w:pStyle w:val="Para0bullet"/>
        <w:numPr>
          <w:ilvl w:val="0"/>
          <w:numId w:val="20"/>
        </w:numPr>
      </w:pPr>
      <w:r>
        <w:t xml:space="preserve">other models of </w:t>
      </w:r>
      <w:r w:rsidR="007877C7">
        <w:t>catchment water yield</w:t>
      </w:r>
      <w:r>
        <w:t xml:space="preserve"> from forested catchments since 2008,</w:t>
      </w:r>
    </w:p>
    <w:p w14:paraId="418FB65C" w14:textId="27EAE11F" w:rsidR="00F34420" w:rsidRDefault="00274DA7" w:rsidP="00C95629">
      <w:pPr>
        <w:pStyle w:val="Para0bullet"/>
        <w:numPr>
          <w:ilvl w:val="0"/>
          <w:numId w:val="20"/>
        </w:numPr>
      </w:pPr>
      <w:r>
        <w:t>r</w:t>
      </w:r>
      <w:r w:rsidR="00F34420">
        <w:t>evisions to climate change projections for Victoria</w:t>
      </w:r>
      <w:r>
        <w:t>,</w:t>
      </w:r>
    </w:p>
    <w:p w14:paraId="474660B3" w14:textId="75C6D069" w:rsidR="00F34420" w:rsidRDefault="00274DA7" w:rsidP="00C95629">
      <w:pPr>
        <w:pStyle w:val="Para0bullet"/>
        <w:numPr>
          <w:ilvl w:val="0"/>
          <w:numId w:val="20"/>
        </w:numPr>
      </w:pPr>
      <w:r>
        <w:t>d</w:t>
      </w:r>
      <w:r w:rsidR="00F34420">
        <w:t>evelopment of improved modelling approaches</w:t>
      </w:r>
      <w:r>
        <w:t>.</w:t>
      </w:r>
    </w:p>
    <w:p w14:paraId="31EB395A" w14:textId="77777777" w:rsidR="009C70CD" w:rsidRDefault="009C70CD" w:rsidP="00190D36">
      <w:pPr>
        <w:pStyle w:val="Para0"/>
      </w:pPr>
    </w:p>
    <w:p w14:paraId="33AED4C5" w14:textId="169BAF85" w:rsidR="00190D36" w:rsidRDefault="00F34420" w:rsidP="00A911ED">
      <w:pPr>
        <w:pStyle w:val="Heading2"/>
      </w:pPr>
      <w:bookmarkStart w:id="34" w:name="_Toc36033091"/>
      <w:r>
        <w:t>Areas</w:t>
      </w:r>
      <w:r w:rsidR="009C70CD">
        <w:t xml:space="preserve"> of timber harvesting since WWS2008</w:t>
      </w:r>
      <w:bookmarkEnd w:id="34"/>
    </w:p>
    <w:p w14:paraId="0ECD687D" w14:textId="53562A65" w:rsidR="00EA4865" w:rsidRDefault="00EA4865" w:rsidP="00022403">
      <w:pPr>
        <w:pStyle w:val="Para0"/>
      </w:pPr>
      <w:r>
        <w:t>The main purpose of WWS2008 was to</w:t>
      </w:r>
      <w:r w:rsidR="0020274D">
        <w:t xml:space="preserve"> predict</w:t>
      </w:r>
      <w:r>
        <w:t xml:space="preserve"> </w:t>
      </w:r>
      <w:r w:rsidR="00E511A2">
        <w:t xml:space="preserve">how </w:t>
      </w:r>
      <w:r w:rsidR="007877C7">
        <w:t>catchment water yield</w:t>
      </w:r>
      <w:r>
        <w:t xml:space="preserve"> over time</w:t>
      </w:r>
      <w:r w:rsidR="00E511A2">
        <w:t xml:space="preserve"> under the then current timber harvesting regime would </w:t>
      </w:r>
      <w:r w:rsidR="0020274D">
        <w:t>differ from</w:t>
      </w:r>
      <w:r w:rsidR="00E511A2">
        <w:t xml:space="preserve"> catchment water yield over time under </w:t>
      </w:r>
      <w:r>
        <w:t xml:space="preserve">alternative timber harvesting scenarios. </w:t>
      </w:r>
      <w:r w:rsidR="009C2D1C">
        <w:t xml:space="preserve">This review has </w:t>
      </w:r>
      <w:r>
        <w:t>analys</w:t>
      </w:r>
      <w:r w:rsidR="009C2D1C">
        <w:t xml:space="preserve">ed </w:t>
      </w:r>
      <w:r>
        <w:t xml:space="preserve">timber harvesting since WWS2008 </w:t>
      </w:r>
      <w:r w:rsidR="005F01A8">
        <w:fldChar w:fldCharType="begin" w:fldLock="1"/>
      </w:r>
      <w:r w:rsidR="00D11C5B">
        <w:instrText>ADDIN CSL_CITATION {"citationItems":[{"id":"ITEM-1","itemData":{"author":[{"dropping-particle":"","family":"Mein","given":"Russell","non-dropping-particle":"","parse-names":false,"suffix":""}],"id":"ITEM-1","issue":"May","issued":{"date-parts":[["2008"]]},"number-of-pages":"24","title":"Potential impacts of forest management on streamflow in Melbourne’s water supply catchments Summary report","type":"report"},"uris":["http://www.mendeley.com/documents/?uuid=8b5f64af-8bc5-46a2-bf12-c3f57288c5f8"]}],"mendeley":{"formattedCitation":"(Mein, 2008)","plainTextFormattedCitation":"(Mein, 2008)","previouslyFormattedCitation":"(Mein, 2008)"},"properties":{"noteIndex":0},"schema":"https://github.com/citation-style-language/schema/raw/master/csl-citation.json"}</w:instrText>
      </w:r>
      <w:r w:rsidR="005F01A8">
        <w:fldChar w:fldCharType="separate"/>
      </w:r>
      <w:r w:rsidR="005F01A8" w:rsidRPr="005F01A8">
        <w:rPr>
          <w:noProof/>
        </w:rPr>
        <w:t>(Mein, 2008)</w:t>
      </w:r>
      <w:r w:rsidR="005F01A8">
        <w:fldChar w:fldCharType="end"/>
      </w:r>
      <w:r w:rsidR="005F01A8">
        <w:t xml:space="preserve"> </w:t>
      </w:r>
      <w:r w:rsidR="009C2D1C">
        <w:t>to see if the</w:t>
      </w:r>
      <w:r w:rsidR="00384A04">
        <w:t xml:space="preserve"> harvesting rates</w:t>
      </w:r>
      <w:r w:rsidR="009C2D1C">
        <w:t xml:space="preserve"> </w:t>
      </w:r>
      <w:r>
        <w:t>have continued in line with the status quo scenario</w:t>
      </w:r>
      <w:r w:rsidR="009C2D1C">
        <w:t xml:space="preserve"> in 2008</w:t>
      </w:r>
      <w:r>
        <w:t xml:space="preserve">, or </w:t>
      </w:r>
      <w:r w:rsidR="009C2D1C">
        <w:t xml:space="preserve">if they </w:t>
      </w:r>
      <w:r>
        <w:t>have taken an alternative trajectory.</w:t>
      </w:r>
      <w:r w:rsidR="00384A04">
        <w:t xml:space="preserve"> Mean annual rates of timber harvesting are expressed as an area of forest per year. </w:t>
      </w:r>
    </w:p>
    <w:p w14:paraId="1A1868FC" w14:textId="67B439B7" w:rsidR="00022403" w:rsidRDefault="00384A04">
      <w:pPr>
        <w:pStyle w:val="Para0"/>
      </w:pPr>
      <w:r>
        <w:t>Since the completion of WWS2008, m</w:t>
      </w:r>
      <w:r w:rsidR="00022403">
        <w:t>ean annual rates of timber harvesting</w:t>
      </w:r>
      <w:r>
        <w:t xml:space="preserve"> </w:t>
      </w:r>
      <w:r w:rsidR="00022403">
        <w:t xml:space="preserve">in Melbourne’s water catchments have been similar to the rates projected in WWS2008 </w:t>
      </w:r>
      <w:r w:rsidR="00A457BE">
        <w:t xml:space="preserve">if </w:t>
      </w:r>
      <w:r w:rsidR="00022403">
        <w:t xml:space="preserve">the status quo logging scenario </w:t>
      </w:r>
      <w:r w:rsidR="00A457BE">
        <w:t xml:space="preserve">continued </w:t>
      </w:r>
      <w:r w:rsidR="00022403">
        <w:t>(Salkin, 2008).</w:t>
      </w:r>
      <w:r w:rsidR="00D50CA7">
        <w:t xml:space="preserve"> The rates of timber harvesting </w:t>
      </w:r>
      <w:r w:rsidR="00A24E5A">
        <w:t xml:space="preserve">projected in WWS2008 </w:t>
      </w:r>
      <w:r w:rsidR="00D50CA7">
        <w:t xml:space="preserve">are </w:t>
      </w:r>
      <w:r w:rsidR="00A24E5A">
        <w:t xml:space="preserve">echoed </w:t>
      </w:r>
      <w:r w:rsidR="00D50CA7">
        <w:t xml:space="preserve">in the </w:t>
      </w:r>
      <w:r w:rsidR="00D50CA7" w:rsidRPr="00D50CA7">
        <w:rPr>
          <w:i/>
        </w:rPr>
        <w:t>Management Standards and Procedures</w:t>
      </w:r>
      <w:r w:rsidR="00D50CA7">
        <w:t xml:space="preserve"> </w:t>
      </w:r>
      <w:r w:rsidR="00D50CA7">
        <w:fldChar w:fldCharType="begin" w:fldLock="1"/>
      </w:r>
      <w:r w:rsidR="007416C7">
        <w:instrText>ADDIN CSL_CITATION {"citationItems":[{"id":"ITEM-1","itemData":{"author":[{"dropping-particle":"","family":"Department of Environment and Primary Industries","given":"","non-dropping-particle":"","parse-names":false,"suffix":""}],"id":"ITEM-1","issued":{"date-parts":[["2014"]]},"number-of-pages":"198","title":"Management Standards and Procedures for timber harvesting operations in Victoria's State Forests 2014","type":"report"},"uris":["http://www.mendeley.com/documents/?uuid=2c8245fc-a6ef-4ade-8144-25bd269bd368"]}],"mendeley":{"formattedCitation":"(Department of Environment and Primary Industries, 2014a)","plainTextFormattedCitation":"(Department of Environment and Primary Industries, 2014a)","previouslyFormattedCitation":"(Department of Environment and Primary Industries, 2014a)"},"properties":{"noteIndex":0},"schema":"https://github.com/citation-style-language/schema/raw/master/csl-citation.json"}</w:instrText>
      </w:r>
      <w:r w:rsidR="00D50CA7">
        <w:fldChar w:fldCharType="separate"/>
      </w:r>
      <w:r w:rsidR="007416C7" w:rsidRPr="007416C7">
        <w:rPr>
          <w:noProof/>
        </w:rPr>
        <w:t>(Department of Environment and Primary Industries, 2014a)</w:t>
      </w:r>
      <w:r w:rsidR="00D50CA7">
        <w:fldChar w:fldCharType="end"/>
      </w:r>
      <w:r w:rsidR="00D50CA7">
        <w:t xml:space="preserve"> under the </w:t>
      </w:r>
      <w:r w:rsidR="00D50CA7" w:rsidRPr="00AB0989">
        <w:rPr>
          <w:i/>
        </w:rPr>
        <w:t>Code of Practice for Timber Production</w:t>
      </w:r>
      <w:r w:rsidR="00D50CA7">
        <w:t xml:space="preserve"> </w:t>
      </w:r>
      <w:r w:rsidR="00AB0989">
        <w:fldChar w:fldCharType="begin" w:fldLock="1"/>
      </w:r>
      <w:r w:rsidR="00540694">
        <w:instrText>ADDIN CSL_CITATION {"citationItems":[{"id":"ITEM-1","itemData":{"author":[{"dropping-particle":"","family":"Department of Environment and Primary Industries","given":"","non-dropping-particle":"","parse-names":false,"suffix":""}],"id":"ITEM-1","issued":{"date-parts":[["2014"]]},"number-of-pages":"80","title":"Code of Practice for Timber Production 2014","type":"report"},"uris":["http://www.mendeley.com/documents/?uuid=e16332f7-f6d2-42ef-949d-9224e0183bbc"]}],"mendeley":{"formattedCitation":"(Department of Environment and Primary Industries, 2014b)","plainTextFormattedCitation":"(Department of Environment and Primary Industries, 2014b)","previouslyFormattedCitation":"(Department of Environment and Primary Industries, 2014b)"},"properties":{"noteIndex":0},"schema":"https://github.com/citation-style-language/schema/raw/master/csl-citation.json"}</w:instrText>
      </w:r>
      <w:r w:rsidR="00AB0989">
        <w:fldChar w:fldCharType="separate"/>
      </w:r>
      <w:r w:rsidR="007416C7" w:rsidRPr="007416C7">
        <w:rPr>
          <w:noProof/>
        </w:rPr>
        <w:t>(Department of Environment and Primary Industries, 2014b)</w:t>
      </w:r>
      <w:r w:rsidR="00AB0989">
        <w:fldChar w:fldCharType="end"/>
      </w:r>
      <w:r w:rsidR="00B11505">
        <w:t>,</w:t>
      </w:r>
      <w:r w:rsidR="00B11505" w:rsidRPr="00B11505">
        <w:t xml:space="preserve"> </w:t>
      </w:r>
      <w:r w:rsidR="00B11505">
        <w:t>which specify catchment harvesting limits expressed as a rolling average (notionally over a ten-year period</w:t>
      </w:r>
      <w:r w:rsidR="00090FFF">
        <w:t>)</w:t>
      </w:r>
      <w:r w:rsidR="00D50CA7">
        <w:t>.</w:t>
      </w:r>
      <w:r w:rsidR="00022403">
        <w:t xml:space="preserve"> As shown in </w:t>
      </w:r>
      <w:r w:rsidR="00022403">
        <w:fldChar w:fldCharType="begin"/>
      </w:r>
      <w:r w:rsidR="00022403">
        <w:instrText xml:space="preserve"> REF _Ref24026840 \h </w:instrText>
      </w:r>
      <w:r w:rsidR="00022403">
        <w:fldChar w:fldCharType="separate"/>
      </w:r>
      <w:r w:rsidR="00062E08">
        <w:t xml:space="preserve">Table </w:t>
      </w:r>
      <w:r w:rsidR="00062E08">
        <w:rPr>
          <w:noProof/>
        </w:rPr>
        <w:t>2</w:t>
      </w:r>
      <w:r w:rsidR="00022403">
        <w:fldChar w:fldCharType="end"/>
      </w:r>
      <w:r w:rsidR="00022403">
        <w:t>, the mean annual rate of harvesting over the period from 2009</w:t>
      </w:r>
      <w:r w:rsidR="001D6D57">
        <w:rPr>
          <w:rFonts w:cs="Arial"/>
        </w:rPr>
        <w:t>–</w:t>
      </w:r>
      <w:r w:rsidR="00022403">
        <w:t>10 to 2017</w:t>
      </w:r>
      <w:r w:rsidR="001D6D57">
        <w:rPr>
          <w:rFonts w:cs="Arial"/>
        </w:rPr>
        <w:t>–</w:t>
      </w:r>
      <w:r w:rsidR="00022403">
        <w:t xml:space="preserve">18 (inclusive) was </w:t>
      </w:r>
      <w:r w:rsidR="0080304F">
        <w:t>254</w:t>
      </w:r>
      <w:r w:rsidR="00022403">
        <w:t xml:space="preserve"> ha/year, which was </w:t>
      </w:r>
      <w:r w:rsidR="0080304F">
        <w:t>86</w:t>
      </w:r>
      <w:r w:rsidR="00022403">
        <w:t xml:space="preserve"> ha/year or </w:t>
      </w:r>
      <w:r w:rsidR="0080304F">
        <w:t>25</w:t>
      </w:r>
      <w:r w:rsidR="00022403">
        <w:t xml:space="preserve">% less than the annual rate of timber harvesting assumed by WWS2008. </w:t>
      </w:r>
      <w:r>
        <w:t>Areas of forest logged since 2009</w:t>
      </w:r>
      <w:r>
        <w:rPr>
          <w:rFonts w:cs="Arial"/>
        </w:rPr>
        <w:t>–</w:t>
      </w:r>
      <w:r>
        <w:t>10 were consistent with t</w:t>
      </w:r>
      <w:r w:rsidR="00022403">
        <w:t xml:space="preserve">he rates of timber harvesting by catchment and species type represented in WWS2008 for the status quo timber harvesting scenario. </w:t>
      </w:r>
      <w:r w:rsidR="00A457BE">
        <w:t xml:space="preserve">Therefore, </w:t>
      </w:r>
      <w:r w:rsidR="00022403">
        <w:t xml:space="preserve">the status quo scenario </w:t>
      </w:r>
      <w:r w:rsidR="00A457BE">
        <w:t xml:space="preserve">in </w:t>
      </w:r>
      <w:r w:rsidR="00022403">
        <w:t xml:space="preserve">WWS2008 should have produced very slightly conservative (low) projections of annual </w:t>
      </w:r>
      <w:r w:rsidR="007877C7">
        <w:t>catchment water yield</w:t>
      </w:r>
      <w:r w:rsidR="00022403">
        <w:t xml:space="preserve"> in total across the catchments, </w:t>
      </w:r>
      <w:r w:rsidR="00A457BE">
        <w:t xml:space="preserve">because of </w:t>
      </w:r>
      <w:r w:rsidR="00022403">
        <w:t>the slightly conservative assumptions made about the annual area of forest harvested.</w:t>
      </w:r>
    </w:p>
    <w:p w14:paraId="35804924" w14:textId="2EC48908" w:rsidR="00022403" w:rsidRDefault="00022403" w:rsidP="00022403">
      <w:pPr>
        <w:pStyle w:val="Caption"/>
        <w:pageBreakBefore/>
      </w:pPr>
      <w:bookmarkStart w:id="35" w:name="_Ref24026840"/>
      <w:r>
        <w:lastRenderedPageBreak/>
        <w:t xml:space="preserve">Table </w:t>
      </w:r>
      <w:r>
        <w:fldChar w:fldCharType="begin"/>
      </w:r>
      <w:r>
        <w:instrText xml:space="preserve"> SEQ Table \* ARABIC </w:instrText>
      </w:r>
      <w:r>
        <w:fldChar w:fldCharType="separate"/>
      </w:r>
      <w:r w:rsidR="00062E08">
        <w:rPr>
          <w:noProof/>
        </w:rPr>
        <w:t>2</w:t>
      </w:r>
      <w:r>
        <w:fldChar w:fldCharType="end"/>
      </w:r>
      <w:bookmarkEnd w:id="35"/>
      <w:r>
        <w:t xml:space="preserve"> </w:t>
      </w:r>
      <w:r w:rsidR="00A457BE">
        <w:t>A</w:t>
      </w:r>
      <w:r>
        <w:t>nnual rates of timber harvesting by catchment and forest type</w:t>
      </w:r>
      <w:r w:rsidR="00AB0989">
        <w:t xml:space="preserve"> set in </w:t>
      </w:r>
      <w:r w:rsidR="00AB0989" w:rsidRPr="00D50CA7">
        <w:rPr>
          <w:i/>
        </w:rPr>
        <w:t>Management Standards and Procedures</w:t>
      </w:r>
      <w:r w:rsidR="00AB0989">
        <w:t xml:space="preserve"> </w:t>
      </w:r>
      <w:r w:rsidR="00AB0989" w:rsidRPr="00A07254">
        <w:fldChar w:fldCharType="begin" w:fldLock="1"/>
      </w:r>
      <w:r w:rsidR="007416C7" w:rsidRPr="00A457BE">
        <w:instrText>ADDIN CSL_CITATION {"citationItems":[{"id":"ITEM-1","itemData":{"author":[{"dropping-particle":"","family":"Department of Environment and Primary Industries","given":"","non-dropping-particle":"","parse-names":false,"suffix":""}],"id":"ITEM-1","issued":{"date-parts":[["2014"]]},"number-of-pages":"198","title":"Management Standards and Procedures for timber harvesting operations in Victoria's State Forests 2014","type":"report"},"uris":["http://www.mendeley.com/documents/?uuid=2c8245fc-a6ef-4ade-8144-25bd269bd368"]}],"mendeley":{"formattedCitation":"(Department of Environment and Primary Industries, 2014a)","plainTextFormattedCitation":"(Department of Environment and Primary Industries, 2014a)","previouslyFormattedCitation":"(Department of Environment and Primary Industries, 2014a)"},"properties":{"noteIndex":0},"schema":"https://github.com/citation-style-language/schema/raw/master/csl-citation.json"}</w:instrText>
      </w:r>
      <w:r w:rsidR="00AB0989" w:rsidRPr="00A07254">
        <w:fldChar w:fldCharType="separate"/>
      </w:r>
      <w:r w:rsidR="007416C7" w:rsidRPr="0020274D">
        <w:rPr>
          <w:noProof/>
        </w:rPr>
        <w:t>(Department of Environment and Primary Industries, 2014a)</w:t>
      </w:r>
      <w:r w:rsidR="00AB0989" w:rsidRPr="00A07254">
        <w:fldChar w:fldCharType="end"/>
      </w:r>
      <w:r w:rsidR="00AB0989" w:rsidRPr="00A457BE">
        <w:t xml:space="preserve"> </w:t>
      </w:r>
      <w:r w:rsidR="00AB0989">
        <w:t>and</w:t>
      </w:r>
      <w:r>
        <w:t xml:space="preserve"> assumed by WWS2008 (Salkin, 2008)</w:t>
      </w:r>
      <w:r w:rsidR="00A457BE">
        <w:t>,</w:t>
      </w:r>
      <w:r>
        <w:t xml:space="preserve"> and mean annual rates over the period 2009</w:t>
      </w:r>
      <w:r w:rsidR="00D2786F">
        <w:rPr>
          <w:rFonts w:cs="Arial"/>
        </w:rPr>
        <w:t>–</w:t>
      </w:r>
      <w:r>
        <w:t>10 to 2017</w:t>
      </w:r>
      <w:r w:rsidR="00D2786F">
        <w:rPr>
          <w:rFonts w:cs="Arial"/>
        </w:rPr>
        <w:t>–</w:t>
      </w:r>
      <w:r>
        <w:t>18 (inclusive)</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756"/>
        <w:gridCol w:w="1755"/>
        <w:gridCol w:w="1755"/>
        <w:gridCol w:w="1756"/>
        <w:gridCol w:w="1756"/>
      </w:tblGrid>
      <w:tr w:rsidR="00022403" w14:paraId="069D64B0" w14:textId="77777777" w:rsidTr="0045315A">
        <w:tc>
          <w:tcPr>
            <w:tcW w:w="1756" w:type="dxa"/>
            <w:shd w:val="clear" w:color="auto" w:fill="959595"/>
          </w:tcPr>
          <w:p w14:paraId="1582A965" w14:textId="77777777" w:rsidR="00022403" w:rsidRDefault="00022403" w:rsidP="0045315A">
            <w:pPr>
              <w:pStyle w:val="TableFontH"/>
            </w:pPr>
            <w:r>
              <w:t>Catchment</w:t>
            </w:r>
          </w:p>
        </w:tc>
        <w:tc>
          <w:tcPr>
            <w:tcW w:w="1755" w:type="dxa"/>
            <w:shd w:val="clear" w:color="auto" w:fill="959595"/>
          </w:tcPr>
          <w:p w14:paraId="50A94DD3" w14:textId="77777777" w:rsidR="00022403" w:rsidRDefault="00022403" w:rsidP="0045315A">
            <w:pPr>
              <w:pStyle w:val="TableFontH"/>
            </w:pPr>
            <w:r>
              <w:t>Forest Type</w:t>
            </w:r>
          </w:p>
        </w:tc>
        <w:tc>
          <w:tcPr>
            <w:tcW w:w="1755" w:type="dxa"/>
            <w:shd w:val="clear" w:color="auto" w:fill="959595"/>
          </w:tcPr>
          <w:p w14:paraId="0A1B7218" w14:textId="494D287B" w:rsidR="00022403" w:rsidRDefault="00022403" w:rsidP="0045315A">
            <w:pPr>
              <w:pStyle w:val="TableFontH"/>
            </w:pPr>
            <w:r>
              <w:t>Annual rate of harvest</w:t>
            </w:r>
            <w:r w:rsidR="00AB0989">
              <w:t xml:space="preserve"> in Code of Practice (DEPI, 2014a) and</w:t>
            </w:r>
            <w:r>
              <w:t xml:space="preserve"> assumed by WWS2008 (Salkin, 2008)</w:t>
            </w:r>
            <w:r>
              <w:br/>
              <w:t>(ha/year)</w:t>
            </w:r>
          </w:p>
        </w:tc>
        <w:tc>
          <w:tcPr>
            <w:tcW w:w="1756" w:type="dxa"/>
            <w:shd w:val="clear" w:color="auto" w:fill="959595"/>
          </w:tcPr>
          <w:p w14:paraId="59F4BF69" w14:textId="78985BFC" w:rsidR="00022403" w:rsidRDefault="00022403" w:rsidP="0045315A">
            <w:pPr>
              <w:pStyle w:val="TableFontH"/>
            </w:pPr>
            <w:r>
              <w:t xml:space="preserve">Mean annual rate </w:t>
            </w:r>
            <w:r w:rsidR="00876E5E">
              <w:t xml:space="preserve">actually </w:t>
            </w:r>
            <w:r>
              <w:t>harvested over 2009/10 to 2017/18</w:t>
            </w:r>
            <w:r>
              <w:br/>
              <w:t>(ha/year)</w:t>
            </w:r>
          </w:p>
        </w:tc>
        <w:tc>
          <w:tcPr>
            <w:tcW w:w="1756" w:type="dxa"/>
            <w:shd w:val="clear" w:color="auto" w:fill="959595"/>
          </w:tcPr>
          <w:p w14:paraId="1D5FFDEE" w14:textId="77777777" w:rsidR="00022403" w:rsidRDefault="00022403" w:rsidP="0045315A">
            <w:pPr>
              <w:pStyle w:val="TableFontH"/>
            </w:pPr>
            <w:r>
              <w:t>Difference in annual rates</w:t>
            </w:r>
            <w:r>
              <w:br/>
              <w:t>(ha/year)</w:t>
            </w:r>
          </w:p>
        </w:tc>
      </w:tr>
      <w:tr w:rsidR="0080304F" w14:paraId="14AFF315" w14:textId="77777777" w:rsidTr="0045315A">
        <w:tc>
          <w:tcPr>
            <w:tcW w:w="1756" w:type="dxa"/>
          </w:tcPr>
          <w:p w14:paraId="5F2C6384" w14:textId="77777777" w:rsidR="0080304F" w:rsidRDefault="0080304F" w:rsidP="0080304F">
            <w:pPr>
              <w:pStyle w:val="TableFont"/>
            </w:pPr>
            <w:bookmarkStart w:id="36" w:name="_Hlk24728618"/>
            <w:r w:rsidRPr="007E49CE">
              <w:t>Tarago</w:t>
            </w:r>
          </w:p>
        </w:tc>
        <w:tc>
          <w:tcPr>
            <w:tcW w:w="1755" w:type="dxa"/>
          </w:tcPr>
          <w:p w14:paraId="44F2A5E8" w14:textId="77777777" w:rsidR="0080304F" w:rsidRDefault="0080304F" w:rsidP="0080304F">
            <w:pPr>
              <w:pStyle w:val="TableFont"/>
            </w:pPr>
            <w:r w:rsidRPr="007E49CE">
              <w:t>Ash</w:t>
            </w:r>
            <w:r>
              <w:t xml:space="preserve"> type</w:t>
            </w:r>
          </w:p>
        </w:tc>
        <w:tc>
          <w:tcPr>
            <w:tcW w:w="1755" w:type="dxa"/>
          </w:tcPr>
          <w:p w14:paraId="2BD37ECA" w14:textId="77777777" w:rsidR="0080304F" w:rsidRDefault="0080304F" w:rsidP="0080304F">
            <w:pPr>
              <w:pStyle w:val="TableFont"/>
              <w:ind w:right="483"/>
              <w:jc w:val="right"/>
            </w:pPr>
            <w:r w:rsidRPr="00913656">
              <w:t>55</w:t>
            </w:r>
          </w:p>
        </w:tc>
        <w:tc>
          <w:tcPr>
            <w:tcW w:w="1756" w:type="dxa"/>
          </w:tcPr>
          <w:p w14:paraId="6BB3C620" w14:textId="39F7D6C5" w:rsidR="0080304F" w:rsidRDefault="0080304F" w:rsidP="0080304F">
            <w:pPr>
              <w:pStyle w:val="TableFont"/>
              <w:ind w:right="483"/>
              <w:jc w:val="right"/>
            </w:pPr>
            <w:r w:rsidRPr="00DC5649">
              <w:t>35</w:t>
            </w:r>
          </w:p>
        </w:tc>
        <w:tc>
          <w:tcPr>
            <w:tcW w:w="1756" w:type="dxa"/>
          </w:tcPr>
          <w:p w14:paraId="6AC4A30C" w14:textId="44C9C4A2" w:rsidR="0080304F" w:rsidRDefault="00876E5E" w:rsidP="0080304F">
            <w:pPr>
              <w:pStyle w:val="TableFont"/>
              <w:ind w:right="483"/>
              <w:jc w:val="right"/>
            </w:pPr>
            <w:r>
              <w:rPr>
                <w:rFonts w:cs="Arial"/>
              </w:rPr>
              <w:t>–</w:t>
            </w:r>
            <w:r w:rsidR="0080304F" w:rsidRPr="00DC5649">
              <w:t>20</w:t>
            </w:r>
          </w:p>
        </w:tc>
      </w:tr>
      <w:tr w:rsidR="0080304F" w14:paraId="5049823C" w14:textId="77777777" w:rsidTr="0045315A">
        <w:tc>
          <w:tcPr>
            <w:tcW w:w="1756" w:type="dxa"/>
          </w:tcPr>
          <w:p w14:paraId="3D0D1983" w14:textId="77777777" w:rsidR="0080304F" w:rsidRDefault="0080304F" w:rsidP="0080304F">
            <w:pPr>
              <w:pStyle w:val="TableFont"/>
            </w:pPr>
            <w:r w:rsidRPr="007E49CE">
              <w:t>Tarago</w:t>
            </w:r>
          </w:p>
        </w:tc>
        <w:tc>
          <w:tcPr>
            <w:tcW w:w="1755" w:type="dxa"/>
          </w:tcPr>
          <w:p w14:paraId="3A9888DD" w14:textId="77777777" w:rsidR="0080304F" w:rsidRDefault="0080304F" w:rsidP="0080304F">
            <w:pPr>
              <w:pStyle w:val="TableFont"/>
            </w:pPr>
            <w:r>
              <w:t>Mixed species</w:t>
            </w:r>
          </w:p>
        </w:tc>
        <w:tc>
          <w:tcPr>
            <w:tcW w:w="1755" w:type="dxa"/>
          </w:tcPr>
          <w:p w14:paraId="08C74AB3" w14:textId="77777777" w:rsidR="0080304F" w:rsidRDefault="0080304F" w:rsidP="0080304F">
            <w:pPr>
              <w:pStyle w:val="TableFont"/>
              <w:ind w:right="483"/>
              <w:jc w:val="right"/>
            </w:pPr>
            <w:r w:rsidRPr="00913656">
              <w:t>23</w:t>
            </w:r>
          </w:p>
        </w:tc>
        <w:tc>
          <w:tcPr>
            <w:tcW w:w="1756" w:type="dxa"/>
          </w:tcPr>
          <w:p w14:paraId="60896248" w14:textId="6E142181" w:rsidR="0080304F" w:rsidRDefault="0080304F" w:rsidP="0080304F">
            <w:pPr>
              <w:pStyle w:val="TableFont"/>
              <w:ind w:right="483"/>
              <w:jc w:val="right"/>
            </w:pPr>
            <w:r w:rsidRPr="00DC5649">
              <w:t>20</w:t>
            </w:r>
          </w:p>
        </w:tc>
        <w:tc>
          <w:tcPr>
            <w:tcW w:w="1756" w:type="dxa"/>
          </w:tcPr>
          <w:p w14:paraId="118C5946" w14:textId="0B8954B2" w:rsidR="0080304F" w:rsidRDefault="00876E5E" w:rsidP="0080304F">
            <w:pPr>
              <w:pStyle w:val="TableFont"/>
              <w:ind w:right="483"/>
              <w:jc w:val="right"/>
            </w:pPr>
            <w:r>
              <w:rPr>
                <w:rFonts w:cs="Arial"/>
              </w:rPr>
              <w:t>–</w:t>
            </w:r>
            <w:r w:rsidR="0080304F" w:rsidRPr="00DC5649">
              <w:t>3</w:t>
            </w:r>
          </w:p>
        </w:tc>
      </w:tr>
      <w:tr w:rsidR="0080304F" w14:paraId="10A61E2C" w14:textId="77777777" w:rsidTr="0045315A">
        <w:tc>
          <w:tcPr>
            <w:tcW w:w="1756" w:type="dxa"/>
          </w:tcPr>
          <w:p w14:paraId="2F160D4B" w14:textId="77777777" w:rsidR="0080304F" w:rsidRDefault="0080304F" w:rsidP="0080304F">
            <w:pPr>
              <w:pStyle w:val="TableFont"/>
            </w:pPr>
            <w:r w:rsidRPr="007E49CE">
              <w:t>Thomson</w:t>
            </w:r>
          </w:p>
        </w:tc>
        <w:tc>
          <w:tcPr>
            <w:tcW w:w="1755" w:type="dxa"/>
          </w:tcPr>
          <w:p w14:paraId="7C08B362" w14:textId="77777777" w:rsidR="0080304F" w:rsidRDefault="0080304F" w:rsidP="0080304F">
            <w:pPr>
              <w:pStyle w:val="TableFont"/>
            </w:pPr>
            <w:r w:rsidRPr="007E49CE">
              <w:t>Ash</w:t>
            </w:r>
            <w:r>
              <w:t xml:space="preserve"> type</w:t>
            </w:r>
          </w:p>
        </w:tc>
        <w:tc>
          <w:tcPr>
            <w:tcW w:w="1755" w:type="dxa"/>
          </w:tcPr>
          <w:p w14:paraId="74D6BF31" w14:textId="77777777" w:rsidR="0080304F" w:rsidRDefault="0080304F" w:rsidP="0080304F">
            <w:pPr>
              <w:pStyle w:val="TableFont"/>
              <w:ind w:right="483"/>
              <w:jc w:val="right"/>
            </w:pPr>
            <w:r w:rsidRPr="00913656">
              <w:t>150</w:t>
            </w:r>
          </w:p>
        </w:tc>
        <w:tc>
          <w:tcPr>
            <w:tcW w:w="1756" w:type="dxa"/>
          </w:tcPr>
          <w:p w14:paraId="6D71C019" w14:textId="4433C3BB" w:rsidR="0080304F" w:rsidRDefault="0080304F" w:rsidP="0080304F">
            <w:pPr>
              <w:pStyle w:val="TableFont"/>
              <w:ind w:right="483"/>
              <w:jc w:val="right"/>
            </w:pPr>
            <w:r w:rsidRPr="00DC5649">
              <w:t>140</w:t>
            </w:r>
          </w:p>
        </w:tc>
        <w:tc>
          <w:tcPr>
            <w:tcW w:w="1756" w:type="dxa"/>
          </w:tcPr>
          <w:p w14:paraId="3FE35E51" w14:textId="2E82DBF9" w:rsidR="0080304F" w:rsidRDefault="00876E5E" w:rsidP="0080304F">
            <w:pPr>
              <w:pStyle w:val="TableFont"/>
              <w:ind w:right="483"/>
              <w:jc w:val="right"/>
            </w:pPr>
            <w:r>
              <w:rPr>
                <w:rFonts w:cs="Arial"/>
              </w:rPr>
              <w:t>–</w:t>
            </w:r>
            <w:r w:rsidR="0080304F" w:rsidRPr="00DC5649">
              <w:t>10</w:t>
            </w:r>
          </w:p>
        </w:tc>
      </w:tr>
      <w:tr w:rsidR="0080304F" w14:paraId="1984AF63" w14:textId="77777777" w:rsidTr="0045315A">
        <w:tc>
          <w:tcPr>
            <w:tcW w:w="1756" w:type="dxa"/>
          </w:tcPr>
          <w:p w14:paraId="4FE0422B" w14:textId="77777777" w:rsidR="0080304F" w:rsidRDefault="0080304F" w:rsidP="0080304F">
            <w:pPr>
              <w:pStyle w:val="TableFont"/>
            </w:pPr>
            <w:r w:rsidRPr="007E49CE">
              <w:t>Thomson</w:t>
            </w:r>
          </w:p>
        </w:tc>
        <w:tc>
          <w:tcPr>
            <w:tcW w:w="1755" w:type="dxa"/>
          </w:tcPr>
          <w:p w14:paraId="695750B2" w14:textId="77777777" w:rsidR="0080304F" w:rsidRDefault="0080304F" w:rsidP="0080304F">
            <w:pPr>
              <w:pStyle w:val="TableFont"/>
            </w:pPr>
            <w:r>
              <w:t>Mixed species</w:t>
            </w:r>
          </w:p>
        </w:tc>
        <w:tc>
          <w:tcPr>
            <w:tcW w:w="1755" w:type="dxa"/>
          </w:tcPr>
          <w:p w14:paraId="55BFBE24" w14:textId="77777777" w:rsidR="0080304F" w:rsidRDefault="0080304F" w:rsidP="0080304F">
            <w:pPr>
              <w:pStyle w:val="TableFont"/>
              <w:ind w:right="483"/>
              <w:jc w:val="right"/>
            </w:pPr>
            <w:r w:rsidRPr="00913656">
              <w:t>15</w:t>
            </w:r>
          </w:p>
        </w:tc>
        <w:tc>
          <w:tcPr>
            <w:tcW w:w="1756" w:type="dxa"/>
          </w:tcPr>
          <w:p w14:paraId="37EE401F" w14:textId="4906ABA4" w:rsidR="0080304F" w:rsidRDefault="0080304F" w:rsidP="0080304F">
            <w:pPr>
              <w:pStyle w:val="TableFont"/>
              <w:ind w:right="483"/>
              <w:jc w:val="right"/>
            </w:pPr>
            <w:r w:rsidRPr="00DC5649">
              <w:t>7</w:t>
            </w:r>
          </w:p>
        </w:tc>
        <w:tc>
          <w:tcPr>
            <w:tcW w:w="1756" w:type="dxa"/>
          </w:tcPr>
          <w:p w14:paraId="4A1EC552" w14:textId="6D3DB8D8" w:rsidR="0080304F" w:rsidRDefault="00876E5E" w:rsidP="0080304F">
            <w:pPr>
              <w:pStyle w:val="TableFont"/>
              <w:ind w:right="483"/>
              <w:jc w:val="right"/>
            </w:pPr>
            <w:r>
              <w:rPr>
                <w:rFonts w:cs="Arial"/>
              </w:rPr>
              <w:t>–</w:t>
            </w:r>
            <w:r w:rsidR="0080304F" w:rsidRPr="00DC5649">
              <w:t>8</w:t>
            </w:r>
          </w:p>
        </w:tc>
      </w:tr>
      <w:tr w:rsidR="0080304F" w14:paraId="7883F127" w14:textId="77777777" w:rsidTr="0045315A">
        <w:tc>
          <w:tcPr>
            <w:tcW w:w="1756" w:type="dxa"/>
          </w:tcPr>
          <w:p w14:paraId="12491F37" w14:textId="77777777" w:rsidR="0080304F" w:rsidRDefault="0080304F" w:rsidP="0080304F">
            <w:pPr>
              <w:pStyle w:val="TableFont"/>
            </w:pPr>
            <w:r w:rsidRPr="007E49CE">
              <w:t>Bunyip</w:t>
            </w:r>
          </w:p>
        </w:tc>
        <w:tc>
          <w:tcPr>
            <w:tcW w:w="1755" w:type="dxa"/>
          </w:tcPr>
          <w:p w14:paraId="1A3F47F1" w14:textId="77777777" w:rsidR="0080304F" w:rsidRDefault="0080304F" w:rsidP="0080304F">
            <w:pPr>
              <w:pStyle w:val="TableFont"/>
            </w:pPr>
            <w:r w:rsidRPr="007E49CE">
              <w:t>Ash</w:t>
            </w:r>
            <w:r>
              <w:t xml:space="preserve"> type</w:t>
            </w:r>
          </w:p>
        </w:tc>
        <w:tc>
          <w:tcPr>
            <w:tcW w:w="1755" w:type="dxa"/>
          </w:tcPr>
          <w:p w14:paraId="08B79C8E" w14:textId="77777777" w:rsidR="0080304F" w:rsidRDefault="0080304F" w:rsidP="0080304F">
            <w:pPr>
              <w:pStyle w:val="TableFont"/>
              <w:ind w:right="483"/>
              <w:jc w:val="right"/>
            </w:pPr>
            <w:r w:rsidRPr="00913656">
              <w:t>15</w:t>
            </w:r>
          </w:p>
        </w:tc>
        <w:tc>
          <w:tcPr>
            <w:tcW w:w="1756" w:type="dxa"/>
          </w:tcPr>
          <w:p w14:paraId="06FDA950" w14:textId="02E13158" w:rsidR="0080304F" w:rsidRDefault="0080304F" w:rsidP="0080304F">
            <w:pPr>
              <w:pStyle w:val="TableFont"/>
              <w:ind w:right="483"/>
              <w:jc w:val="right"/>
            </w:pPr>
            <w:r w:rsidRPr="00DC5649">
              <w:t>10</w:t>
            </w:r>
          </w:p>
        </w:tc>
        <w:tc>
          <w:tcPr>
            <w:tcW w:w="1756" w:type="dxa"/>
          </w:tcPr>
          <w:p w14:paraId="4C551E9B" w14:textId="73E92B0E" w:rsidR="0080304F" w:rsidRDefault="00876E5E" w:rsidP="0080304F">
            <w:pPr>
              <w:pStyle w:val="TableFont"/>
              <w:ind w:right="483"/>
              <w:jc w:val="right"/>
            </w:pPr>
            <w:r>
              <w:rPr>
                <w:rFonts w:cs="Arial"/>
              </w:rPr>
              <w:t>–</w:t>
            </w:r>
            <w:r w:rsidR="0080304F" w:rsidRPr="00DC5649">
              <w:t>5</w:t>
            </w:r>
          </w:p>
        </w:tc>
      </w:tr>
      <w:tr w:rsidR="0080304F" w14:paraId="4887425D" w14:textId="77777777" w:rsidTr="0045315A">
        <w:tc>
          <w:tcPr>
            <w:tcW w:w="1756" w:type="dxa"/>
          </w:tcPr>
          <w:p w14:paraId="78C764FE" w14:textId="77777777" w:rsidR="0080304F" w:rsidRDefault="0080304F" w:rsidP="0080304F">
            <w:pPr>
              <w:pStyle w:val="TableFont"/>
            </w:pPr>
            <w:r w:rsidRPr="007E49CE">
              <w:t>Bunyip</w:t>
            </w:r>
          </w:p>
        </w:tc>
        <w:tc>
          <w:tcPr>
            <w:tcW w:w="1755" w:type="dxa"/>
          </w:tcPr>
          <w:p w14:paraId="147A5FFC" w14:textId="77777777" w:rsidR="0080304F" w:rsidRDefault="0080304F" w:rsidP="0080304F">
            <w:pPr>
              <w:pStyle w:val="TableFont"/>
            </w:pPr>
            <w:r>
              <w:t>Mixed species</w:t>
            </w:r>
          </w:p>
        </w:tc>
        <w:tc>
          <w:tcPr>
            <w:tcW w:w="1755" w:type="dxa"/>
          </w:tcPr>
          <w:p w14:paraId="35C0F5D4" w14:textId="77777777" w:rsidR="0080304F" w:rsidRDefault="0080304F" w:rsidP="0080304F">
            <w:pPr>
              <w:pStyle w:val="TableFont"/>
              <w:ind w:right="483"/>
              <w:jc w:val="right"/>
            </w:pPr>
            <w:r w:rsidRPr="00913656">
              <w:t>15</w:t>
            </w:r>
          </w:p>
        </w:tc>
        <w:tc>
          <w:tcPr>
            <w:tcW w:w="1756" w:type="dxa"/>
          </w:tcPr>
          <w:p w14:paraId="46A39118" w14:textId="6495EC68" w:rsidR="0080304F" w:rsidRDefault="0080304F" w:rsidP="0080304F">
            <w:pPr>
              <w:pStyle w:val="TableFont"/>
              <w:ind w:right="483"/>
              <w:jc w:val="right"/>
            </w:pPr>
            <w:r w:rsidRPr="00DC5649">
              <w:t>0.4</w:t>
            </w:r>
          </w:p>
        </w:tc>
        <w:tc>
          <w:tcPr>
            <w:tcW w:w="1756" w:type="dxa"/>
          </w:tcPr>
          <w:p w14:paraId="0C021FB6" w14:textId="5325AA33" w:rsidR="0080304F" w:rsidRDefault="00876E5E" w:rsidP="0080304F">
            <w:pPr>
              <w:pStyle w:val="TableFont"/>
              <w:ind w:right="483"/>
              <w:jc w:val="right"/>
            </w:pPr>
            <w:r>
              <w:rPr>
                <w:rFonts w:cs="Arial"/>
              </w:rPr>
              <w:t>–</w:t>
            </w:r>
            <w:r w:rsidR="0080304F" w:rsidRPr="00DC5649">
              <w:t>14.6</w:t>
            </w:r>
          </w:p>
        </w:tc>
      </w:tr>
      <w:tr w:rsidR="0080304F" w14:paraId="30C288BF" w14:textId="77777777" w:rsidTr="0045315A">
        <w:tc>
          <w:tcPr>
            <w:tcW w:w="1756" w:type="dxa"/>
          </w:tcPr>
          <w:p w14:paraId="0809BAF0" w14:textId="729ACC83" w:rsidR="0080304F" w:rsidRDefault="0080304F" w:rsidP="0080304F">
            <w:pPr>
              <w:pStyle w:val="TableFont"/>
            </w:pPr>
            <w:r w:rsidRPr="007E49CE">
              <w:t>Yarra</w:t>
            </w:r>
            <w:r>
              <w:t xml:space="preserve"> tributaries</w:t>
            </w:r>
          </w:p>
        </w:tc>
        <w:tc>
          <w:tcPr>
            <w:tcW w:w="1755" w:type="dxa"/>
          </w:tcPr>
          <w:p w14:paraId="785531CC" w14:textId="77777777" w:rsidR="0080304F" w:rsidRDefault="0080304F" w:rsidP="0080304F">
            <w:pPr>
              <w:pStyle w:val="TableFont"/>
            </w:pPr>
            <w:r w:rsidRPr="007E49CE">
              <w:t>Ash</w:t>
            </w:r>
            <w:r>
              <w:t xml:space="preserve"> type</w:t>
            </w:r>
          </w:p>
        </w:tc>
        <w:tc>
          <w:tcPr>
            <w:tcW w:w="1755" w:type="dxa"/>
          </w:tcPr>
          <w:p w14:paraId="77644A2E" w14:textId="77777777" w:rsidR="0080304F" w:rsidRDefault="0080304F" w:rsidP="0080304F">
            <w:pPr>
              <w:pStyle w:val="TableFont"/>
              <w:ind w:right="483"/>
              <w:jc w:val="right"/>
            </w:pPr>
            <w:r w:rsidRPr="00913656">
              <w:t>52</w:t>
            </w:r>
          </w:p>
        </w:tc>
        <w:tc>
          <w:tcPr>
            <w:tcW w:w="1756" w:type="dxa"/>
          </w:tcPr>
          <w:p w14:paraId="5D7EB647" w14:textId="4EC001BA" w:rsidR="0080304F" w:rsidRDefault="0080304F" w:rsidP="0080304F">
            <w:pPr>
              <w:pStyle w:val="TableFont"/>
              <w:ind w:right="483"/>
              <w:jc w:val="right"/>
            </w:pPr>
            <w:r w:rsidRPr="00DC5649">
              <w:t>31</w:t>
            </w:r>
          </w:p>
        </w:tc>
        <w:tc>
          <w:tcPr>
            <w:tcW w:w="1756" w:type="dxa"/>
          </w:tcPr>
          <w:p w14:paraId="6123AD77" w14:textId="66FF58F1" w:rsidR="0080304F" w:rsidRDefault="00876E5E" w:rsidP="0080304F">
            <w:pPr>
              <w:pStyle w:val="TableFont"/>
              <w:ind w:right="483"/>
              <w:jc w:val="right"/>
            </w:pPr>
            <w:r>
              <w:rPr>
                <w:rFonts w:cs="Arial"/>
              </w:rPr>
              <w:t>–</w:t>
            </w:r>
            <w:r w:rsidR="0080304F" w:rsidRPr="00DC5649">
              <w:t>21</w:t>
            </w:r>
          </w:p>
        </w:tc>
      </w:tr>
      <w:tr w:rsidR="0080304F" w14:paraId="48BC1D49" w14:textId="77777777" w:rsidTr="0045315A">
        <w:tc>
          <w:tcPr>
            <w:tcW w:w="1756" w:type="dxa"/>
          </w:tcPr>
          <w:p w14:paraId="3204CB0C" w14:textId="37A4A1EB" w:rsidR="0080304F" w:rsidRDefault="0080304F" w:rsidP="0080304F">
            <w:pPr>
              <w:pStyle w:val="TableFont"/>
            </w:pPr>
            <w:r w:rsidRPr="007E49CE">
              <w:t>Yarra</w:t>
            </w:r>
            <w:r>
              <w:t xml:space="preserve"> tributaries</w:t>
            </w:r>
          </w:p>
        </w:tc>
        <w:tc>
          <w:tcPr>
            <w:tcW w:w="1755" w:type="dxa"/>
          </w:tcPr>
          <w:p w14:paraId="7CEE6605" w14:textId="77777777" w:rsidR="0080304F" w:rsidRDefault="0080304F" w:rsidP="0080304F">
            <w:pPr>
              <w:pStyle w:val="TableFont"/>
            </w:pPr>
            <w:r>
              <w:t>Mixed species</w:t>
            </w:r>
          </w:p>
        </w:tc>
        <w:tc>
          <w:tcPr>
            <w:tcW w:w="1755" w:type="dxa"/>
          </w:tcPr>
          <w:p w14:paraId="60CCC5C6" w14:textId="77777777" w:rsidR="0080304F" w:rsidRDefault="0080304F" w:rsidP="0080304F">
            <w:pPr>
              <w:pStyle w:val="TableFont"/>
              <w:ind w:right="483"/>
              <w:jc w:val="right"/>
            </w:pPr>
            <w:r w:rsidRPr="00913656">
              <w:t>15</w:t>
            </w:r>
          </w:p>
        </w:tc>
        <w:tc>
          <w:tcPr>
            <w:tcW w:w="1756" w:type="dxa"/>
          </w:tcPr>
          <w:p w14:paraId="2ACC35CA" w14:textId="5AE7A02F" w:rsidR="0080304F" w:rsidRDefault="0080304F" w:rsidP="0080304F">
            <w:pPr>
              <w:pStyle w:val="TableFont"/>
              <w:ind w:right="483"/>
              <w:jc w:val="right"/>
            </w:pPr>
            <w:r w:rsidRPr="00DC5649">
              <w:t>11</w:t>
            </w:r>
          </w:p>
        </w:tc>
        <w:tc>
          <w:tcPr>
            <w:tcW w:w="1756" w:type="dxa"/>
          </w:tcPr>
          <w:p w14:paraId="77385FB2" w14:textId="6D03FD66" w:rsidR="0080304F" w:rsidRDefault="00876E5E" w:rsidP="0080304F">
            <w:pPr>
              <w:pStyle w:val="TableFont"/>
              <w:ind w:right="483"/>
              <w:jc w:val="right"/>
            </w:pPr>
            <w:r>
              <w:rPr>
                <w:rFonts w:cs="Arial"/>
              </w:rPr>
              <w:t>–</w:t>
            </w:r>
            <w:r w:rsidR="0080304F" w:rsidRPr="00DC5649">
              <w:t>4</w:t>
            </w:r>
          </w:p>
        </w:tc>
      </w:tr>
      <w:tr w:rsidR="0080304F" w14:paraId="0652D1F0" w14:textId="77777777" w:rsidTr="0045315A">
        <w:tc>
          <w:tcPr>
            <w:tcW w:w="1756" w:type="dxa"/>
          </w:tcPr>
          <w:p w14:paraId="73BC4977" w14:textId="77777777" w:rsidR="0080304F" w:rsidRDefault="0080304F" w:rsidP="0080304F">
            <w:pPr>
              <w:pStyle w:val="TableFont"/>
            </w:pPr>
            <w:r>
              <w:t>Sum for all catchments</w:t>
            </w:r>
          </w:p>
        </w:tc>
        <w:tc>
          <w:tcPr>
            <w:tcW w:w="1755" w:type="dxa"/>
          </w:tcPr>
          <w:p w14:paraId="195B532B" w14:textId="77777777" w:rsidR="0080304F" w:rsidRDefault="0080304F" w:rsidP="0080304F">
            <w:pPr>
              <w:pStyle w:val="TableFont"/>
            </w:pPr>
            <w:r w:rsidRPr="007E49CE">
              <w:t>Ash</w:t>
            </w:r>
            <w:r>
              <w:t xml:space="preserve"> type</w:t>
            </w:r>
          </w:p>
        </w:tc>
        <w:tc>
          <w:tcPr>
            <w:tcW w:w="1755" w:type="dxa"/>
          </w:tcPr>
          <w:p w14:paraId="5F9252B0" w14:textId="77777777" w:rsidR="0080304F" w:rsidRDefault="0080304F" w:rsidP="0080304F">
            <w:pPr>
              <w:pStyle w:val="TableFont"/>
              <w:ind w:right="483"/>
              <w:jc w:val="right"/>
            </w:pPr>
            <w:r w:rsidRPr="00913656">
              <w:t>272</w:t>
            </w:r>
          </w:p>
        </w:tc>
        <w:tc>
          <w:tcPr>
            <w:tcW w:w="1756" w:type="dxa"/>
          </w:tcPr>
          <w:p w14:paraId="0B7B2160" w14:textId="65B6A967" w:rsidR="0080304F" w:rsidRDefault="0080304F" w:rsidP="0080304F">
            <w:pPr>
              <w:pStyle w:val="TableFont"/>
              <w:ind w:right="483"/>
              <w:jc w:val="right"/>
            </w:pPr>
            <w:r w:rsidRPr="00DC5649">
              <w:t>216</w:t>
            </w:r>
          </w:p>
        </w:tc>
        <w:tc>
          <w:tcPr>
            <w:tcW w:w="1756" w:type="dxa"/>
          </w:tcPr>
          <w:p w14:paraId="0DBC27E2" w14:textId="4D1D28D1" w:rsidR="0080304F" w:rsidRDefault="00876E5E" w:rsidP="0080304F">
            <w:pPr>
              <w:pStyle w:val="TableFont"/>
              <w:ind w:right="483"/>
              <w:jc w:val="right"/>
            </w:pPr>
            <w:r>
              <w:rPr>
                <w:rFonts w:cs="Arial"/>
              </w:rPr>
              <w:t>–</w:t>
            </w:r>
            <w:r w:rsidR="0080304F" w:rsidRPr="00DC5649">
              <w:t>56</w:t>
            </w:r>
          </w:p>
        </w:tc>
      </w:tr>
      <w:tr w:rsidR="0080304F" w14:paraId="721D9EB7" w14:textId="77777777" w:rsidTr="0045315A">
        <w:tc>
          <w:tcPr>
            <w:tcW w:w="1756" w:type="dxa"/>
          </w:tcPr>
          <w:p w14:paraId="324C8695" w14:textId="77777777" w:rsidR="0080304F" w:rsidRPr="007E49CE" w:rsidRDefault="0080304F" w:rsidP="0080304F">
            <w:pPr>
              <w:pStyle w:val="TableFont"/>
            </w:pPr>
            <w:r>
              <w:t>Sum for all catchments</w:t>
            </w:r>
          </w:p>
        </w:tc>
        <w:tc>
          <w:tcPr>
            <w:tcW w:w="1755" w:type="dxa"/>
          </w:tcPr>
          <w:p w14:paraId="3CD3C3EB" w14:textId="77777777" w:rsidR="0080304F" w:rsidRPr="007E49CE" w:rsidRDefault="0080304F" w:rsidP="0080304F">
            <w:pPr>
              <w:pStyle w:val="TableFont"/>
            </w:pPr>
            <w:r>
              <w:t>Mixed species</w:t>
            </w:r>
          </w:p>
        </w:tc>
        <w:tc>
          <w:tcPr>
            <w:tcW w:w="1755" w:type="dxa"/>
          </w:tcPr>
          <w:p w14:paraId="230FD448" w14:textId="77777777" w:rsidR="0080304F" w:rsidRDefault="0080304F" w:rsidP="0080304F">
            <w:pPr>
              <w:pStyle w:val="TableFont"/>
              <w:ind w:right="483"/>
              <w:jc w:val="right"/>
            </w:pPr>
            <w:r w:rsidRPr="00913656">
              <w:t>68</w:t>
            </w:r>
          </w:p>
        </w:tc>
        <w:tc>
          <w:tcPr>
            <w:tcW w:w="1756" w:type="dxa"/>
          </w:tcPr>
          <w:p w14:paraId="314F93B1" w14:textId="300663A1" w:rsidR="0080304F" w:rsidRDefault="0080304F" w:rsidP="0080304F">
            <w:pPr>
              <w:pStyle w:val="TableFont"/>
              <w:ind w:right="483"/>
              <w:jc w:val="right"/>
            </w:pPr>
            <w:r w:rsidRPr="00DC5649">
              <w:t>38</w:t>
            </w:r>
          </w:p>
        </w:tc>
        <w:tc>
          <w:tcPr>
            <w:tcW w:w="1756" w:type="dxa"/>
          </w:tcPr>
          <w:p w14:paraId="54E1B65B" w14:textId="72B3B004" w:rsidR="0080304F" w:rsidRDefault="00876E5E" w:rsidP="0080304F">
            <w:pPr>
              <w:pStyle w:val="TableFont"/>
              <w:ind w:right="483"/>
              <w:jc w:val="right"/>
            </w:pPr>
            <w:r>
              <w:rPr>
                <w:rFonts w:cs="Arial"/>
              </w:rPr>
              <w:t>–</w:t>
            </w:r>
            <w:r w:rsidR="0080304F">
              <w:t>30</w:t>
            </w:r>
          </w:p>
        </w:tc>
      </w:tr>
      <w:bookmarkEnd w:id="36"/>
      <w:tr w:rsidR="0080304F" w14:paraId="2F1F7828" w14:textId="77777777" w:rsidTr="0045315A">
        <w:tc>
          <w:tcPr>
            <w:tcW w:w="1756" w:type="dxa"/>
          </w:tcPr>
          <w:p w14:paraId="755ED4A1" w14:textId="77777777" w:rsidR="0080304F" w:rsidRPr="007E49CE" w:rsidRDefault="0080304F" w:rsidP="0080304F">
            <w:pPr>
              <w:pStyle w:val="TableFont"/>
            </w:pPr>
            <w:r>
              <w:t>Sum for all catchments</w:t>
            </w:r>
          </w:p>
        </w:tc>
        <w:tc>
          <w:tcPr>
            <w:tcW w:w="1755" w:type="dxa"/>
          </w:tcPr>
          <w:p w14:paraId="521011F5" w14:textId="77777777" w:rsidR="0080304F" w:rsidRPr="007E49CE" w:rsidRDefault="0080304F" w:rsidP="0080304F">
            <w:pPr>
              <w:pStyle w:val="TableFont"/>
            </w:pPr>
            <w:r>
              <w:t>Both Ash type and Mixed species</w:t>
            </w:r>
          </w:p>
        </w:tc>
        <w:tc>
          <w:tcPr>
            <w:tcW w:w="1755" w:type="dxa"/>
          </w:tcPr>
          <w:p w14:paraId="4D8DCC61" w14:textId="77777777" w:rsidR="0080304F" w:rsidRDefault="0080304F" w:rsidP="0080304F">
            <w:pPr>
              <w:pStyle w:val="TableFont"/>
              <w:ind w:right="483"/>
              <w:jc w:val="right"/>
            </w:pPr>
            <w:r w:rsidRPr="00913656">
              <w:t>340</w:t>
            </w:r>
          </w:p>
        </w:tc>
        <w:tc>
          <w:tcPr>
            <w:tcW w:w="1756" w:type="dxa"/>
          </w:tcPr>
          <w:p w14:paraId="53E6800D" w14:textId="3DA8DA1F" w:rsidR="0080304F" w:rsidRDefault="0080304F" w:rsidP="0080304F">
            <w:pPr>
              <w:pStyle w:val="TableFont"/>
              <w:ind w:right="483"/>
              <w:jc w:val="right"/>
            </w:pPr>
            <w:r w:rsidRPr="00DC5649">
              <w:t>254</w:t>
            </w:r>
          </w:p>
        </w:tc>
        <w:tc>
          <w:tcPr>
            <w:tcW w:w="1756" w:type="dxa"/>
          </w:tcPr>
          <w:p w14:paraId="4CCB5241" w14:textId="72747E57" w:rsidR="0080304F" w:rsidRDefault="00876E5E" w:rsidP="0080304F">
            <w:pPr>
              <w:pStyle w:val="TableFont"/>
              <w:ind w:right="483"/>
              <w:jc w:val="right"/>
            </w:pPr>
            <w:r>
              <w:rPr>
                <w:rFonts w:cs="Arial"/>
              </w:rPr>
              <w:t>–</w:t>
            </w:r>
            <w:r w:rsidR="0080304F">
              <w:t>86</w:t>
            </w:r>
          </w:p>
        </w:tc>
      </w:tr>
    </w:tbl>
    <w:p w14:paraId="655169A0" w14:textId="77777777" w:rsidR="00022403" w:rsidRDefault="00022403" w:rsidP="00022403">
      <w:pPr>
        <w:pStyle w:val="Para0"/>
      </w:pPr>
    </w:p>
    <w:p w14:paraId="3844994A" w14:textId="3DA7D7F1" w:rsidR="00A10554" w:rsidRDefault="00A10554" w:rsidP="00A10554">
      <w:pPr>
        <w:pStyle w:val="Para0"/>
        <w:pBdr>
          <w:top w:val="single" w:sz="4" w:space="1" w:color="auto"/>
          <w:left w:val="single" w:sz="4" w:space="4" w:color="auto"/>
          <w:bottom w:val="single" w:sz="4" w:space="1" w:color="auto"/>
          <w:right w:val="single" w:sz="4" w:space="4" w:color="auto"/>
        </w:pBdr>
        <w:spacing w:after="360"/>
      </w:pPr>
      <w:r w:rsidRPr="000A6466">
        <w:rPr>
          <w:b/>
          <w:bCs/>
        </w:rPr>
        <w:t>In summary</w:t>
      </w:r>
      <w:r w:rsidRPr="0020274D">
        <w:rPr>
          <w:b/>
          <w:bCs/>
        </w:rPr>
        <w:t>,</w:t>
      </w:r>
      <w:r>
        <w:t xml:space="preserve"> </w:t>
      </w:r>
      <w:r w:rsidR="008352D9">
        <w:t>a</w:t>
      </w:r>
      <w:r w:rsidR="0066657B" w:rsidRPr="00986786">
        <w:t>nnual average rates of timber harvesting, in terms of area logged, for the last decade have been similar to the rates of harvesting (in terms of area) that were</w:t>
      </w:r>
      <w:r w:rsidR="0066657B">
        <w:t xml:space="preserve"> </w:t>
      </w:r>
      <w:r w:rsidR="0066657B" w:rsidRPr="00986786">
        <w:t>projected for the continuation of status quo timber harvesting scenario in WWS2008</w:t>
      </w:r>
      <w:r w:rsidR="00876E5E">
        <w:t xml:space="preserve">, and set out in </w:t>
      </w:r>
      <w:r w:rsidR="00876E5E" w:rsidRPr="00D50CA7">
        <w:rPr>
          <w:i/>
        </w:rPr>
        <w:t>Management Standards and Procedures</w:t>
      </w:r>
      <w:r w:rsidR="00876E5E">
        <w:t xml:space="preserve"> </w:t>
      </w:r>
      <w:r w:rsidR="00876E5E">
        <w:fldChar w:fldCharType="begin" w:fldLock="1"/>
      </w:r>
      <w:r w:rsidR="00876E5E">
        <w:instrText>ADDIN CSL_CITATION {"citationItems":[{"id":"ITEM-1","itemData":{"author":[{"dropping-particle":"","family":"Department of Environment and Primary Industries","given":"","non-dropping-particle":"","parse-names":false,"suffix":""}],"id":"ITEM-1","issued":{"date-parts":[["2014"]]},"number-of-pages":"198","title":"Management Standards and Procedures for timber harvesting operations in Victoria's State Forests 2014","type":"report"},"uris":["http://www.mendeley.com/documents/?uuid=2c8245fc-a6ef-4ade-8144-25bd269bd368"]}],"mendeley":{"formattedCitation":"(Department of Environment and Primary Industries, 2014a)","plainTextFormattedCitation":"(Department of Environment and Primary Industries, 2014a)","previouslyFormattedCitation":"(Department of Environment and Primary Industries, 2014a)"},"properties":{"noteIndex":0},"schema":"https://github.com/citation-style-language/schema/raw/master/csl-citation.json"}</w:instrText>
      </w:r>
      <w:r w:rsidR="00876E5E">
        <w:fldChar w:fldCharType="separate"/>
      </w:r>
      <w:r w:rsidR="00876E5E" w:rsidRPr="007416C7">
        <w:rPr>
          <w:noProof/>
        </w:rPr>
        <w:t>(Department of Environment and Primary Industries, 2014a)</w:t>
      </w:r>
      <w:r w:rsidR="00876E5E">
        <w:fldChar w:fldCharType="end"/>
      </w:r>
      <w:r w:rsidR="0066657B" w:rsidRPr="00986786">
        <w:t>.</w:t>
      </w:r>
      <w:r w:rsidR="00C71A65">
        <w:t xml:space="preserve"> When considered across all catchments, the total</w:t>
      </w:r>
      <w:r w:rsidR="0080304F">
        <w:t xml:space="preserve"> area harvested has been about 25</w:t>
      </w:r>
      <w:r w:rsidR="00C71A65">
        <w:t xml:space="preserve">% lower than the rate that was </w:t>
      </w:r>
      <w:r w:rsidR="00876E5E">
        <w:t xml:space="preserve">projected </w:t>
      </w:r>
      <w:r w:rsidR="00C71A65">
        <w:t xml:space="preserve">in WWS2208 and subsequently mandated in the </w:t>
      </w:r>
      <w:r w:rsidR="00C71A65" w:rsidRPr="00D50CA7">
        <w:rPr>
          <w:i/>
        </w:rPr>
        <w:t>Management Standards and Procedures</w:t>
      </w:r>
      <w:r w:rsidR="00C71A65">
        <w:rPr>
          <w:i/>
        </w:rPr>
        <w:t>.</w:t>
      </w:r>
    </w:p>
    <w:p w14:paraId="55256AE6" w14:textId="0D636526" w:rsidR="00190D36" w:rsidRDefault="00022403" w:rsidP="00022403">
      <w:pPr>
        <w:pStyle w:val="Heading2"/>
      </w:pPr>
      <w:bookmarkStart w:id="37" w:name="_Toc36033092"/>
      <w:r>
        <w:t>Effect</w:t>
      </w:r>
      <w:r w:rsidR="005700FA">
        <w:t>s</w:t>
      </w:r>
      <w:r>
        <w:t xml:space="preserve"> of bushfires in Melbourne’s catchments since 2008</w:t>
      </w:r>
      <w:bookmarkEnd w:id="37"/>
    </w:p>
    <w:p w14:paraId="0547EC0A" w14:textId="37AC12B9" w:rsidR="002D4196" w:rsidRDefault="002D4196" w:rsidP="00022403">
      <w:pPr>
        <w:pStyle w:val="Para0"/>
      </w:pPr>
      <w:r>
        <w:t xml:space="preserve">Bushfires in 2009 affected 28% of Melbourne’s total forested catchment area, with severe fire affecting 11% of the total forested catchment area (see </w:t>
      </w:r>
      <w:r>
        <w:fldChar w:fldCharType="begin"/>
      </w:r>
      <w:r>
        <w:instrText xml:space="preserve"> REF _Ref24656357 \h </w:instrText>
      </w:r>
      <w:r>
        <w:fldChar w:fldCharType="separate"/>
      </w:r>
      <w:r w:rsidR="00062E08">
        <w:t xml:space="preserve">Table </w:t>
      </w:r>
      <w:r w:rsidR="00062E08">
        <w:rPr>
          <w:noProof/>
        </w:rPr>
        <w:t>3</w:t>
      </w:r>
      <w:r>
        <w:fldChar w:fldCharType="end"/>
      </w:r>
      <w:r>
        <w:t xml:space="preserve">, reproduced from </w:t>
      </w:r>
      <w:r>
        <w:fldChar w:fldCharType="begin" w:fldLock="1"/>
      </w:r>
      <w:r w:rsidR="00544257">
        <w:instrText>ADDIN CSL_CITATION {"citationItems":[{"id":"ITEM-1","itemData":{"DOI":"10.1016/j.jhydrol.2013.02.001","ISSN":"00221694","abstract":"In February 2009, wildfire affected nine catchments, or approximately 28% of forested catchment area that supplies water to the city of Melbourne, Australia. This has potential to significantly affect the long term water use of these Eucalyptus forests and the consequential water yield because of the ecohydrologic response of some eucalypt species. Approximately 11% of the catchment area was severely burnt by intense fire, where vegetation mortality is higher. Catchment scale models using a physically-based approach were developed for the fire-affected water supply catchments. Different inputs of climate and forest mortality after fire were used to examine the relative contributions of rainfall, fire severity, forest type and forest age on post-fire streamflow. Simulations show the effect of fire on long term streamflow is likely to depend on a number of factors, the relative influence of which changes as rainfall becomes more limiting. Under average rainfall conditions, total reduction in post-fire streamflow after 100 years estimated to be between 1.4% (~12 GL year-1) and 2.8% (~24 GL year-1) are an order of magnitude lower than reductions in total catchment inflow during the period of low rainfall between 1997 and 2009, in which reservoir inflow was reduced by nearly 37%. The main reasons for the lower than expected changes in water yield are that a lower proportion of the catchments were affected by severe fire, and so mortality within the fire area was relatively low, and that the average age of the forest canopy (93 years) is younger than what is generally considered old growth forest. This means that the baseline (no-fire) streamflow used for reference is lower than would be expected with older, mature forest. The greatest post-fire affect on total water yield was predicted for the O'Shannassy catchment. This is due to the average forest age, which is the oldest of any of the catchments, that it has the highest average rainfall (1680 mm year-1), and that it contains the largest proportion of ash-type forest severely burnt (38.7%). Under wetter than average conditions, change in post-fire water yield is largely explained by changes in average age of the forest. The rates of ET are largely determined by the conductance and interception of the forest canopy. Under lower than average rainfall conditions, when water becomes limiting, annual rainfall is the best predictor of post-fire change in water yield. Under conditions of low rainfall and low soil…","author":[{"dropping-particle":"","family":"Feikema","given":"Paul M.","non-dropping-particle":"","parse-names":false,"suffix":""},{"dropping-particle":"","family":"Sherwin","given":"Christopher B.","non-dropping-particle":"","parse-names":false,"suffix":""},{"dropping-particle":"","family":"Lane","given":"Patrick N.J.","non-dropping-particle":"","parse-names":false,"suffix":""}],"container-title":"Journal of Hydrology","id":"ITEM-1","issued":{"date-parts":[["2013"]]},"page":"1-16","publisher":"Elsevier B.V.","title":"Influence of climate, fire severity and forest mortality on predictions of long term streamflow: Potential effect of the 2009 wildfire on Melbourne's water supply catchments","type":"article-journal","volume":"488"},"uris":["http://www.mendeley.com/documents/?uuid=b8b6f6f1-35bf-4145-b4d6-974245f2e21b"]}],"mendeley":{"formattedCitation":"(Feikema &lt;i&gt;et al.&lt;/i&gt;, 2013)","manualFormatting":"Feikema et al., 2013)","plainTextFormattedCitation":"(Feikema et al., 2013)","previouslyFormattedCitation":"(Feikema &lt;i&gt;et al.&lt;/i&gt;, 2013)"},"properties":{"noteIndex":0},"schema":"https://github.com/citation-style-language/schema/raw/master/csl-citation.json"}</w:instrText>
      </w:r>
      <w:r>
        <w:fldChar w:fldCharType="separate"/>
      </w:r>
      <w:r w:rsidRPr="002D4196">
        <w:rPr>
          <w:noProof/>
        </w:rPr>
        <w:t xml:space="preserve">Feikema </w:t>
      </w:r>
      <w:r w:rsidR="001C1F9A" w:rsidRPr="001C1F9A">
        <w:rPr>
          <w:i/>
          <w:iCs/>
          <w:noProof/>
        </w:rPr>
        <w:t>et al.</w:t>
      </w:r>
      <w:r w:rsidRPr="002D4196">
        <w:rPr>
          <w:noProof/>
        </w:rPr>
        <w:t>, 2013)</w:t>
      </w:r>
      <w:r>
        <w:fldChar w:fldCharType="end"/>
      </w:r>
      <w:r>
        <w:t xml:space="preserve">. Severe fires burnt all of the Silver and Wallaby Creek catchments and </w:t>
      </w:r>
      <w:r w:rsidR="00D953A7">
        <w:t xml:space="preserve">most </w:t>
      </w:r>
      <w:r>
        <w:t xml:space="preserve">of the O’Shannassy, Tarago, Watts and Grace Burn catchments, although </w:t>
      </w:r>
      <w:r w:rsidR="00D953A7">
        <w:t xml:space="preserve">some of </w:t>
      </w:r>
      <w:r w:rsidR="00D953A7" w:rsidRPr="004021B4">
        <w:t>the</w:t>
      </w:r>
      <w:r w:rsidR="00D953A7">
        <w:t xml:space="preserve"> fire was not </w:t>
      </w:r>
      <w:r>
        <w:t>high severity.</w:t>
      </w:r>
    </w:p>
    <w:p w14:paraId="0A0E166B" w14:textId="0477D42C" w:rsidR="002D4196" w:rsidRPr="009217CB" w:rsidRDefault="002D4196" w:rsidP="002D4196">
      <w:pPr>
        <w:pStyle w:val="Caption"/>
      </w:pPr>
      <w:bookmarkStart w:id="38" w:name="_Ref24656357"/>
      <w:r>
        <w:lastRenderedPageBreak/>
        <w:t xml:space="preserve">Table </w:t>
      </w:r>
      <w:r>
        <w:fldChar w:fldCharType="begin"/>
      </w:r>
      <w:r>
        <w:instrText xml:space="preserve"> SEQ Table \* ARABIC </w:instrText>
      </w:r>
      <w:r>
        <w:fldChar w:fldCharType="separate"/>
      </w:r>
      <w:r w:rsidR="00062E08">
        <w:rPr>
          <w:noProof/>
        </w:rPr>
        <w:t>3</w:t>
      </w:r>
      <w:r>
        <w:fldChar w:fldCharType="end"/>
      </w:r>
      <w:bookmarkEnd w:id="38"/>
      <w:r>
        <w:t xml:space="preserve"> Catchments affected by 2009 bushfires </w:t>
      </w:r>
      <w:r w:rsidRPr="00A34E15">
        <w:fldChar w:fldCharType="begin" w:fldLock="1"/>
      </w:r>
      <w:r w:rsidR="00544257" w:rsidRPr="009217CB">
        <w:instrText>ADDIN CSL_CITATION {"citationItems":[{"id":"ITEM-1","itemData":{"DOI":"10.1016/j.jhydrol.2013.02.001","ISSN":"00221694","abstract":"In February 2009, wildfire affected nine catchments, or approximately 28% of forested catchment area that supplies water to the city of Melbourne, Australia. This has potential to significantly affect the long term water use of these Eucalyptus forests and the consequential water yield because of the ecohydrologic response of some eucalypt species. Approximately 11% of the catchment area was severely burnt by intense fire, where vegetation mortality is higher. Catchment scale models using a physically-based approach were developed for the fire-affected water supply catchments. Different inputs of climate and forest mortality after fire were used to examine the relative contributions of rainfall, fire severity, forest type and forest age on post-fire streamflow. Simulations show the effect of fire on long term streamflow is likely to depend on a number of factors, the relative influence of which changes as rainfall becomes more limiting. Under average rainfall conditions, total reduction in post-fire streamflow after 100 years estimated to be between 1.4% (~12 GL year-1) and 2.8% (~24 GL year-1) are an order of magnitude lower than reductions in total catchment inflow during the period of low rainfall between 1997 and 2009, in which reservoir inflow was reduced by nearly 37%. The main reasons for the lower than expected changes in water yield are that a lower proportion of the catchments were affected by severe fire, and so mortality within the fire area was relatively low, and that the average age of the forest canopy (93 years) is younger than what is generally considered old growth forest. This means that the baseline (no-fire) streamflow used for reference is lower than would be expected with older, mature forest. The greatest post-fire affect on total water yield was predicted for the O'Shannassy catchment. This is due to the average forest age, which is the oldest of any of the catchments, that it has the highest average rainfall (1680 mm year-1), and that it contains the largest proportion of ash-type forest severely burnt (38.7%). Under wetter than average conditions, change in post-fire water yield is largely explained by changes in average age of the forest. The rates of ET are largely determined by the conductance and interception of the forest canopy. Under lower than average rainfall conditions, when water becomes limiting, annual rainfall is the best predictor of post-fire change in water yield. Under conditions of low rainfall and low soil…","author":[{"dropping-particle":"","family":"Feikema","given":"Paul M.","non-dropping-particle":"","parse-names":false,"suffix":""},{"dropping-particle":"","family":"Sherwin","given":"Christopher B.","non-dropping-particle":"","parse-names":false,"suffix":""},{"dropping-particle":"","family":"Lane","given":"Patrick N.J.","non-dropping-particle":"","parse-names":false,"suffix":""}],"container-title":"Journal of Hydrology","id":"ITEM-1","issued":{"date-parts":[["2013"]]},"page":"1-16","publisher":"Elsevier B.V.","title":"Influence of climate, fire severity and forest mortality on predictions of long term streamflow: Potential effect of the 2009 wildfire on Melbourne's water supply catchments","type":"article-journal","volume":"488"},"uris":["http://www.mendeley.com/documents/?uuid=b8b6f6f1-35bf-4145-b4d6-974245f2e21b"]}],"mendeley":{"formattedCitation":"(Feikema &lt;i&gt;et al.&lt;/i&gt;, 2013)","plainTextFormattedCitation":"(Feikema et al., 2013)","previouslyFormattedCitation":"(Feikema &lt;i&gt;et al.&lt;/i&gt;, 2013)"},"properties":{"noteIndex":0},"schema":"https://github.com/citation-style-language/schema/raw/master/csl-citation.json"}</w:instrText>
      </w:r>
      <w:r w:rsidRPr="00A34E15">
        <w:fldChar w:fldCharType="separate"/>
      </w:r>
      <w:r w:rsidR="007416C7" w:rsidRPr="0020274D">
        <w:rPr>
          <w:noProof/>
        </w:rPr>
        <w:t xml:space="preserve">(Feikema </w:t>
      </w:r>
      <w:r w:rsidR="007416C7" w:rsidRPr="0020274D">
        <w:rPr>
          <w:i/>
          <w:noProof/>
        </w:rPr>
        <w:t>et al.</w:t>
      </w:r>
      <w:r w:rsidR="007416C7" w:rsidRPr="0020274D">
        <w:rPr>
          <w:noProof/>
        </w:rPr>
        <w:t>, 2013)</w:t>
      </w:r>
      <w:r w:rsidRPr="00A34E15">
        <w:fldChar w:fldCharType="end"/>
      </w:r>
    </w:p>
    <w:p w14:paraId="3336E093" w14:textId="3D216457" w:rsidR="002D4196" w:rsidRDefault="002D4196" w:rsidP="00A22204">
      <w:pPr>
        <w:pStyle w:val="Para0"/>
        <w:ind w:hanging="1134"/>
      </w:pPr>
      <w:r w:rsidRPr="002D4196">
        <w:rPr>
          <w:noProof/>
          <w:lang w:val="en-AU" w:eastAsia="en-AU"/>
        </w:rPr>
        <w:drawing>
          <wp:inline distT="0" distB="0" distL="0" distR="0" wp14:anchorId="45132922" wp14:editId="13FF113F">
            <wp:extent cx="6376190" cy="250317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90575" cy="2508817"/>
                    </a:xfrm>
                    <a:prstGeom prst="rect">
                      <a:avLst/>
                    </a:prstGeom>
                  </pic:spPr>
                </pic:pic>
              </a:graphicData>
            </a:graphic>
          </wp:inline>
        </w:drawing>
      </w:r>
    </w:p>
    <w:p w14:paraId="24376ED1" w14:textId="772444F2" w:rsidR="00022403" w:rsidRDefault="00022403" w:rsidP="00022403">
      <w:pPr>
        <w:pStyle w:val="Para0"/>
      </w:pPr>
      <w:r>
        <w:t xml:space="preserve">Tan </w:t>
      </w:r>
      <w:r w:rsidR="001C1F9A" w:rsidRPr="001C1F9A">
        <w:rPr>
          <w:i/>
        </w:rPr>
        <w:t>et al.</w:t>
      </w:r>
      <w:r>
        <w:t xml:space="preserve"> (2011) analysed streamflow data from the O’Shannassy and Maroondah catchments to test whether the increase in runoff predicted by Macaque modelling for the first two years followin</w:t>
      </w:r>
      <w:r w:rsidR="00C95629">
        <w:t xml:space="preserve">g the 2009 bushfires (Feikema </w:t>
      </w:r>
      <w:r w:rsidR="001C1F9A" w:rsidRPr="001C1F9A">
        <w:rPr>
          <w:i/>
        </w:rPr>
        <w:t>et al.</w:t>
      </w:r>
      <w:r>
        <w:t xml:space="preserve">, 2010) was evident in the observed streamflow data. Tan </w:t>
      </w:r>
      <w:r w:rsidR="001C1F9A" w:rsidRPr="001C1F9A">
        <w:rPr>
          <w:i/>
        </w:rPr>
        <w:t>et al.</w:t>
      </w:r>
      <w:r>
        <w:t xml:space="preserve"> (2011) found, “no clear indication of an increase in runoff following the 2009 bushfires. This is likely due to the relatively low (Maroondah) to moderate (O’Shannassy) burn severity and mortality.”</w:t>
      </w:r>
      <w:r w:rsidR="00D2786F">
        <w:t>.</w:t>
      </w:r>
      <w:r>
        <w:t xml:space="preserve"> Th</w:t>
      </w:r>
      <w:r w:rsidR="001E7B5C">
        <w:t xml:space="preserve">is streamflow </w:t>
      </w:r>
      <w:r>
        <w:t>result</w:t>
      </w:r>
      <w:r w:rsidR="001E7B5C">
        <w:t xml:space="preserve"> for Maroondah catchment is </w:t>
      </w:r>
      <w:r>
        <w:t>consistent with</w:t>
      </w:r>
      <w:r w:rsidR="002D4196">
        <w:t xml:space="preserve"> the Macaque model results from</w:t>
      </w:r>
      <w:r>
        <w:t xml:space="preserve"> </w:t>
      </w:r>
      <w:r w:rsidR="002D4196">
        <w:fldChar w:fldCharType="begin" w:fldLock="1"/>
      </w:r>
      <w:r w:rsidR="00544257">
        <w:instrText>ADDIN CSL_CITATION {"citationItems":[{"id":"ITEM-1","itemData":{"DOI":"10.1016/j.jhydrol.2013.02.001","ISSN":"00221694","abstract":"In February 2009, wildfire affected nine catchments, or approximately 28% of forested catchment area that supplies water to the city of Melbourne, Australia. This has potential to significantly affect the long term water use of these Eucalyptus forests and the consequential water yield because of the ecohydrologic response of some eucalypt species. Approximately 11% of the catchment area was severely burnt by intense fire, where vegetation mortality is higher. Catchment scale models using a physically-based approach were developed for the fire-affected water supply catchments. Different inputs of climate and forest mortality after fire were used to examine the relative contributions of rainfall, fire severity, forest type and forest age on post-fire streamflow. Simulations show the effect of fire on long term streamflow is likely to depend on a number of factors, the relative influence of which changes as rainfall becomes more limiting. Under average rainfall conditions, total reduction in post-fire streamflow after 100 years estimated to be between 1.4% (~12 GL year-1) and 2.8% (~24 GL year-1) are an order of magnitude lower than reductions in total catchment inflow during the period of low rainfall between 1997 and 2009, in which reservoir inflow was reduced by nearly 37%. The main reasons for the lower than expected changes in water yield are that a lower proportion of the catchments were affected by severe fire, and so mortality within the fire area was relatively low, and that the average age of the forest canopy (93 years) is younger than what is generally considered old growth forest. This means that the baseline (no-fire) streamflow used for reference is lower than would be expected with older, mature forest. The greatest post-fire affect on total water yield was predicted for the O'Shannassy catchment. This is due to the average forest age, which is the oldest of any of the catchments, that it has the highest average rainfall (1680 mm year-1), and that it contains the largest proportion of ash-type forest severely burnt (38.7%). Under wetter than average conditions, change in post-fire water yield is largely explained by changes in average age of the forest. The rates of ET are largely determined by the conductance and interception of the forest canopy. Under lower than average rainfall conditions, when water becomes limiting, annual rainfall is the best predictor of post-fire change in water yield. Under conditions of low rainfall and low soil…","author":[{"dropping-particle":"","family":"Feikema","given":"Paul M.","non-dropping-particle":"","parse-names":false,"suffix":""},{"dropping-particle":"","family":"Sherwin","given":"Christopher B.","non-dropping-particle":"","parse-names":false,"suffix":""},{"dropping-particle":"","family":"Lane","given":"Patrick N.J.","non-dropping-particle":"","parse-names":false,"suffix":""}],"container-title":"Journal of Hydrology","id":"ITEM-1","issued":{"date-parts":[["2013"]]},"page":"1-16","publisher":"Elsevier B.V.","title":"Influence of climate, fire severity and forest mortality on predictions of long term streamflow: Potential effect of the 2009 wildfire on Melbourne's water supply catchments","type":"article-journal","volume":"488"},"uris":["http://www.mendeley.com/documents/?uuid=b8b6f6f1-35bf-4145-b4d6-974245f2e21b"]},{"id":"ITEM-2","itemData":{"author":[{"dropping-particle":"","family":"Feikema","given":"Paul","non-dropping-particle":"","parse-names":false,"suffix":""},{"dropping-particle":"","family":"Sherwin","given":"C","non-dropping-particle":"","parse-names":false,"suffix":""},{"dropping-particle":"","family":"Lane","given":"Patrick","non-dropping-particle":"","parse-names":false,"suffix":""}],"id":"ITEM-2","issued":{"date-parts":[["2010"]]},"title":"Estimates of long-term impacts of the 2009 wildfires on streamflow in the Melbourne water supply catchments","type":"report"},"uris":["http://www.mendeley.com/documents/?uuid=9bcc2e71-a4a6-4fb9-8cb4-f7fd59d2514d"]}],"mendeley":{"formattedCitation":"(Feikema &lt;i&gt;et al.&lt;/i&gt;, 2010, 2013)","manualFormatting":"Feikema et al. (2010, 2013)","plainTextFormattedCitation":"(Feikema et al., 2010, 2013)","previouslyFormattedCitation":"(Feikema &lt;i&gt;et al.&lt;/i&gt;, 2010, 2013)"},"properties":{"noteIndex":0},"schema":"https://github.com/citation-style-language/schema/raw/master/csl-citation.json"}</w:instrText>
      </w:r>
      <w:r w:rsidR="002D4196">
        <w:fldChar w:fldCharType="separate"/>
      </w:r>
      <w:r w:rsidR="002D4196" w:rsidRPr="0063610A">
        <w:rPr>
          <w:noProof/>
        </w:rPr>
        <w:t xml:space="preserve">Feikema </w:t>
      </w:r>
      <w:r w:rsidR="001C1F9A" w:rsidRPr="001C1F9A">
        <w:rPr>
          <w:i/>
          <w:iCs/>
          <w:noProof/>
        </w:rPr>
        <w:t>et al.</w:t>
      </w:r>
      <w:r w:rsidR="002D4196" w:rsidRPr="0063610A">
        <w:rPr>
          <w:noProof/>
        </w:rPr>
        <w:t xml:space="preserve"> </w:t>
      </w:r>
      <w:r w:rsidR="002D4196">
        <w:rPr>
          <w:noProof/>
        </w:rPr>
        <w:t>(</w:t>
      </w:r>
      <w:r w:rsidR="002D4196" w:rsidRPr="0063610A">
        <w:rPr>
          <w:noProof/>
        </w:rPr>
        <w:t>2010, 2013)</w:t>
      </w:r>
      <w:r w:rsidR="002D4196">
        <w:fldChar w:fldCharType="end"/>
      </w:r>
      <w:r w:rsidR="001E7B5C">
        <w:t>:</w:t>
      </w:r>
      <w:r w:rsidR="002D4196">
        <w:t xml:space="preserve"> </w:t>
      </w:r>
      <w:r w:rsidR="001E7B5C">
        <w:t xml:space="preserve">that is, Tan </w:t>
      </w:r>
      <w:r w:rsidR="001E7B5C" w:rsidRPr="0020274D">
        <w:rPr>
          <w:i/>
          <w:iCs/>
        </w:rPr>
        <w:t>et al</w:t>
      </w:r>
      <w:r w:rsidR="001E7B5C">
        <w:t xml:space="preserve">. found </w:t>
      </w:r>
      <w:r>
        <w:t xml:space="preserve">streamflow increases in </w:t>
      </w:r>
      <w:r w:rsidRPr="00282C71">
        <w:t xml:space="preserve">the Maroondah catchment </w:t>
      </w:r>
      <w:r>
        <w:t>were negligible (2</w:t>
      </w:r>
      <w:r w:rsidR="00D2786F">
        <w:rPr>
          <w:rFonts w:cs="Arial"/>
        </w:rPr>
        <w:t>–</w:t>
      </w:r>
      <w:r>
        <w:t>5%) for the first few years following the 2009 bushfire. However</w:t>
      </w:r>
      <w:r w:rsidR="00D2786F">
        <w:t>,</w:t>
      </w:r>
      <w:r>
        <w:t xml:space="preserve"> for O’Shannassy</w:t>
      </w:r>
      <w:r w:rsidR="001E7B5C">
        <w:t xml:space="preserve"> catchment</w:t>
      </w:r>
      <w:r>
        <w:t xml:space="preserve">, the Macaque modelling in Feikema </w:t>
      </w:r>
      <w:r w:rsidR="001C1F9A" w:rsidRPr="001C1F9A">
        <w:rPr>
          <w:i/>
        </w:rPr>
        <w:t>et al.</w:t>
      </w:r>
      <w:r>
        <w:t xml:space="preserve"> (2010) </w:t>
      </w:r>
      <w:r w:rsidR="001E7B5C">
        <w:t>predicted an initial runoff increase of 15</w:t>
      </w:r>
      <w:r w:rsidR="001E7B5C">
        <w:rPr>
          <w:rFonts w:cs="Arial"/>
        </w:rPr>
        <w:t>–</w:t>
      </w:r>
      <w:r w:rsidR="001E7B5C">
        <w:t xml:space="preserve">40%, but </w:t>
      </w:r>
      <w:r>
        <w:t xml:space="preserve">the Tan </w:t>
      </w:r>
      <w:r w:rsidR="001C1F9A" w:rsidRPr="001C1F9A">
        <w:rPr>
          <w:i/>
        </w:rPr>
        <w:t>et al.</w:t>
      </w:r>
      <w:r>
        <w:t xml:space="preserve"> (2011) analysis</w:t>
      </w:r>
      <w:r w:rsidR="001E7B5C">
        <w:t xml:space="preserve"> did not detect that in the streamflow data</w:t>
      </w:r>
      <w:r>
        <w:t>.</w:t>
      </w:r>
    </w:p>
    <w:p w14:paraId="629AF042" w14:textId="166092FF" w:rsidR="00022403" w:rsidRDefault="005833A1" w:rsidP="00022403">
      <w:pPr>
        <w:pStyle w:val="Para0"/>
      </w:pPr>
      <w:r>
        <w:fldChar w:fldCharType="begin" w:fldLock="1"/>
      </w:r>
      <w:r w:rsidR="00544257">
        <w:instrText>ADDIN CSL_CITATION {"citationItems":[{"id":"ITEM-1","itemData":{"DOI":"10.1016/j.foreco.2012.04.003","ISSN":"03781127","abstract":"Large fires can have marked impacts on forest ecology and consequently on hydrology, including catchment water yields. Decisions on levels of fire protection and post-fire forest management require accurate information on the consequences of fire, including forest hydrological responses. In February 2009, wildfires burnt large areas of wet sclerophyll eucalypt forest in catchments supplying water to the city of Melbourne, Australia. Fire intensity was highly spatially variable, ranging from low intensity surface fire to high intensity crown fire. A survey of forest survival in three catchments 10-15. months after the fires revealed a good correspondence between overstorey survival and a satellite-based fire severity rating.In forests dominated by Eucalyptus regnans and Eucalyptus delegatensis, overstorey survival was close to zero in the two highest fire severity classes (crown burn and crown scorch). However, in areas mapped as intermediate fire severity (moderate crown scorch), survival varied markedly both spatially and between forest age classes.In fire tolerant eucalypt species, in mixed stands of Eucalyptus obliqua, Eucalyptus radiata, Eucalyptus cypellocarpa, and Eucalyptus baxteri, and in pure stands of Eucalyptus nitens, survival was &gt;90% at high and intermediate fire severity. For all overstorey eucalypt species, survival in the lowest two fire severity classes (light or no crown scorch) was &gt;75% but in most of these areas the fire temporarily removed the understorey.The fire severity mapping and ground survey indicate large areas of senescing (approximately 250-300. years old) and smaller areas of 70, 83 and 158. year old E. regnans and E. delegatensis forest were killed. Based on past research, this would be expected to result in very dense seedling regeneration, increasing evapotranspiration and decreasing catchment yields over the coming 2-3 decades. However, 2. years after the fire there were substantial differences between the three catchments in the density of seedling regeneration in these fire-killed areas. Where seedling densities are high, water yields are likely to decline. Areas with little or no eucalypt regeneration, however, might provide a persistent water yield increase. In addition, large areas of 70-158. year old E. regnans and E. delegatensis overstorey survived the fire where fire severity was low. Removal of the understorey from these areas and suppression of understorey regrowth by the intact overstorey canopy might res…","author":[{"dropping-particle":"","family":"Benyon","given":"Richard G.","non-dropping-particle":"","parse-names":false,"suffix":""},{"dropping-particle":"","family":"Lane","given":"Patrick N.J.","non-dropping-particle":"","parse-names":false,"suffix":""}],"container-title":"Forest Ecology and Management","id":"ITEM-1","issued":{"date-parts":[["2013"]]},"page":"197-207","title":"Ground and satellite-based assessments of wet eucalypt forest survival and regeneration for predicting long-term hydrological responses to a large wildfire","type":"article-journal","volume":"294"},"uris":["http://www.mendeley.com/documents/?uuid=701a8b8a-0670-4611-a12c-9751aed867e5"]}],"mendeley":{"formattedCitation":"(Benyon and Lane, 2013)","manualFormatting":"Benyon and Lane (2013)","plainTextFormattedCitation":"(Benyon and Lane, 2013)","previouslyFormattedCitation":"(Benyon and Lane, 2013)"},"properties":{"noteIndex":0},"schema":"https://github.com/citation-style-language/schema/raw/master/csl-citation.json"}</w:instrText>
      </w:r>
      <w:r>
        <w:fldChar w:fldCharType="separate"/>
      </w:r>
      <w:r>
        <w:rPr>
          <w:noProof/>
        </w:rPr>
        <w:t>Benyon and Lane</w:t>
      </w:r>
      <w:r w:rsidRPr="005833A1">
        <w:rPr>
          <w:noProof/>
        </w:rPr>
        <w:t xml:space="preserve"> </w:t>
      </w:r>
      <w:r>
        <w:rPr>
          <w:noProof/>
        </w:rPr>
        <w:t>(</w:t>
      </w:r>
      <w:r w:rsidRPr="005833A1">
        <w:rPr>
          <w:noProof/>
        </w:rPr>
        <w:t>2013)</w:t>
      </w:r>
      <w:r>
        <w:fldChar w:fldCharType="end"/>
      </w:r>
      <w:r>
        <w:t xml:space="preserve"> </w:t>
      </w:r>
      <w:r w:rsidR="00022403">
        <w:t xml:space="preserve">used an extensive field survey to </w:t>
      </w:r>
      <w:r w:rsidR="00DF54B9">
        <w:t xml:space="preserve">test for a </w:t>
      </w:r>
      <w:r w:rsidR="00022403">
        <w:t xml:space="preserve">link </w:t>
      </w:r>
      <w:r w:rsidR="00DF54B9">
        <w:t xml:space="preserve">between </w:t>
      </w:r>
      <w:r w:rsidR="00022403">
        <w:t>forest survival</w:t>
      </w:r>
      <w:r w:rsidR="0020274D">
        <w:t>, which is linked to future yield response,</w:t>
      </w:r>
      <w:r w:rsidR="00022403">
        <w:t xml:space="preserve"> </w:t>
      </w:r>
      <w:r w:rsidR="00DF54B9">
        <w:t xml:space="preserve">and five classes of </w:t>
      </w:r>
      <w:r w:rsidR="00022403">
        <w:t>fire severity. They collected data from 307 field plots in Maroondah, O’Shannassy and Wallaby Creek catchments, and examined the correlation between satellite-derived burn severity,</w:t>
      </w:r>
      <w:r w:rsidR="00DF54B9">
        <w:t xml:space="preserve"> and</w:t>
      </w:r>
      <w:r w:rsidR="00022403">
        <w:t xml:space="preserve"> forest survival and health 1 and 2 years after the 2009 fires</w:t>
      </w:r>
      <w:r w:rsidR="001B2ACE">
        <w:t xml:space="preserve">, by </w:t>
      </w:r>
      <w:r w:rsidR="00022403">
        <w:t>qualitatively assess</w:t>
      </w:r>
      <w:r w:rsidR="001B2ACE">
        <w:t>ing</w:t>
      </w:r>
      <w:r w:rsidR="00022403">
        <w:t xml:space="preserve"> seedling regeneration density. In the ash forests, </w:t>
      </w:r>
      <w:r w:rsidR="00DF54B9">
        <w:t xml:space="preserve">seedling </w:t>
      </w:r>
      <w:r w:rsidR="00022403">
        <w:t>mortality was near 100% in the two highest burn</w:t>
      </w:r>
      <w:r w:rsidR="00D2786F">
        <w:t>-</w:t>
      </w:r>
      <w:r w:rsidR="00022403">
        <w:t>severity classes and near zero in the two lowest burn</w:t>
      </w:r>
      <w:r w:rsidR="00D2786F">
        <w:t>-</w:t>
      </w:r>
      <w:r w:rsidR="00022403">
        <w:t>severity classes. In the moderate burn</w:t>
      </w:r>
      <w:r w:rsidR="00D2786F">
        <w:t>-</w:t>
      </w:r>
      <w:r w:rsidR="00022403">
        <w:t xml:space="preserve">severity class, </w:t>
      </w:r>
      <w:r w:rsidR="00DF54B9">
        <w:t xml:space="preserve">seedling </w:t>
      </w:r>
      <w:r w:rsidR="00022403">
        <w:t>mortality was mostly either near 100% or near zero. In this class, mortality tended to be higher in senescing stands</w:t>
      </w:r>
      <w:r w:rsidR="00D86388">
        <w:t xml:space="preserve"> of mature trees</w:t>
      </w:r>
      <w:r w:rsidR="00022403">
        <w:t>. They found that</w:t>
      </w:r>
      <w:r w:rsidR="0020274D">
        <w:t xml:space="preserve"> the likelihood of</w:t>
      </w:r>
      <w:r w:rsidR="00022403">
        <w:t xml:space="preserve"> survival </w:t>
      </w:r>
      <w:r w:rsidR="00D86388">
        <w:t xml:space="preserve">of mature trees </w:t>
      </w:r>
      <w:r w:rsidR="00022403">
        <w:t xml:space="preserve">was </w:t>
      </w:r>
      <w:r w:rsidR="0020274D">
        <w:t>high</w:t>
      </w:r>
      <w:r w:rsidR="00DF54B9">
        <w:t xml:space="preserve"> </w:t>
      </w:r>
      <w:r w:rsidR="00022403">
        <w:t xml:space="preserve">in </w:t>
      </w:r>
      <w:r w:rsidR="005A53E6">
        <w:t>mixed-species</w:t>
      </w:r>
      <w:r w:rsidR="00805139">
        <w:t xml:space="preserve"> eucalypt forest</w:t>
      </w:r>
      <w:r w:rsidR="00022403">
        <w:t xml:space="preserve">. </w:t>
      </w:r>
      <w:r w:rsidR="00DF54B9">
        <w:t>I</w:t>
      </w:r>
      <w:r w:rsidR="00022403">
        <w:t>n fire-killed ash stands</w:t>
      </w:r>
      <w:r w:rsidR="00DF54B9">
        <w:t>, the density of seedling regeneration</w:t>
      </w:r>
      <w:r w:rsidR="00022403">
        <w:t xml:space="preserve"> varied markedly between the three catchments</w:t>
      </w:r>
      <w:r w:rsidR="00DF54B9">
        <w:t xml:space="preserve">. </w:t>
      </w:r>
      <w:r w:rsidR="001B2ACE">
        <w:t>Seedling regeneration was sparse</w:t>
      </w:r>
      <w:r w:rsidR="00022403">
        <w:t xml:space="preserve"> in Maroondah, </w:t>
      </w:r>
      <w:r w:rsidR="001B2ACE">
        <w:t xml:space="preserve">sparse </w:t>
      </w:r>
      <w:r w:rsidR="00022403">
        <w:t>to moderate in O’Shannassy</w:t>
      </w:r>
      <w:r w:rsidR="00DF54B9">
        <w:t>,</w:t>
      </w:r>
      <w:r w:rsidR="00022403">
        <w:t xml:space="preserve"> and generally </w:t>
      </w:r>
      <w:r w:rsidR="001B2ACE">
        <w:t xml:space="preserve">it was dense </w:t>
      </w:r>
      <w:r w:rsidR="00022403">
        <w:t xml:space="preserve">in Wallaby Creek. </w:t>
      </w:r>
      <w:r w:rsidR="001B2ACE">
        <w:t xml:space="preserve">Sparse </w:t>
      </w:r>
      <w:r w:rsidR="00022403">
        <w:t xml:space="preserve">regeneration </w:t>
      </w:r>
      <w:r w:rsidR="00D2786F">
        <w:t xml:space="preserve">was </w:t>
      </w:r>
      <w:r w:rsidR="00022403">
        <w:t>an indicator that the</w:t>
      </w:r>
      <w:r w:rsidR="001B2ACE">
        <w:t xml:space="preserve">re might not be a </w:t>
      </w:r>
      <w:r w:rsidR="00022403">
        <w:t xml:space="preserve">long-term streamflow decline </w:t>
      </w:r>
      <w:r w:rsidR="001B2ACE">
        <w:t xml:space="preserve">after the 2009 event, as would be </w:t>
      </w:r>
      <w:r w:rsidR="00022403">
        <w:t>predicted by the Kuczera curve and the Macaque model</w:t>
      </w:r>
      <w:r w:rsidR="001B2ACE">
        <w:t>, or that streamflow might be only somewhat reduced.</w:t>
      </w:r>
    </w:p>
    <w:p w14:paraId="33D58915" w14:textId="22B9ABAF" w:rsidR="002820AE" w:rsidRDefault="0063610A" w:rsidP="00190D36">
      <w:pPr>
        <w:pStyle w:val="Para0"/>
      </w:pPr>
      <w:r>
        <w:lastRenderedPageBreak/>
        <w:fldChar w:fldCharType="begin" w:fldLock="1"/>
      </w:r>
      <w:r w:rsidR="00544257">
        <w:instrText>ADDIN CSL_CITATION {"citationItems":[{"id":"ITEM-1","itemData":{"DOI":"10.1016/j.jhydrol.2013.02.001","ISSN":"00221694","abstract":"In February 2009, wildfire affected nine catchments, or approximately 28% of forested catchment area that supplies water to the city of Melbourne, Australia. This has potential to significantly affect the long term water use of these Eucalyptus forests and the consequential water yield because of the ecohydrologic response of some eucalypt species. Approximately 11% of the catchment area was severely burnt by intense fire, where vegetation mortality is higher. Catchment scale models using a physically-based approach were developed for the fire-affected water supply catchments. Different inputs of climate and forest mortality after fire were used to examine the relative contributions of rainfall, fire severity, forest type and forest age on post-fire streamflow. Simulations show the effect of fire on long term streamflow is likely to depend on a number of factors, the relative influence of which changes as rainfall becomes more limiting. Under average rainfall conditions, total reduction in post-fire streamflow after 100 years estimated to be between 1.4% (~12 GL year-1) and 2.8% (~24 GL year-1) are an order of magnitude lower than reductions in total catchment inflow during the period of low rainfall between 1997 and 2009, in which reservoir inflow was reduced by nearly 37%. The main reasons for the lower than expected changes in water yield are that a lower proportion of the catchments were affected by severe fire, and so mortality within the fire area was relatively low, and that the average age of the forest canopy (93 years) is younger than what is generally considered old growth forest. This means that the baseline (no-fire) streamflow used for reference is lower than would be expected with older, mature forest. The greatest post-fire affect on total water yield was predicted for the O'Shannassy catchment. This is due to the average forest age, which is the oldest of any of the catchments, that it has the highest average rainfall (1680 mm year-1), and that it contains the largest proportion of ash-type forest severely burnt (38.7%). Under wetter than average conditions, change in post-fire water yield is largely explained by changes in average age of the forest. The rates of ET are largely determined by the conductance and interception of the forest canopy. Under lower than average rainfall conditions, when water becomes limiting, annual rainfall is the best predictor of post-fire change in water yield. Under conditions of low rainfall and low soil…","author":[{"dropping-particle":"","family":"Feikema","given":"Paul M.","non-dropping-particle":"","parse-names":false,"suffix":""},{"dropping-particle":"","family":"Sherwin","given":"Christopher B.","non-dropping-particle":"","parse-names":false,"suffix":""},{"dropping-particle":"","family":"Lane","given":"Patrick N.J.","non-dropping-particle":"","parse-names":false,"suffix":""}],"container-title":"Journal of Hydrology","id":"ITEM-1","issued":{"date-parts":[["2013"]]},"page":"1-16","publisher":"Elsevier B.V.","title":"Influence of climate, fire severity and forest mortality on predictions of long term streamflow: Potential effect of the 2009 wildfire on Melbourne's water supply catchments","type":"article-journal","volume":"488"},"uris":["http://www.mendeley.com/documents/?uuid=b8b6f6f1-35bf-4145-b4d6-974245f2e21b"]},{"id":"ITEM-2","itemData":{"author":[{"dropping-particle":"","family":"Feikema","given":"Paul","non-dropping-particle":"","parse-names":false,"suffix":""},{"dropping-particle":"","family":"Sherwin","given":"C","non-dropping-particle":"","parse-names":false,"suffix":""},{"dropping-particle":"","family":"Lane","given":"Patrick","non-dropping-particle":"","parse-names":false,"suffix":""}],"id":"ITEM-2","issued":{"date-parts":[["2010"]]},"title":"Estimates of long-term impacts of the 2009 wildfires on streamflow in the Melbourne water supply catchments","type":"report"},"uris":["http://www.mendeley.com/documents/?uuid=9bcc2e71-a4a6-4fb9-8cb4-f7fd59d2514d"]}],"mendeley":{"formattedCitation":"(Feikema &lt;i&gt;et al.&lt;/i&gt;, 2010, 2013)","manualFormatting":"Feikema et al. (2010, 2013)","plainTextFormattedCitation":"(Feikema et al., 2010, 2013)","previouslyFormattedCitation":"(Feikema &lt;i&gt;et al.&lt;/i&gt;, 2010, 2013)"},"properties":{"noteIndex":0},"schema":"https://github.com/citation-style-language/schema/raw/master/csl-citation.json"}</w:instrText>
      </w:r>
      <w:r>
        <w:fldChar w:fldCharType="separate"/>
      </w:r>
      <w:r w:rsidRPr="0063610A">
        <w:rPr>
          <w:noProof/>
        </w:rPr>
        <w:t xml:space="preserve">Feikema </w:t>
      </w:r>
      <w:r w:rsidR="001C1F9A" w:rsidRPr="001C1F9A">
        <w:rPr>
          <w:i/>
          <w:iCs/>
          <w:noProof/>
        </w:rPr>
        <w:t>et al.</w:t>
      </w:r>
      <w:r w:rsidRPr="0063610A">
        <w:rPr>
          <w:noProof/>
        </w:rPr>
        <w:t xml:space="preserve"> </w:t>
      </w:r>
      <w:r>
        <w:rPr>
          <w:noProof/>
        </w:rPr>
        <w:t>(</w:t>
      </w:r>
      <w:r w:rsidRPr="0063610A">
        <w:rPr>
          <w:noProof/>
        </w:rPr>
        <w:t>2010, 2013)</w:t>
      </w:r>
      <w:r>
        <w:fldChar w:fldCharType="end"/>
      </w:r>
      <w:r>
        <w:t xml:space="preserve"> </w:t>
      </w:r>
      <w:r w:rsidR="00022403">
        <w:t>modelled impact</w:t>
      </w:r>
      <w:r w:rsidR="00E5249F">
        <w:t>s</w:t>
      </w:r>
      <w:r w:rsidR="00022403">
        <w:t xml:space="preserve"> of</w:t>
      </w:r>
      <w:r w:rsidR="00E5249F">
        <w:t xml:space="preserve"> the</w:t>
      </w:r>
      <w:r w:rsidR="00022403">
        <w:t xml:space="preserve"> 2009 bushfires on streamflow yield across all eleven of Melbourne’s water supply catchments, including those that are protected and those that are subject to timber harvesting.</w:t>
      </w:r>
      <w:r w:rsidR="00E5249F">
        <w:t xml:space="preserve"> </w:t>
      </w:r>
      <w:r w:rsidR="0020274D">
        <w:t>By applying</w:t>
      </w:r>
      <w:r w:rsidR="00E5249F">
        <w:t xml:space="preserve"> </w:t>
      </w:r>
      <w:r w:rsidR="00946795">
        <w:t>Macaque</w:t>
      </w:r>
      <w:r w:rsidR="0020274D">
        <w:t xml:space="preserve"> models of the catchments,</w:t>
      </w:r>
      <w:r w:rsidR="00946795">
        <w:t xml:space="preserve"> </w:t>
      </w:r>
      <w:r w:rsidR="00E5249F">
        <w:t>they pr</w:t>
      </w:r>
      <w:r w:rsidR="00CD5700">
        <w:t>oje</w:t>
      </w:r>
      <w:r w:rsidR="00E5249F">
        <w:t xml:space="preserve">cted </w:t>
      </w:r>
      <w:r w:rsidR="00946795">
        <w:t xml:space="preserve">the </w:t>
      </w:r>
      <w:r w:rsidR="00E5249F">
        <w:t xml:space="preserve">fires’ </w:t>
      </w:r>
      <w:r w:rsidR="00946795">
        <w:t xml:space="preserve">potential impacts over the next 100 years, </w:t>
      </w:r>
      <w:r w:rsidR="0020274D">
        <w:t>using</w:t>
      </w:r>
      <w:r w:rsidR="00946795">
        <w:t xml:space="preserve"> satellite-based </w:t>
      </w:r>
      <w:r w:rsidR="00E5249F">
        <w:t xml:space="preserve">mapping of </w:t>
      </w:r>
      <w:r w:rsidR="00946795">
        <w:t xml:space="preserve">fire severity </w:t>
      </w:r>
      <w:r w:rsidR="00E5249F">
        <w:t>to predict the fires’ likely effects on forest age</w:t>
      </w:r>
      <w:r w:rsidR="00946795">
        <w:t xml:space="preserve">. </w:t>
      </w:r>
      <w:r w:rsidR="00581A69">
        <w:t xml:space="preserve">They said: </w:t>
      </w:r>
    </w:p>
    <w:p w14:paraId="1782D186" w14:textId="62EB688E" w:rsidR="00190D36" w:rsidRDefault="00022403" w:rsidP="0020274D">
      <w:pPr>
        <w:pStyle w:val="Para0"/>
        <w:spacing w:before="60"/>
        <w:ind w:left="709"/>
      </w:pPr>
      <w:r w:rsidRPr="0020274D">
        <w:rPr>
          <w:i/>
          <w:iCs/>
        </w:rPr>
        <w:t>Under average rainfall conditions, total reduction in post-ﬁre streamﬂow after 100 years was estimated to be between 12 and 24 GL/year, or between 1.4% and 2.8%</w:t>
      </w:r>
      <w:r w:rsidR="0063610A" w:rsidRPr="0020274D">
        <w:rPr>
          <w:i/>
          <w:iCs/>
        </w:rPr>
        <w:t xml:space="preserve"> of mean annual streamflow</w:t>
      </w:r>
      <w:r w:rsidRPr="0020274D">
        <w:rPr>
          <w:i/>
          <w:iCs/>
        </w:rPr>
        <w:t xml:space="preserve">. Lower than expected predicted changes in </w:t>
      </w:r>
      <w:r w:rsidR="007877C7" w:rsidRPr="0020274D">
        <w:rPr>
          <w:i/>
          <w:iCs/>
        </w:rPr>
        <w:t>catchment water yield</w:t>
      </w:r>
      <w:r w:rsidRPr="0020274D">
        <w:rPr>
          <w:i/>
          <w:iCs/>
        </w:rPr>
        <w:t xml:space="preserve"> were because (i) a low proportion of the catchments was affected by severe ﬁre, and tree mortality within the ﬁre area was relatively low, and (ii) the average pre-ﬁre age of the forest canopy (93 years, in the ﬁre affected areas) means it is not considered mature, and so the baseline (no-ﬁre) streamﬂow used for reference is lower than would be expected with an older, mature forest which uses less water</w:t>
      </w:r>
      <w:r>
        <w:t>.</w:t>
      </w:r>
    </w:p>
    <w:p w14:paraId="212CA453" w14:textId="7C16FDF4" w:rsidR="0063610A" w:rsidRDefault="002366B5" w:rsidP="007A4327">
      <w:pPr>
        <w:pStyle w:val="Para0"/>
        <w:pBdr>
          <w:top w:val="single" w:sz="4" w:space="1" w:color="auto"/>
          <w:left w:val="single" w:sz="4" w:space="4" w:color="auto"/>
          <w:bottom w:val="single" w:sz="4" w:space="1" w:color="auto"/>
          <w:right w:val="single" w:sz="4" w:space="4" w:color="auto"/>
          <w:between w:val="single" w:sz="4" w:space="1" w:color="auto"/>
          <w:bar w:val="single" w:sz="4" w:color="auto"/>
        </w:pBdr>
        <w:spacing w:after="60"/>
      </w:pPr>
      <w:r>
        <w:rPr>
          <w:b/>
          <w:bCs/>
        </w:rPr>
        <w:t>In summary,</w:t>
      </w:r>
      <w:r w:rsidR="0063610A">
        <w:t xml:space="preserve"> </w:t>
      </w:r>
      <w:r w:rsidR="007877C7">
        <w:t>catchment water yield</w:t>
      </w:r>
      <w:r w:rsidR="002D4196">
        <w:t>s in the O’Shannassy, Tarago, Watts, Armstrong Creek, Wallaby Creek and Silver Creek catchments are likely to be impacted by the recovery of the forests from the 2009 bushfires, over coming decades.</w:t>
      </w:r>
      <w:r w:rsidR="003B287F">
        <w:t xml:space="preserve"> These reductions in </w:t>
      </w:r>
      <w:r w:rsidR="007877C7">
        <w:t>catchment water yield</w:t>
      </w:r>
      <w:r w:rsidR="003B287F">
        <w:t xml:space="preserve"> should be accounted for in water supply planning for Melbourne. If future modelling occur</w:t>
      </w:r>
      <w:r w:rsidR="00FF1A2F">
        <w:t>s</w:t>
      </w:r>
      <w:r w:rsidR="003B287F">
        <w:t xml:space="preserve">, initial tree ages </w:t>
      </w:r>
      <w:r w:rsidR="00FF1A2F">
        <w:t xml:space="preserve">used </w:t>
      </w:r>
      <w:r w:rsidR="003B287F">
        <w:t>in the modelling should be consistent with the fire severity, extent and mortality mapped after the 2009 fires.</w:t>
      </w:r>
    </w:p>
    <w:p w14:paraId="534BE9F8" w14:textId="77777777" w:rsidR="0087709E" w:rsidRDefault="0087709E" w:rsidP="00190D36">
      <w:pPr>
        <w:pStyle w:val="Para0"/>
      </w:pPr>
    </w:p>
    <w:p w14:paraId="6A60A6A2" w14:textId="601B711E" w:rsidR="00022403" w:rsidRDefault="00022403" w:rsidP="00022403">
      <w:pPr>
        <w:pStyle w:val="Heading2"/>
      </w:pPr>
      <w:bookmarkStart w:id="39" w:name="_Ref24621410"/>
      <w:bookmarkStart w:id="40" w:name="_Toc36033093"/>
      <w:r>
        <w:t xml:space="preserve">Modelled impact on </w:t>
      </w:r>
      <w:r w:rsidR="007877C7">
        <w:t>catchment water yield</w:t>
      </w:r>
      <w:r>
        <w:t xml:space="preserve"> of cessation of logging since </w:t>
      </w:r>
      <w:bookmarkEnd w:id="39"/>
      <w:r w:rsidR="00E80142" w:rsidRPr="00E80142">
        <w:t>WWS2008</w:t>
      </w:r>
      <w:bookmarkEnd w:id="40"/>
    </w:p>
    <w:p w14:paraId="18E57284" w14:textId="0D08E826" w:rsidR="00022403" w:rsidRDefault="00022403" w:rsidP="00022403">
      <w:pPr>
        <w:pStyle w:val="Para0"/>
      </w:pPr>
      <w:r>
        <w:t xml:space="preserve">WWS2008 applied the Macaque model to project the hydrological impacts of timber harvesting on </w:t>
      </w:r>
      <w:r w:rsidR="007877C7">
        <w:t>catchment water yield</w:t>
      </w:r>
      <w:r>
        <w:t xml:space="preserve">. The Macaque modelling was used to estimate, in each catchment, the annual evapotranspiration for a forest of a given type and age since last disturbance. Feikema </w:t>
      </w:r>
      <w:r w:rsidR="001C1F9A" w:rsidRPr="001C1F9A">
        <w:rPr>
          <w:i/>
        </w:rPr>
        <w:t>et al.</w:t>
      </w:r>
      <w:r>
        <w:t xml:space="preserve"> (2006) derived separate evapotranspiration versus age curves in each catchment for each of the (up to nine) different forest types.</w:t>
      </w:r>
      <w:r w:rsidR="005274D8">
        <w:t xml:space="preserve"> Woodstock then used these </w:t>
      </w:r>
      <w:r w:rsidR="00637803">
        <w:t xml:space="preserve">curves, of </w:t>
      </w:r>
      <w:r w:rsidR="007877C7">
        <w:t>catchment water yield</w:t>
      </w:r>
      <w:r w:rsidR="005274D8">
        <w:t xml:space="preserve"> versus age</w:t>
      </w:r>
      <w:r w:rsidR="00637803">
        <w:t>,</w:t>
      </w:r>
      <w:r w:rsidR="005274D8">
        <w:t xml:space="preserve"> to maximise </w:t>
      </w:r>
      <w:r w:rsidR="007877C7">
        <w:t>catchment water yield</w:t>
      </w:r>
      <w:r w:rsidR="005274D8">
        <w:t xml:space="preserve"> constrain</w:t>
      </w:r>
      <w:r w:rsidR="00637803">
        <w:t>ed</w:t>
      </w:r>
      <w:r w:rsidR="005274D8">
        <w:t xml:space="preserve"> </w:t>
      </w:r>
      <w:r w:rsidR="00637803">
        <w:t xml:space="preserve">by </w:t>
      </w:r>
      <w:r w:rsidR="005274D8">
        <w:t>the required saw</w:t>
      </w:r>
      <w:r w:rsidR="00CF39A9">
        <w:t xml:space="preserve"> </w:t>
      </w:r>
      <w:r w:rsidR="005274D8">
        <w:t xml:space="preserve">log volume to be supplied for each particular scenario </w:t>
      </w:r>
      <w:r w:rsidR="005274D8">
        <w:fldChar w:fldCharType="begin" w:fldLock="1"/>
      </w:r>
      <w:r w:rsidR="00544257">
        <w:instrText>ADDIN CSL_CITATION {"citationItems":[{"id":"ITEM-1","itemData":{"author":[{"dropping-particle":"","family":"Battad","given":"Dionisio","non-dropping-particle":"","parse-names":false,"suffix":""},{"dropping-particle":"","family":"Sutton","given":"Mike","non-dropping-particle":"","parse-names":false,"suffix":""},{"dropping-particle":"","family":"Miller","given":"Valerie","non-dropping-particle":"","parse-names":false,"suffix":""},{"dropping-particle":"","family":"Villanueva","given":"Grimaldo","non-dropping-particle":"","parse-names":false,"suffix":""},{"dropping-particle":"","family":"Li","given":"Cai","non-dropping-particle":"","parse-names":false,"suffix":""}],"id":"ITEM-1","issued":{"date-parts":[["2007"]]},"title":"Impacts of Forest Management Options on Water Yield, Central Gippsland and Dandenong Forest Management Areas","type":"report"},"uris":["http://www.mendeley.com/documents/?uuid=83a2b213-afa9-4944-aae1-17ec38b38eef"]},{"id":"ITEM-2","itemData":{"author":[{"dropping-particle":"","family":"Salkin","given":"Owen","non-dropping-particle":"","parse-names":false,"suffix":""}],"id":"ITEM-2","issued":{"date-parts":[["2008"]]},"title":"Modelling of Options for Management of Catchments supplying Water to Melbourne - Post 2006/07 Fire, Thinning and Reduced Rainfall","type":"report"},"uris":["http://www.mendeley.com/documents/?uuid=64647e23-365b-4ef0-b8af-baddaf7ff91c"]}],"mendeley":{"formattedCitation":"(Battad &lt;i&gt;et al.&lt;/i&gt;, 2007; Salkin, 2008)","plainTextFormattedCitation":"(Battad et al., 2007; Salkin, 2008)","previouslyFormattedCitation":"(Battad &lt;i&gt;et al.&lt;/i&gt;, 2007; Salkin, 2008)"},"properties":{"noteIndex":0},"schema":"https://github.com/citation-style-language/schema/raw/master/csl-citation.json"}</w:instrText>
      </w:r>
      <w:r w:rsidR="005274D8">
        <w:fldChar w:fldCharType="separate"/>
      </w:r>
      <w:r w:rsidR="007416C7" w:rsidRPr="007416C7">
        <w:rPr>
          <w:noProof/>
        </w:rPr>
        <w:t xml:space="preserve">(Battad </w:t>
      </w:r>
      <w:r w:rsidR="007416C7" w:rsidRPr="007416C7">
        <w:rPr>
          <w:i/>
          <w:noProof/>
        </w:rPr>
        <w:t>et al.</w:t>
      </w:r>
      <w:r w:rsidR="007416C7" w:rsidRPr="007416C7">
        <w:rPr>
          <w:noProof/>
        </w:rPr>
        <w:t>, 2007; Salkin, 2008)</w:t>
      </w:r>
      <w:r w:rsidR="005274D8">
        <w:fldChar w:fldCharType="end"/>
      </w:r>
      <w:r w:rsidR="005274D8">
        <w:t>.</w:t>
      </w:r>
    </w:p>
    <w:p w14:paraId="3566E761" w14:textId="4B79584A" w:rsidR="00022403" w:rsidRDefault="00022403" w:rsidP="00022403">
      <w:pPr>
        <w:pStyle w:val="Para0"/>
      </w:pPr>
      <w:r>
        <w:t xml:space="preserve">The only relevant new modelling undertaken since WWS2008 is that described in Taylor </w:t>
      </w:r>
      <w:r w:rsidR="001C1F9A" w:rsidRPr="001C1F9A">
        <w:rPr>
          <w:i/>
        </w:rPr>
        <w:t>et al.</w:t>
      </w:r>
      <w:r>
        <w:t xml:space="preserve"> (2018, 2019).</w:t>
      </w:r>
      <w:r>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fldChar w:fldCharType="separate"/>
      </w:r>
      <w:r w:rsidRPr="005838E8">
        <w:rPr>
          <w:noProof/>
        </w:rPr>
        <w:t xml:space="preserve">Taylor </w:t>
      </w:r>
      <w:r w:rsidR="001C1F9A" w:rsidRPr="001C1F9A">
        <w:rPr>
          <w:i/>
          <w:iCs/>
          <w:noProof/>
        </w:rPr>
        <w:t>et al.</w:t>
      </w:r>
      <w:r w:rsidRPr="00DF521A">
        <w:rPr>
          <w:iCs/>
          <w:noProof/>
        </w:rPr>
        <w:t xml:space="preserve"> </w:t>
      </w:r>
      <w:r>
        <w:rPr>
          <w:noProof/>
        </w:rPr>
        <w:t>(</w:t>
      </w:r>
      <w:r w:rsidRPr="005838E8">
        <w:rPr>
          <w:noProof/>
        </w:rPr>
        <w:t>2019)</w:t>
      </w:r>
      <w:r>
        <w:fldChar w:fldCharType="end"/>
      </w:r>
      <w:r>
        <w:t xml:space="preserve"> developed a model of the impact of timber harvesting on </w:t>
      </w:r>
      <w:r w:rsidR="007877C7">
        <w:t>catchment water yield</w:t>
      </w:r>
      <w:r>
        <w:t xml:space="preserve"> in the Thomson catchment, based upon direct implementation of the </w:t>
      </w:r>
      <w:r w:rsidR="00637803">
        <w:t xml:space="preserve">Kuczera curve </w:t>
      </w:r>
      <w:r>
        <w:fldChar w:fldCharType="begin" w:fldLock="1"/>
      </w:r>
      <w:r w:rsidR="0005134E">
        <w:instrText>ADDIN CSL_CITATION {"citationItems":[{"id":"ITEM-1","itemData":{"DOI":"10.1016/0022-1694(87)90054-0","author":[{"dropping-particle":"","family":"Kuczera","given":"George","non-dropping-particle":"","parse-names":false,"suffix":""}],"container-title":"Journal of Hydrology","id":"ITEM-1","issued":{"date-parts":[["1987"]]},"page":"215-236","publisher":"Journal of Hydrology","publisher-place":"Amsterdam","title":"Predction of water yield reductions following a bushfire in ash-mixed species eucalypt forest","type":"article-journal","volume":"94"},"uris":["http://www.mendeley.com/documents/?uuid=c54d6334-d945-4271-8c27-85eb8def6bf7"]}],"mendeley":{"formattedCitation":"(Kuczera, 1987)","plainTextFormattedCitation":"(Kuczera, 1987)","previouslyFormattedCitation":"(Kuczera, 1987)"},"properties":{"noteIndex":0},"schema":"https://github.com/citation-style-language/schema/raw/master/csl-citation.json"}</w:instrText>
      </w:r>
      <w:r>
        <w:fldChar w:fldCharType="separate"/>
      </w:r>
      <w:r w:rsidRPr="00D80479">
        <w:rPr>
          <w:noProof/>
        </w:rPr>
        <w:t>(Kuczera, 1987)</w:t>
      </w:r>
      <w:r>
        <w:fldChar w:fldCharType="end"/>
      </w:r>
      <w:r>
        <w:t xml:space="preserve">. The computational framework was similar to the RAFIS and BISY models </w:t>
      </w:r>
      <w:r>
        <w:fldChar w:fldCharType="begin" w:fldLock="1"/>
      </w:r>
      <w:r w:rsidR="00544257">
        <w:instrText>ADDIN CSL_CITATION {"citationItems":[{"id":"ITEM-1","itemData":{"author":[{"dropping-particle":"","family":"Mannik","given":"Rose","non-dropping-particle":"","parse-names":false,"suffix":""},{"dropping-particle":"","family":"Murphy","given":"Rachel","non-dropping-particle":"","parse-names":false,"suffix":""},{"dropping-particle":"","family":"Herron","given":"Andrew","non-dropping-particle":"","parse-names":false,"suffix":""}],"id":"ITEM-1","issue":"July","issued":{"date-parts":[["2009"]]},"title":"Combined impact of the 2003 and 2006/07 bushfires on streamflow","type":"report"},"uris":["http://www.mendeley.com/documents/?uuid=2f672efe-43fe-464e-aa7f-e6ec81ed3c5c"]},{"id":"ITEM-2","itemData":{"abstract":"The February 2009 Victorian bushfires affected about 30% of Melbourne's water supply catchments. Previous bushfire experience and research for Melbourne's water supply catchments and southeastern Australia indicates forest regrowth following fires can reduce long-term streamflow due to increase water use of some tree species. The impacts will depend on the spatial distribution of fire extent and severity, vegetation type, age and mortality. Being able to estimate the likely impacts is of great benefit to water managers. This paper describes development and application of a spatial tool for Rapid Assessment of Forest Impacts on Streamflow (RAFIS) (Jacobs, 2014). The tool was developed by adapting an existing modelling framework based on streamflow response functions (BISY, Hill et al. 2008; Mannik et al. 2013) into a user-friendly product to assess the fire impacts. RAFIS was applied to Melbourne's four major water supply catchments to assess broad scale relative changes in annual streamflow resulting from the 2009 fires. Outputs were compared with a physically-based Macaque modelling for Melbourne (Feikema et al. 2011, 2013). Despite the two different approaches, results were found to be reasonably consistent when the post-fire regrowth/recovery assumptions in RAFIS and Macaque were reconciled. Given trade-off between complexity and simplicity, RAFIS is a practically useful rapid assessment tool with adequate empirical representation of forest impacts on streamflow by scaling the standard response functions derived from the more complex Macaque model. This project demonstrated several unique features from a practical hydrology perspective. First, the RAFIS tool was developed by leveraging off an existing modelling framework and specialist knowledge. Second, its application to Melbourne's water supply catchments was undertaken jointly with the consultant to build in-house technical capability. Third, the tool allows for multiple future forest disturbance scenarios to be simulated, providing continuity in impact assessment given future fire regimes. Finally, flexibilities have been built-in to enable ongoing forest regrowth research outcomes to be incorporated. The tool enhances Melbourne Water capacity for fire season preparedness, emergency response, catchment management and long-term water planning.","author":[{"dropping-particle":"","family":"Tan","given":"Kim Seong","non-dropping-particle":"","parse-names":false,"suffix":""},{"dropping-particle":"","family":"Nathan","given":"Rory","non-dropping-particle":"","parse-names":false,"suffix":""},{"dropping-particle":"","family":"Brown","given":"Rachel","non-dropping-particle":"","parse-names":false,"suffix":""},{"dropping-particle":"","family":"Chan","given":"Helena","non-dropping-particle":"","parse-names":false,"suffix":""},{"dropping-particle":"","family":"Rhodes","given":"Bruce","non-dropping-particle":"","parse-names":false,"suffix":""},{"dropping-particle":"","family":"Haydon","given":"Shane","non-dropping-particle":"","parse-names":false,"suffix":""}],"container-title":"The Art and Science of Water - 36th Hydrology and Water Resources Symposium, HWRS 2015","id":"ITEM-2","issued":{"date-parts":[["2015"]]},"page":"478-485","title":"Rapid assessment of forest fire impacts on streamflow for Melbourne","type":"article-journal"},"uris":["http://www.mendeley.com/documents/?uuid=fe924aab-e177-483d-a3a3-3c00cd3be277"]}],"mendeley":{"formattedCitation":"(Mannik &lt;i&gt;et al.&lt;/i&gt;, 2009; Tan &lt;i&gt;et al.&lt;/i&gt;, 2015)","plainTextFormattedCitation":"(Mannik et al., 2009; Tan et al., 2015)","previouslyFormattedCitation":"(Mannik &lt;i&gt;et al.&lt;/i&gt;, 2009; Tan &lt;i&gt;et al.&lt;/i&gt;, 2015)"},"properties":{"noteIndex":0},"schema":"https://github.com/citation-style-language/schema/raw/master/csl-citation.json"}</w:instrText>
      </w:r>
      <w:r>
        <w:fldChar w:fldCharType="separate"/>
      </w:r>
      <w:r w:rsidR="007416C7" w:rsidRPr="007416C7">
        <w:rPr>
          <w:noProof/>
        </w:rPr>
        <w:t xml:space="preserve">(Mannik </w:t>
      </w:r>
      <w:r w:rsidR="007416C7" w:rsidRPr="007416C7">
        <w:rPr>
          <w:i/>
          <w:noProof/>
        </w:rPr>
        <w:t>et al.</w:t>
      </w:r>
      <w:r w:rsidR="007416C7" w:rsidRPr="007416C7">
        <w:rPr>
          <w:noProof/>
        </w:rPr>
        <w:t xml:space="preserve">, 2009; Tan </w:t>
      </w:r>
      <w:r w:rsidR="007416C7" w:rsidRPr="007416C7">
        <w:rPr>
          <w:i/>
          <w:noProof/>
        </w:rPr>
        <w:t>et al.</w:t>
      </w:r>
      <w:r w:rsidR="007416C7" w:rsidRPr="007416C7">
        <w:rPr>
          <w:noProof/>
        </w:rPr>
        <w:t>, 2015)</w:t>
      </w:r>
      <w:r>
        <w:fldChar w:fldCharType="end"/>
      </w:r>
      <w:r w:rsidR="00727238">
        <w:t xml:space="preserve">, </w:t>
      </w:r>
      <w:r w:rsidR="002F3E1F">
        <w:t xml:space="preserve">but </w:t>
      </w:r>
      <w:r w:rsidR="00727238">
        <w:t xml:space="preserve">the </w:t>
      </w:r>
      <w:r w:rsidR="002A3246">
        <w:t xml:space="preserve">RAFIS and BISY models explicitly allow for variation in the evapotranspiration curves with forest type and mean annual rainfall, which may have not been incorporated in the </w:t>
      </w:r>
      <w:r w:rsidR="005A188C">
        <w:t xml:space="preserve">Taylor </w:t>
      </w:r>
      <w:r w:rsidR="001C1F9A" w:rsidRPr="001C1F9A">
        <w:rPr>
          <w:i/>
        </w:rPr>
        <w:t>et al.</w:t>
      </w:r>
      <w:r w:rsidR="005A188C">
        <w:t xml:space="preserve"> modelling.</w:t>
      </w:r>
    </w:p>
    <w:p w14:paraId="47C73B45" w14:textId="44BE9804" w:rsidR="00022403" w:rsidRDefault="00022403" w:rsidP="00022403">
      <w:pPr>
        <w:pStyle w:val="Para0"/>
      </w:pPr>
      <w:r>
        <w:t xml:space="preserve">Figure 4 of </w:t>
      </w:r>
      <w:r>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fldChar w:fldCharType="separate"/>
      </w:r>
      <w:r w:rsidRPr="00985B3E">
        <w:rPr>
          <w:noProof/>
        </w:rPr>
        <w:t xml:space="preserve">Taylor </w:t>
      </w:r>
      <w:r w:rsidR="001C1F9A" w:rsidRPr="001C1F9A">
        <w:rPr>
          <w:i/>
          <w:iCs/>
          <w:noProof/>
        </w:rPr>
        <w:t>et al.</w:t>
      </w:r>
      <w:r w:rsidRPr="00DF521A">
        <w:rPr>
          <w:iCs/>
          <w:noProof/>
        </w:rPr>
        <w:t xml:space="preserve"> (</w:t>
      </w:r>
      <w:r w:rsidRPr="00985B3E">
        <w:rPr>
          <w:noProof/>
        </w:rPr>
        <w:t>2019)</w:t>
      </w:r>
      <w:r>
        <w:fldChar w:fldCharType="end"/>
      </w:r>
      <w:r>
        <w:t xml:space="preserve"> presents a time series of projected mean annual </w:t>
      </w:r>
      <w:r w:rsidR="007877C7">
        <w:t>catchment water yield</w:t>
      </w:r>
      <w:r>
        <w:t xml:space="preserve"> from the Thomson catchment for continuation of status quo timber harvesting, against two </w:t>
      </w:r>
      <w:r>
        <w:lastRenderedPageBreak/>
        <w:t xml:space="preserve">hypothetical scenarios: cessation of logging in 1995 and cessation of logging in 2019. The figure shows that increases in </w:t>
      </w:r>
      <w:r w:rsidR="007877C7">
        <w:t>catchment water yield</w:t>
      </w:r>
      <w:r>
        <w:t xml:space="preserve">s accelerate </w:t>
      </w:r>
      <w:r w:rsidR="001743CA">
        <w:t>during</w:t>
      </w:r>
      <w:r>
        <w:t xml:space="preserve"> the first few decades after the assumed cessation of timber harvesting, </w:t>
      </w:r>
      <w:r w:rsidR="001743CA">
        <w:t>and then</w:t>
      </w:r>
      <w:r>
        <w:t xml:space="preserve"> </w:t>
      </w:r>
      <w:r w:rsidR="007877C7">
        <w:t>catchment water yield</w:t>
      </w:r>
      <w:r>
        <w:t xml:space="preserve">s gradually stabilise. Considering the cessation in 2019 scenario only, </w:t>
      </w:r>
      <w:r w:rsidR="001743CA">
        <w:t>the</w:t>
      </w:r>
      <w:r w:rsidR="00FD4C6A">
        <w:t xml:space="preserve"> </w:t>
      </w:r>
      <w:r w:rsidR="004C52C5">
        <w:t xml:space="preserve">Taylor </w:t>
      </w:r>
      <w:r w:rsidR="004C52C5" w:rsidRPr="0020274D">
        <w:rPr>
          <w:i/>
          <w:iCs/>
        </w:rPr>
        <w:t>et al</w:t>
      </w:r>
      <w:r w:rsidR="004C52C5">
        <w:t>.</w:t>
      </w:r>
      <w:r w:rsidR="001743CA">
        <w:t xml:space="preserve"> f</w:t>
      </w:r>
      <w:r>
        <w:t>igure shows an increase</w:t>
      </w:r>
      <w:r w:rsidR="004C52C5" w:rsidRPr="004C52C5">
        <w:t xml:space="preserve"> </w:t>
      </w:r>
      <w:r w:rsidR="004C52C5">
        <w:t>of 20 GL/year</w:t>
      </w:r>
      <w:r>
        <w:t xml:space="preserve"> in annual </w:t>
      </w:r>
      <w:r w:rsidR="007877C7">
        <w:t>catchment water yield</w:t>
      </w:r>
      <w:r>
        <w:t xml:space="preserve"> </w:t>
      </w:r>
      <w:r w:rsidR="00FD4C6A">
        <w:t xml:space="preserve">by 2064 </w:t>
      </w:r>
      <w:r>
        <w:t xml:space="preserve">for the Thomson (45 years after cessation). </w:t>
      </w:r>
      <w:r w:rsidR="004C52C5">
        <w:t>Over those 45 years (2019–2064), t</w:t>
      </w:r>
      <w:r>
        <w:t xml:space="preserve">he cumulative increase in </w:t>
      </w:r>
      <w:r w:rsidR="007877C7">
        <w:t>catchment water yield</w:t>
      </w:r>
      <w:r>
        <w:t xml:space="preserve"> for the Thomson was projected to be approximately 420 GL</w:t>
      </w:r>
      <w:r w:rsidR="004C52C5">
        <w:t xml:space="preserve"> (</w:t>
      </w:r>
      <w:r w:rsidR="004C52C5" w:rsidRPr="00985B3E">
        <w:rPr>
          <w:noProof/>
        </w:rPr>
        <w:t xml:space="preserve">Taylor </w:t>
      </w:r>
      <w:r w:rsidR="004C52C5" w:rsidRPr="001C1F9A">
        <w:rPr>
          <w:i/>
          <w:iCs/>
          <w:noProof/>
        </w:rPr>
        <w:t>et al.</w:t>
      </w:r>
      <w:r w:rsidR="004C52C5">
        <w:rPr>
          <w:noProof/>
        </w:rPr>
        <w:t xml:space="preserve">, </w:t>
      </w:r>
      <w:r w:rsidR="004C52C5" w:rsidRPr="00985B3E">
        <w:rPr>
          <w:noProof/>
        </w:rPr>
        <w:t>2019</w:t>
      </w:r>
      <w:r w:rsidR="004C52C5">
        <w:rPr>
          <w:noProof/>
        </w:rPr>
        <w:t>)</w:t>
      </w:r>
      <w:r>
        <w:t>.</w:t>
      </w:r>
    </w:p>
    <w:p w14:paraId="4139A766" w14:textId="273E20FB" w:rsidR="00022403" w:rsidRDefault="00022403" w:rsidP="00022403">
      <w:pPr>
        <w:pStyle w:val="Para0"/>
      </w:pPr>
      <w:r>
        <w:t xml:space="preserve">Table 5 of Mein (2008) presents changes in </w:t>
      </w:r>
      <w:r w:rsidR="007877C7">
        <w:t>catchment water yield</w:t>
      </w:r>
      <w:r>
        <w:t xml:space="preserve"> </w:t>
      </w:r>
      <w:r w:rsidR="00FD4C6A">
        <w:t xml:space="preserve">only </w:t>
      </w:r>
      <w:r>
        <w:t xml:space="preserve">for all catchments combined. Salkin (2008) tabulates projected impacts for several scenarios for the Thomson catchment only. </w:t>
      </w:r>
      <w:r w:rsidR="00FD4C6A">
        <w:t>In WWS2008, c</w:t>
      </w:r>
      <w:r>
        <w:t xml:space="preserve">hanges in annual and cumulative </w:t>
      </w:r>
      <w:r w:rsidR="007877C7">
        <w:t>catchment water yield</w:t>
      </w:r>
      <w:r>
        <w:t xml:space="preserve">s for the Thomson were derived by </w:t>
      </w:r>
      <w:r w:rsidR="00FD4C6A">
        <w:t xml:space="preserve">subtracting </w:t>
      </w:r>
      <w:r>
        <w:t xml:space="preserve">the </w:t>
      </w:r>
      <w:r w:rsidR="007877C7">
        <w:t>catchment water yield</w:t>
      </w:r>
      <w:r>
        <w:t xml:space="preserve">s for continuation of status quo logging (Salkin’s scenario A) </w:t>
      </w:r>
      <w:r w:rsidR="00FD4C6A">
        <w:t xml:space="preserve">from the yields if </w:t>
      </w:r>
      <w:r>
        <w:t xml:space="preserve">timber harvesting </w:t>
      </w:r>
      <w:r w:rsidR="008218A4">
        <w:t xml:space="preserve">were to </w:t>
      </w:r>
      <w:r w:rsidR="00FD4C6A">
        <w:t>cease</w:t>
      </w:r>
      <w:r w:rsidR="008218A4">
        <w:t xml:space="preserve"> </w:t>
      </w:r>
      <w:r>
        <w:t>in 2009</w:t>
      </w:r>
      <w:r w:rsidR="00D460CD">
        <w:rPr>
          <w:rFonts w:cs="Arial"/>
        </w:rPr>
        <w:t>–</w:t>
      </w:r>
      <w:r>
        <w:t>10 (Salkin’s scenario J)</w:t>
      </w:r>
      <w:r w:rsidR="008218A4">
        <w:t>,</w:t>
      </w:r>
      <w:r>
        <w:t xml:space="preserve"> </w:t>
      </w:r>
      <w:r w:rsidR="00FD4C6A">
        <w:t xml:space="preserve">which are shown in </w:t>
      </w:r>
      <w:r>
        <w:t xml:space="preserve">Table </w:t>
      </w:r>
      <w:r w:rsidR="00815797">
        <w:t>25</w:t>
      </w:r>
      <w:r>
        <w:t xml:space="preserve"> of Salkin (2008). For the Thomson, WWS2008 projected a change </w:t>
      </w:r>
      <w:r w:rsidR="007C1D87">
        <w:t xml:space="preserve">of 7.2 GL/year </w:t>
      </w:r>
      <w:r>
        <w:t xml:space="preserve">in annual </w:t>
      </w:r>
      <w:r w:rsidR="007877C7">
        <w:t>catchment water yield</w:t>
      </w:r>
      <w:r>
        <w:t xml:space="preserve"> </w:t>
      </w:r>
      <w:r w:rsidR="00D818CC">
        <w:t xml:space="preserve">by </w:t>
      </w:r>
      <w:r>
        <w:t>45 years after cessation of timber harvesting in scenario J</w:t>
      </w:r>
      <w:r w:rsidR="00EF2248">
        <w:t xml:space="preserve"> (</w:t>
      </w:r>
      <w:r w:rsidR="00D818CC">
        <w:t>that is, by 2055</w:t>
      </w:r>
      <w:r>
        <w:t>)</w:t>
      </w:r>
      <w:r w:rsidR="00250F39">
        <w:t xml:space="preserve">, and a </w:t>
      </w:r>
      <w:r>
        <w:t xml:space="preserve">cumulative change in </w:t>
      </w:r>
      <w:r w:rsidR="00D818CC">
        <w:t xml:space="preserve">Thomson </w:t>
      </w:r>
      <w:r w:rsidR="007877C7">
        <w:t>catchment water yield</w:t>
      </w:r>
      <w:r>
        <w:t xml:space="preserve"> </w:t>
      </w:r>
      <w:r w:rsidR="00250F39">
        <w:t xml:space="preserve">of </w:t>
      </w:r>
      <w:r>
        <w:t>124 GL</w:t>
      </w:r>
      <w:r w:rsidR="007C1D87">
        <w:t xml:space="preserve"> </w:t>
      </w:r>
      <w:r w:rsidR="00D818CC">
        <w:t xml:space="preserve">over </w:t>
      </w:r>
      <w:r w:rsidR="002417B7">
        <w:t>the</w:t>
      </w:r>
      <w:r w:rsidR="005A384A">
        <w:t xml:space="preserve"> </w:t>
      </w:r>
      <w:r w:rsidR="00250F39">
        <w:t xml:space="preserve">first </w:t>
      </w:r>
      <w:r w:rsidR="007C1D87">
        <w:t xml:space="preserve">45 years </w:t>
      </w:r>
      <w:r w:rsidR="00250F39">
        <w:t xml:space="preserve">if </w:t>
      </w:r>
      <w:r w:rsidR="007C1D87">
        <w:t xml:space="preserve">timber harvesting </w:t>
      </w:r>
      <w:r w:rsidR="00250F39">
        <w:t xml:space="preserve">ceased in </w:t>
      </w:r>
      <w:r w:rsidR="007C1D87">
        <w:t>2009</w:t>
      </w:r>
      <w:r w:rsidR="007C1D87">
        <w:rPr>
          <w:rFonts w:cs="Arial"/>
        </w:rPr>
        <w:t>–</w:t>
      </w:r>
      <w:r w:rsidR="007C1D87">
        <w:t>10</w:t>
      </w:r>
      <w:r w:rsidR="00D818CC">
        <w:t>. By contrast,</w:t>
      </w:r>
      <w:r w:rsidR="009E2305">
        <w:t xml:space="preserve"> for the same catchment,</w:t>
      </w:r>
      <w:r w:rsidR="00D818CC">
        <w:t xml:space="preserve"> Taylor </w:t>
      </w:r>
      <w:r w:rsidR="00D818CC" w:rsidRPr="000C588C">
        <w:rPr>
          <w:i/>
        </w:rPr>
        <w:t>et al</w:t>
      </w:r>
      <w:r w:rsidR="00D818CC">
        <w:t xml:space="preserve">. (2019) </w:t>
      </w:r>
      <w:r>
        <w:t>estimate</w:t>
      </w:r>
      <w:r w:rsidR="00CF39A9">
        <w:t>d</w:t>
      </w:r>
      <w:r w:rsidR="00901714">
        <w:t xml:space="preserve"> </w:t>
      </w:r>
      <w:r w:rsidR="00D818CC">
        <w:t xml:space="preserve">that by 45 years after cessation of timber harvesting there will be </w:t>
      </w:r>
      <w:r w:rsidR="00901714">
        <w:t xml:space="preserve">a 23 GL/year </w:t>
      </w:r>
      <w:r>
        <w:t xml:space="preserve">change in annual yield </w:t>
      </w:r>
      <w:r w:rsidR="00901714">
        <w:t xml:space="preserve">– </w:t>
      </w:r>
      <w:r>
        <w:t>more</w:t>
      </w:r>
      <w:r w:rsidR="00901714">
        <w:t xml:space="preserve"> </w:t>
      </w:r>
      <w:r>
        <w:t>than triple the estimate in WWS2008</w:t>
      </w:r>
      <w:r w:rsidR="00D818CC">
        <w:t xml:space="preserve"> for the same </w:t>
      </w:r>
      <w:r w:rsidR="000C588C">
        <w:t>number of years after the cessation of harvesting</w:t>
      </w:r>
      <w:r>
        <w:t xml:space="preserve">. </w:t>
      </w:r>
      <w:r w:rsidR="00901714">
        <w:t xml:space="preserve">Similarly, Taylor </w:t>
      </w:r>
      <w:r w:rsidR="00901714" w:rsidRPr="000C588C">
        <w:rPr>
          <w:i/>
          <w:iCs/>
        </w:rPr>
        <w:t>et al</w:t>
      </w:r>
      <w:r w:rsidR="00901714">
        <w:t xml:space="preserve">. (2019) </w:t>
      </w:r>
      <w:r>
        <w:t>estimate</w:t>
      </w:r>
      <w:r w:rsidR="00CF39A9">
        <w:t>d</w:t>
      </w:r>
      <w:r w:rsidR="00901714">
        <w:t xml:space="preserve"> a 420 GL</w:t>
      </w:r>
      <w:r>
        <w:t xml:space="preserve"> change in cumulative yield for the Thomson catchment for the first 45 years after cessation of timber harvesting </w:t>
      </w:r>
      <w:r w:rsidR="00901714">
        <w:t xml:space="preserve">– again more than </w:t>
      </w:r>
      <w:r>
        <w:t xml:space="preserve">three times the </w:t>
      </w:r>
      <w:r w:rsidR="00901714">
        <w:t xml:space="preserve">estimate in </w:t>
      </w:r>
      <w:r w:rsidR="00E80142" w:rsidRPr="00E80142">
        <w:t>WWS2008</w:t>
      </w:r>
      <w:r w:rsidR="000C588C">
        <w:t xml:space="preserve"> for an equivalent duration</w:t>
      </w:r>
      <w:r>
        <w:rPr>
          <w:i/>
        </w:rPr>
        <w:t xml:space="preserve"> </w:t>
      </w:r>
      <w:r>
        <w:rPr>
          <w:iCs/>
        </w:rPr>
        <w:t>(124 </w:t>
      </w:r>
      <w:r w:rsidRPr="00CD0809">
        <w:rPr>
          <w:iCs/>
        </w:rPr>
        <w:t>GL)</w:t>
      </w:r>
      <w:r w:rsidR="00A4354B">
        <w:t>.</w:t>
      </w:r>
    </w:p>
    <w:p w14:paraId="4A39E02F" w14:textId="34465493" w:rsidR="005274D8" w:rsidRDefault="00A4354B" w:rsidP="00022403">
      <w:pPr>
        <w:pStyle w:val="Para0"/>
      </w:pPr>
      <w:r>
        <w:t xml:space="preserve">Neither the Macaque models used in WWS2008 </w:t>
      </w:r>
      <w:r w:rsidR="00950262">
        <w:t>n</w:t>
      </w:r>
      <w:r>
        <w:t xml:space="preserve">or the models developed by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t xml:space="preserve"> were available for this review, so our assessments of both models were limited to the information that was presented in the publications produced for both studies. However, it </w:t>
      </w:r>
      <w:r w:rsidR="00C95629">
        <w:t>appears</w:t>
      </w:r>
      <w:r w:rsidR="005274D8">
        <w:t xml:space="preserve"> likely that WWS2008 and</w:t>
      </w:r>
      <w:r>
        <w:t xml:space="preserve">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t xml:space="preserve"> </w:t>
      </w:r>
      <w:r w:rsidR="00022403">
        <w:t xml:space="preserve">made a number of </w:t>
      </w:r>
      <w:r w:rsidR="005274D8">
        <w:t>different</w:t>
      </w:r>
      <w:r w:rsidR="00022403">
        <w:t xml:space="preserve"> assumptions</w:t>
      </w:r>
      <w:r w:rsidR="005274D8">
        <w:t xml:space="preserve"> in their respective modelling, which could account for the differences in </w:t>
      </w:r>
      <w:r w:rsidR="00022403">
        <w:t xml:space="preserve">estimated impact of timber harvesting on </w:t>
      </w:r>
      <w:r w:rsidR="007877C7">
        <w:t>catchment water yield</w:t>
      </w:r>
      <w:r w:rsidR="005274D8">
        <w:t xml:space="preserve"> in the Thomson catchment:</w:t>
      </w:r>
    </w:p>
    <w:p w14:paraId="1E168DAF" w14:textId="56CB0A8F" w:rsidR="005274D8" w:rsidRDefault="00A70DC2" w:rsidP="005274D8">
      <w:pPr>
        <w:pStyle w:val="Para0bullet"/>
        <w:numPr>
          <w:ilvl w:val="0"/>
          <w:numId w:val="2"/>
        </w:numPr>
      </w:pPr>
      <w:r>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fldChar w:fldCharType="separate"/>
      </w:r>
      <w:r w:rsidRPr="00A70DC2">
        <w:rPr>
          <w:noProof/>
        </w:rPr>
        <w:t xml:space="preserve">Taylor </w:t>
      </w:r>
      <w:r w:rsidR="001C1F9A" w:rsidRPr="001C1F9A">
        <w:rPr>
          <w:i/>
          <w:noProof/>
        </w:rPr>
        <w:t>et al.</w:t>
      </w:r>
      <w:r>
        <w:rPr>
          <w:noProof/>
        </w:rPr>
        <w:t xml:space="preserve"> (</w:t>
      </w:r>
      <w:r w:rsidRPr="00A70DC2">
        <w:rPr>
          <w:noProof/>
        </w:rPr>
        <w:t>2018, 2019</w:t>
      </w:r>
      <w:r>
        <w:fldChar w:fldCharType="end"/>
      </w:r>
      <w:r>
        <w:t>)</w:t>
      </w:r>
      <w:r w:rsidR="00A4354B">
        <w:t xml:space="preserve"> </w:t>
      </w:r>
      <w:r w:rsidR="00022403">
        <w:t>applied the Kuczera (1987) curve, which does not include the initial increase in runoff that has been observed in the first few years after loggin</w:t>
      </w:r>
      <w:r w:rsidR="005274D8">
        <w:t>g.</w:t>
      </w:r>
    </w:p>
    <w:p w14:paraId="73BEF3E6" w14:textId="435F7A81" w:rsidR="005274D8" w:rsidRDefault="005274D8" w:rsidP="005274D8">
      <w:pPr>
        <w:pStyle w:val="Para0bullet"/>
        <w:numPr>
          <w:ilvl w:val="0"/>
          <w:numId w:val="2"/>
        </w:numPr>
      </w:pPr>
      <w:r>
        <w:t>I</w:t>
      </w:r>
      <w:r w:rsidR="007C337F">
        <w:t>t appears from the text of the paper that</w:t>
      </w:r>
      <w:r w:rsidR="00022403">
        <w:t xml:space="preserve">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rsidR="00A4354B">
        <w:t xml:space="preserve"> </w:t>
      </w:r>
      <w:r w:rsidR="00022403">
        <w:t xml:space="preserve">applied the Kuczera (1987) curve to estimate the change in </w:t>
      </w:r>
      <w:r w:rsidR="007877C7">
        <w:t>catchment water yield</w:t>
      </w:r>
      <w:r w:rsidR="00022403">
        <w:t xml:space="preserve"> for all forest types across the catchment, despite the fact that the Kuczera curve is only applicable to </w:t>
      </w:r>
      <w:r w:rsidR="00022403" w:rsidRPr="002A792F">
        <w:rPr>
          <w:i/>
          <w:iCs/>
        </w:rPr>
        <w:t>E. regnans</w:t>
      </w:r>
      <w:r w:rsidR="00D460CD">
        <w:t>,</w:t>
      </w:r>
      <w:r w:rsidR="00022403">
        <w:t xml:space="preserve"> </w:t>
      </w:r>
      <w:r>
        <w:t>and</w:t>
      </w:r>
      <w:r w:rsidR="00022403">
        <w:t xml:space="preserve"> other forest types have more muted responses to disturbance. As other forest types make up a considerable proportion of the total area that is subject to timber harvesting in the Thomson catchment (mainly </w:t>
      </w:r>
      <w:r w:rsidR="00022403" w:rsidRPr="002A792F">
        <w:rPr>
          <w:i/>
        </w:rPr>
        <w:t>E. del</w:t>
      </w:r>
      <w:r w:rsidR="00D460CD">
        <w:rPr>
          <w:i/>
        </w:rPr>
        <w:t>e</w:t>
      </w:r>
      <w:r w:rsidR="00022403" w:rsidRPr="002A792F">
        <w:rPr>
          <w:i/>
        </w:rPr>
        <w:t>gatensis</w:t>
      </w:r>
      <w:r w:rsidR="00022403">
        <w:t xml:space="preserve"> and </w:t>
      </w:r>
      <w:r w:rsidR="005A53E6">
        <w:t>mixed-species</w:t>
      </w:r>
      <w:r w:rsidR="00805139">
        <w:t xml:space="preserve"> eucalypt forest</w:t>
      </w:r>
      <w:r w:rsidR="00022403">
        <w:t>), uniform application of the Kuczera (1987) curve without accounting for the change in shape of the curve with forest type would have over-estimated the impact</w:t>
      </w:r>
      <w:r w:rsidR="007C337F">
        <w:t xml:space="preserve">, if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rsidR="00A4354B">
        <w:t xml:space="preserve"> </w:t>
      </w:r>
      <w:r w:rsidR="007C337F">
        <w:t>made this assumption in their modelling</w:t>
      </w:r>
      <w:r w:rsidR="00022403">
        <w:t xml:space="preserve">. </w:t>
      </w:r>
    </w:p>
    <w:p w14:paraId="5BD7CC05" w14:textId="2CB4CE91" w:rsidR="00022403" w:rsidRDefault="005274D8" w:rsidP="005274D8">
      <w:pPr>
        <w:pStyle w:val="Para0bullet"/>
        <w:numPr>
          <w:ilvl w:val="0"/>
          <w:numId w:val="2"/>
        </w:numPr>
      </w:pPr>
      <w:r>
        <w:lastRenderedPageBreak/>
        <w:t>M</w:t>
      </w:r>
      <w:r w:rsidR="00022403">
        <w:t xml:space="preserve">ean annual </w:t>
      </w:r>
      <w:r w:rsidR="00C95629">
        <w:t>precipitation</w:t>
      </w:r>
      <w:r w:rsidR="00022403">
        <w:t xml:space="preserve"> sets an upper limit on the mean annual </w:t>
      </w:r>
      <w:r w:rsidR="005A188C">
        <w:t xml:space="preserve">actual </w:t>
      </w:r>
      <w:r w:rsidR="000F289C">
        <w:t xml:space="preserve">evapotranspiration </w:t>
      </w:r>
      <w:r w:rsidR="00022403">
        <w:t xml:space="preserve">that can occur from any part of the catchment. In lower rainfall parts of the catchment, precipitation would limit the net impact of timber harvesting but this limitation was ignored in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rsidR="00CF39A9">
        <w:t>.</w:t>
      </w:r>
      <w:r w:rsidR="000F289C">
        <w:t xml:space="preserve"> </w:t>
      </w:r>
      <w:r w:rsidR="00CF39A9">
        <w:t xml:space="preserve">In </w:t>
      </w:r>
      <w:r w:rsidR="000F289C">
        <w:t>contrast,</w:t>
      </w:r>
      <w:r>
        <w:t xml:space="preserve"> Macaque accounts for water volumes</w:t>
      </w:r>
      <w:r w:rsidR="000F289C">
        <w:t xml:space="preserve"> in a physical manner</w:t>
      </w:r>
      <w:r>
        <w:t xml:space="preserve">, such that </w:t>
      </w:r>
      <w:r w:rsidR="000F289C" w:rsidRPr="000F289C">
        <w:t xml:space="preserve">evapotranspiration </w:t>
      </w:r>
      <w:r>
        <w:t>for any area of the model is limited to the volume of water stored in that part of the hillslope.</w:t>
      </w:r>
    </w:p>
    <w:p w14:paraId="7C63207F" w14:textId="0EA5C0F2" w:rsidR="005274D8" w:rsidRDefault="005274D8" w:rsidP="005274D8">
      <w:pPr>
        <w:pStyle w:val="Para0bullet"/>
        <w:numPr>
          <w:ilvl w:val="0"/>
          <w:numId w:val="2"/>
        </w:numPr>
      </w:pPr>
      <w:r>
        <w:t>The Woodstock model in WWS2008 use</w:t>
      </w:r>
      <w:r w:rsidR="00427E34">
        <w:t xml:space="preserve">d a constrained optimisation </w:t>
      </w:r>
      <w:r w:rsidR="00FB081A">
        <w:t xml:space="preserve">to </w:t>
      </w:r>
      <w:r w:rsidR="00427E34">
        <w:t xml:space="preserve">project those areas to </w:t>
      </w:r>
      <w:r w:rsidR="00C95629">
        <w:t>harvest</w:t>
      </w:r>
      <w:r w:rsidR="00427E34">
        <w:t xml:space="preserve"> that maximise </w:t>
      </w:r>
      <w:r w:rsidR="007877C7">
        <w:t>catchment water yield</w:t>
      </w:r>
      <w:r w:rsidR="00427E34">
        <w:t xml:space="preserve">, whilst supplying the </w:t>
      </w:r>
      <w:r w:rsidR="00C95629">
        <w:t>saw log</w:t>
      </w:r>
      <w:r w:rsidR="00427E34">
        <w:t xml:space="preserve"> volume for a given scenario. It was not clear how the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rsidR="00427E34">
        <w:t xml:space="preserve"> model decided on the </w:t>
      </w:r>
      <w:r w:rsidR="00FF429C">
        <w:t xml:space="preserve">ages of the </w:t>
      </w:r>
      <w:r w:rsidR="00427E34">
        <w:t>forest to log across the forecast period.</w:t>
      </w:r>
    </w:p>
    <w:p w14:paraId="2E2E7FB1" w14:textId="0CC4BE92" w:rsidR="009949C9" w:rsidRDefault="00022403" w:rsidP="00022403">
      <w:pPr>
        <w:pStyle w:val="Para0"/>
      </w:pPr>
      <w:r>
        <w:t xml:space="preserve">WWS2008 applied the more physically based Macaque model to estimate the change in </w:t>
      </w:r>
      <w:r w:rsidR="007877C7">
        <w:t>catchment water yield</w:t>
      </w:r>
      <w:r>
        <w:t xml:space="preserve"> with forest age, which avoided several limitations of the</w:t>
      </w:r>
      <w:r w:rsidR="00CF39A9">
        <w:t xml:space="preserve"> more recent</w:t>
      </w:r>
      <w:r>
        <w:t xml:space="preserve">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rsidR="00A4354B">
        <w:t xml:space="preserve"> </w:t>
      </w:r>
      <w:r>
        <w:t xml:space="preserve">approach. WWS2008 (Feikema </w:t>
      </w:r>
      <w:r w:rsidR="001C1F9A" w:rsidRPr="001C1F9A">
        <w:rPr>
          <w:i/>
        </w:rPr>
        <w:t>et al.</w:t>
      </w:r>
      <w:r>
        <w:t xml:space="preserve">, 2006) used curves </w:t>
      </w:r>
      <w:r w:rsidR="00293E3D">
        <w:t>relating</w:t>
      </w:r>
      <w:r w:rsidR="00CF39A9">
        <w:t xml:space="preserve"> </w:t>
      </w:r>
      <w:r w:rsidR="00805139">
        <w:t>leaf area index</w:t>
      </w:r>
      <w:r>
        <w:t xml:space="preserve"> </w:t>
      </w:r>
      <w:r w:rsidR="00293E3D">
        <w:t xml:space="preserve">to </w:t>
      </w:r>
      <w:r>
        <w:t xml:space="preserve">forest age, applicable to each of the nine forest types that were modelled in the Thomson catchment. </w:t>
      </w:r>
      <w:r w:rsidR="00CF39A9">
        <w:t>F</w:t>
      </w:r>
      <w:r>
        <w:t xml:space="preserve">or each species </w:t>
      </w:r>
      <w:r w:rsidR="00CF39A9">
        <w:t xml:space="preserve">those curves </w:t>
      </w:r>
      <w:r>
        <w:t>were calibrated to field data and</w:t>
      </w:r>
      <w:r w:rsidR="00425618">
        <w:t xml:space="preserve"> correlated with</w:t>
      </w:r>
      <w:r>
        <w:t xml:space="preserve"> remote sensing of </w:t>
      </w:r>
      <w:r w:rsidR="00425618">
        <w:t>Normalised Difference Vegetation Index</w:t>
      </w:r>
      <w:r>
        <w:t>. The Macaque models in WWS2008 produced increase</w:t>
      </w:r>
      <w:r w:rsidR="00CF39A9">
        <w:t>d</w:t>
      </w:r>
      <w:r>
        <w:t xml:space="preserve"> runoff </w:t>
      </w:r>
      <w:r w:rsidR="00CF39A9">
        <w:t xml:space="preserve">for </w:t>
      </w:r>
      <w:r>
        <w:t xml:space="preserve">the </w:t>
      </w:r>
      <w:r w:rsidR="00CF39A9">
        <w:t xml:space="preserve">first </w:t>
      </w:r>
      <w:r>
        <w:t>3</w:t>
      </w:r>
      <w:r w:rsidR="002056F5">
        <w:rPr>
          <w:rFonts w:cs="Arial"/>
        </w:rPr>
        <w:t>–</w:t>
      </w:r>
      <w:r>
        <w:t>4 years after timber harvesting</w:t>
      </w:r>
      <w:r w:rsidR="00CF39A9">
        <w:t>;</w:t>
      </w:r>
      <w:r>
        <w:t xml:space="preserve"> </w:t>
      </w:r>
      <w:r w:rsidR="00293E3D">
        <w:t xml:space="preserve">in </w:t>
      </w:r>
      <w:r>
        <w:t>simulati</w:t>
      </w:r>
      <w:r w:rsidR="009949C9">
        <w:t>ng</w:t>
      </w:r>
      <w:r>
        <w:t xml:space="preserve"> </w:t>
      </w:r>
      <w:r w:rsidR="007877C7">
        <w:t>catchment water yield</w:t>
      </w:r>
      <w:r>
        <w:t xml:space="preserve"> </w:t>
      </w:r>
      <w:r w:rsidR="00293E3D">
        <w:t xml:space="preserve">WWS2008 </w:t>
      </w:r>
      <w:r w:rsidR="00CF39A9">
        <w:t>included th</w:t>
      </w:r>
      <w:r w:rsidR="009949C9">
        <w:t>at</w:t>
      </w:r>
      <w:r w:rsidR="00CF39A9">
        <w:t xml:space="preserve"> additional yield generated during those first few years</w:t>
      </w:r>
      <w:r>
        <w:t xml:space="preserve">. </w:t>
      </w:r>
    </w:p>
    <w:p w14:paraId="00BABF1A" w14:textId="6342B770" w:rsidR="00022403" w:rsidRDefault="00022403" w:rsidP="00022403">
      <w:pPr>
        <w:pStyle w:val="Para0"/>
      </w:pPr>
      <w:r>
        <w:fldChar w:fldCharType="begin"/>
      </w:r>
      <w:r>
        <w:instrText xml:space="preserve"> REF _Ref24037577 \h </w:instrText>
      </w:r>
      <w:r>
        <w:fldChar w:fldCharType="separate"/>
      </w:r>
      <w:r w:rsidR="00062E08">
        <w:t xml:space="preserve">Figure </w:t>
      </w:r>
      <w:r w:rsidR="00062E08">
        <w:rPr>
          <w:noProof/>
        </w:rPr>
        <w:t>7</w:t>
      </w:r>
      <w:r>
        <w:fldChar w:fldCharType="end"/>
      </w:r>
      <w:r w:rsidR="009949C9">
        <w:t>, produced in this review,</w:t>
      </w:r>
      <w:r>
        <w:t xml:space="preserve"> shows differences in </w:t>
      </w:r>
      <w:r w:rsidR="007877C7">
        <w:t>catchment water yield</w:t>
      </w:r>
      <w:r>
        <w:t xml:space="preserve"> with forest age, for the most common forest types in the Thomson catchment</w:t>
      </w:r>
      <w:r w:rsidR="008F61B9">
        <w:t>; that is,</w:t>
      </w:r>
      <w:r>
        <w:t xml:space="preserve"> </w:t>
      </w:r>
      <w:r w:rsidRPr="002A792F">
        <w:rPr>
          <w:i/>
          <w:iCs/>
        </w:rPr>
        <w:t>E.</w:t>
      </w:r>
      <w:r w:rsidR="00613786">
        <w:rPr>
          <w:i/>
          <w:iCs/>
        </w:rPr>
        <w:t> </w:t>
      </w:r>
      <w:r w:rsidRPr="002A792F">
        <w:rPr>
          <w:i/>
          <w:iCs/>
        </w:rPr>
        <w:t>regnans</w:t>
      </w:r>
      <w:r w:rsidR="008F61B9">
        <w:t xml:space="preserve"> and</w:t>
      </w:r>
      <w:r>
        <w:t xml:space="preserve"> </w:t>
      </w:r>
      <w:r w:rsidRPr="002A792F">
        <w:rPr>
          <w:i/>
          <w:iCs/>
        </w:rPr>
        <w:t>E. del</w:t>
      </w:r>
      <w:r w:rsidR="004D68F1" w:rsidRPr="002A792F">
        <w:rPr>
          <w:i/>
          <w:iCs/>
        </w:rPr>
        <w:t>e</w:t>
      </w:r>
      <w:r w:rsidRPr="002A792F">
        <w:rPr>
          <w:i/>
          <w:iCs/>
        </w:rPr>
        <w:t>gatensis</w:t>
      </w:r>
      <w:r>
        <w:t xml:space="preserve">. These curves were derived by applying Equation (3) </w:t>
      </w:r>
      <w:r w:rsidR="009949C9">
        <w:t xml:space="preserve">and </w:t>
      </w:r>
      <w:r>
        <w:t>coefficients from Table 7.9</w:t>
      </w:r>
      <w:r w:rsidR="009949C9">
        <w:t xml:space="preserve">, both from Feikema </w:t>
      </w:r>
      <w:r w:rsidR="009949C9" w:rsidRPr="001C1F9A">
        <w:rPr>
          <w:i/>
        </w:rPr>
        <w:t>et al.</w:t>
      </w:r>
      <w:r w:rsidR="009949C9">
        <w:t xml:space="preserve"> (2006)</w:t>
      </w:r>
      <w:r>
        <w:t xml:space="preserve"> for the Thomson catchment</w:t>
      </w:r>
      <w:r w:rsidR="009949C9">
        <w:t>,</w:t>
      </w:r>
      <w:r>
        <w:t xml:space="preserve"> to calculate the modelled change in annual </w:t>
      </w:r>
      <w:r w:rsidR="007877C7">
        <w:t>catchment water yield</w:t>
      </w:r>
      <w:r>
        <w:t xml:space="preserve"> </w:t>
      </w:r>
      <w:r w:rsidR="009949C9">
        <w:t xml:space="preserve">in </w:t>
      </w:r>
      <w:r>
        <w:t xml:space="preserve">a 250 year old forest of the same type. When compared </w:t>
      </w:r>
      <w:r w:rsidR="009949C9">
        <w:t xml:space="preserve">to </w:t>
      </w:r>
      <w:r>
        <w:t xml:space="preserve">the Kuczera (1987) curve </w:t>
      </w:r>
      <w:r w:rsidR="008F61B9">
        <w:t xml:space="preserve">applied by Taylor </w:t>
      </w:r>
      <w:r w:rsidR="008F61B9" w:rsidRPr="00CE5AEC">
        <w:rPr>
          <w:i/>
        </w:rPr>
        <w:t>et al</w:t>
      </w:r>
      <w:r w:rsidR="008F61B9">
        <w:t>. (</w:t>
      </w:r>
      <w:r w:rsidR="007D40E6">
        <w:t xml:space="preserve">2018, </w:t>
      </w:r>
      <w:r w:rsidR="008F61B9">
        <w:t xml:space="preserve">2019) </w:t>
      </w:r>
      <w:r w:rsidR="007D40E6">
        <w:t>for ash forests</w:t>
      </w:r>
      <w:r w:rsidR="008F61B9">
        <w:t xml:space="preserve">, </w:t>
      </w:r>
      <w:r>
        <w:t xml:space="preserve">also shown in </w:t>
      </w:r>
      <w:r>
        <w:fldChar w:fldCharType="begin"/>
      </w:r>
      <w:r>
        <w:instrText xml:space="preserve"> REF _Ref24037577 \h </w:instrText>
      </w:r>
      <w:r>
        <w:fldChar w:fldCharType="separate"/>
      </w:r>
      <w:r w:rsidR="00062E08">
        <w:t xml:space="preserve">Figure </w:t>
      </w:r>
      <w:r w:rsidR="00062E08">
        <w:rPr>
          <w:noProof/>
        </w:rPr>
        <w:t>7</w:t>
      </w:r>
      <w:r>
        <w:fldChar w:fldCharType="end"/>
      </w:r>
      <w:r>
        <w:t>, the key differences are:</w:t>
      </w:r>
    </w:p>
    <w:p w14:paraId="1741EF69" w14:textId="0EBFED63" w:rsidR="00022403" w:rsidRDefault="00022403" w:rsidP="00C95629">
      <w:pPr>
        <w:pStyle w:val="Para0bullet"/>
        <w:numPr>
          <w:ilvl w:val="0"/>
          <w:numId w:val="21"/>
        </w:numPr>
      </w:pPr>
      <w:r>
        <w:t xml:space="preserve">the Kuczera (1987) curve demonstrates a peak decline in </w:t>
      </w:r>
      <w:r w:rsidR="007877C7">
        <w:t>catchment water yield</w:t>
      </w:r>
      <w:r>
        <w:t xml:space="preserve"> that is </w:t>
      </w:r>
      <w:r w:rsidR="00837C05">
        <w:t>larger than</w:t>
      </w:r>
      <w:r w:rsidR="009949C9">
        <w:t xml:space="preserve"> </w:t>
      </w:r>
      <w:r w:rsidR="007D40E6">
        <w:t xml:space="preserve">the peak of the curve for </w:t>
      </w:r>
      <w:r w:rsidR="007D40E6" w:rsidRPr="002A792F">
        <w:rPr>
          <w:i/>
          <w:iCs/>
        </w:rPr>
        <w:t>E. delegatensis</w:t>
      </w:r>
      <w:r w:rsidR="007D40E6">
        <w:t xml:space="preserve"> that was fitted by </w:t>
      </w:r>
      <w:r>
        <w:t>WWS2008 to Macaque model outputs</w:t>
      </w:r>
      <w:r w:rsidR="008F61B9">
        <w:t>;</w:t>
      </w:r>
    </w:p>
    <w:p w14:paraId="578A5401" w14:textId="3AC6449B" w:rsidR="00022403" w:rsidRDefault="00022403" w:rsidP="00C95629">
      <w:pPr>
        <w:pStyle w:val="Para0bullet"/>
        <w:numPr>
          <w:ilvl w:val="0"/>
          <w:numId w:val="21"/>
        </w:numPr>
      </w:pPr>
      <w:r>
        <w:t xml:space="preserve">the WWS2008 curves fitted to Macaque outputs for </w:t>
      </w:r>
      <w:r w:rsidR="007D40E6">
        <w:t xml:space="preserve">both ash </w:t>
      </w:r>
      <w:r>
        <w:t xml:space="preserve">forest types show an earlier peak (around 12 years, compared with 28 years for </w:t>
      </w:r>
      <w:r w:rsidR="008F61B9">
        <w:t xml:space="preserve">the </w:t>
      </w:r>
      <w:r>
        <w:t>Kuczera</w:t>
      </w:r>
      <w:r w:rsidR="008F61B9">
        <w:t xml:space="preserve"> curve</w:t>
      </w:r>
      <w:r>
        <w:t xml:space="preserve">) and faster recovery in </w:t>
      </w:r>
      <w:r w:rsidR="007877C7">
        <w:t>catchment water yield</w:t>
      </w:r>
      <w:r>
        <w:t>, across forest ages between about 12 and 90 years</w:t>
      </w:r>
      <w:r w:rsidR="008F61B9">
        <w:t>;</w:t>
      </w:r>
      <w:r>
        <w:t xml:space="preserve"> a</w:t>
      </w:r>
      <w:r w:rsidR="002056F5">
        <w:t>n</w:t>
      </w:r>
      <w:r>
        <w:t>d</w:t>
      </w:r>
    </w:p>
    <w:p w14:paraId="70C58CEE" w14:textId="500C3A8F" w:rsidR="00022403" w:rsidRDefault="00022403" w:rsidP="00C95629">
      <w:pPr>
        <w:pStyle w:val="Para0bullet"/>
        <w:numPr>
          <w:ilvl w:val="0"/>
          <w:numId w:val="21"/>
        </w:numPr>
      </w:pPr>
      <w:r>
        <w:t xml:space="preserve">the WWS2008 curves include the increase in </w:t>
      </w:r>
      <w:r w:rsidR="007877C7">
        <w:t>catchment water yield</w:t>
      </w:r>
      <w:r>
        <w:t xml:space="preserve"> during the first three years after timber harvesting, which were ignored in the Kuczera (1987) curve </w:t>
      </w:r>
      <w:r w:rsidR="008F61B9">
        <w:t xml:space="preserve">because </w:t>
      </w:r>
      <w:r>
        <w:t>it was derived primarily in catchments recovering after bushfire.</w:t>
      </w:r>
    </w:p>
    <w:p w14:paraId="65BC7175" w14:textId="56857942" w:rsidR="00022403" w:rsidRDefault="00022403" w:rsidP="00022403">
      <w:pPr>
        <w:pStyle w:val="Para0"/>
      </w:pPr>
      <w:r>
        <w:t xml:space="preserve">The shape of the streamflow declines from WWS2008 are more consistent with the curves calculated by Brookhouse </w:t>
      </w:r>
      <w:r w:rsidR="001C1F9A" w:rsidRPr="001C1F9A">
        <w:rPr>
          <w:i/>
        </w:rPr>
        <w:t>et al.</w:t>
      </w:r>
      <w:r>
        <w:t xml:space="preserve"> (2013) than the older Kuczera (1987) curve. Brookhouse </w:t>
      </w:r>
      <w:r w:rsidR="001C1F9A" w:rsidRPr="001C1F9A">
        <w:rPr>
          <w:i/>
        </w:rPr>
        <w:t>et al.</w:t>
      </w:r>
      <w:r>
        <w:t xml:space="preserve"> (2013) reanalysed streamflow data from three gauged catchments in Melbourne</w:t>
      </w:r>
      <w:r w:rsidR="00385388">
        <w:t>, and found</w:t>
      </w:r>
      <w:r>
        <w:t xml:space="preserve"> that catchment</w:t>
      </w:r>
      <w:r w:rsidR="00385388">
        <w:t>-</w:t>
      </w:r>
      <w:r>
        <w:t>level evapotranspiration decline</w:t>
      </w:r>
      <w:r w:rsidR="00385388">
        <w:t>d</w:t>
      </w:r>
      <w:r>
        <w:t xml:space="preserve"> more rapidly than was calculated by Kuczera (1987), peaking 6 to 11 years earlier than </w:t>
      </w:r>
      <w:r w:rsidR="00385388">
        <w:t xml:space="preserve">had been </w:t>
      </w:r>
      <w:r>
        <w:t>identified by Kuczera.</w:t>
      </w:r>
    </w:p>
    <w:p w14:paraId="480B56BB" w14:textId="24732ECB" w:rsidR="007D40E6" w:rsidRDefault="000E27D8" w:rsidP="007D40E6">
      <w:pPr>
        <w:pStyle w:val="Para0"/>
        <w:keepNext/>
        <w:pageBreakBefore/>
        <w:spacing w:line="240" w:lineRule="auto"/>
      </w:pPr>
      <w:r>
        <w:rPr>
          <w:noProof/>
          <w:lang w:val="en-AU" w:eastAsia="en-AU"/>
        </w:rPr>
        <w:lastRenderedPageBreak/>
        <w:drawing>
          <wp:inline distT="0" distB="0" distL="0" distR="0" wp14:anchorId="5191E789" wp14:editId="71D6EC39">
            <wp:extent cx="5580000" cy="3643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0000" cy="3643200"/>
                    </a:xfrm>
                    <a:prstGeom prst="rect">
                      <a:avLst/>
                    </a:prstGeom>
                    <a:noFill/>
                  </pic:spPr>
                </pic:pic>
              </a:graphicData>
            </a:graphic>
          </wp:inline>
        </w:drawing>
      </w:r>
    </w:p>
    <w:p w14:paraId="760B1826" w14:textId="43E50823" w:rsidR="007D40E6" w:rsidRPr="00D90267" w:rsidRDefault="007D40E6" w:rsidP="000E27D8">
      <w:pPr>
        <w:pStyle w:val="Caption"/>
        <w:keepNext w:val="0"/>
        <w:spacing w:before="0" w:after="0"/>
        <w:rPr>
          <w:b w:val="0"/>
          <w:bCs/>
          <w:color w:val="auto"/>
        </w:rPr>
      </w:pPr>
      <w:bookmarkStart w:id="41" w:name="_Ref24037577"/>
      <w:r>
        <w:t xml:space="preserve">Figure </w:t>
      </w:r>
      <w:r>
        <w:fldChar w:fldCharType="begin"/>
      </w:r>
      <w:r>
        <w:instrText xml:space="preserve"> SEQ Figure \* ARABIC </w:instrText>
      </w:r>
      <w:r>
        <w:fldChar w:fldCharType="separate"/>
      </w:r>
      <w:r w:rsidR="00062E08">
        <w:rPr>
          <w:noProof/>
        </w:rPr>
        <w:t>7</w:t>
      </w:r>
      <w:r>
        <w:fldChar w:fldCharType="end"/>
      </w:r>
      <w:bookmarkEnd w:id="41"/>
      <w:r>
        <w:t xml:space="preserve"> Difference in annual catchment water yield with age, compared with a mature forest, for </w:t>
      </w:r>
      <w:r w:rsidRPr="002A792F">
        <w:rPr>
          <w:i/>
          <w:iCs/>
        </w:rPr>
        <w:t>E.</w:t>
      </w:r>
      <w:r>
        <w:rPr>
          <w:i/>
          <w:iCs/>
        </w:rPr>
        <w:t> </w:t>
      </w:r>
      <w:r w:rsidRPr="002A792F">
        <w:rPr>
          <w:i/>
          <w:iCs/>
        </w:rPr>
        <w:t>regnans</w:t>
      </w:r>
      <w:r>
        <w:t xml:space="preserve"> and </w:t>
      </w:r>
      <w:r w:rsidRPr="002A792F">
        <w:rPr>
          <w:i/>
        </w:rPr>
        <w:t>E.</w:t>
      </w:r>
      <w:r>
        <w:rPr>
          <w:i/>
        </w:rPr>
        <w:t> </w:t>
      </w:r>
      <w:r w:rsidRPr="002A792F">
        <w:rPr>
          <w:i/>
        </w:rPr>
        <w:t>delegatensis</w:t>
      </w:r>
      <w:r>
        <w:t xml:space="preserve"> forest used in WWS2008 for the Thomson catchment (fitted to Macaque model outputs), compared with the Kuczera (1987) curve, which was </w:t>
      </w:r>
      <w:r w:rsidRPr="000E27D8">
        <w:t xml:space="preserve">applied by </w:t>
      </w:r>
      <w:r w:rsidRPr="000E27D8">
        <w:fldChar w:fldCharType="begin" w:fldLock="1"/>
      </w:r>
      <w:r w:rsidRPr="000E27D8">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Pr="000E27D8">
        <w:fldChar w:fldCharType="separate"/>
      </w:r>
      <w:r w:rsidRPr="000E27D8">
        <w:rPr>
          <w:noProof/>
        </w:rPr>
        <w:t xml:space="preserve">Taylor </w:t>
      </w:r>
      <w:r w:rsidRPr="000E27D8">
        <w:rPr>
          <w:i/>
          <w:noProof/>
        </w:rPr>
        <w:t>et al.</w:t>
      </w:r>
      <w:r w:rsidRPr="000E27D8">
        <w:rPr>
          <w:noProof/>
        </w:rPr>
        <w:t xml:space="preserve"> (2018, 2019</w:t>
      </w:r>
      <w:r w:rsidRPr="000E27D8">
        <w:fldChar w:fldCharType="end"/>
      </w:r>
      <w:r w:rsidRPr="000E27D8">
        <w:t>) for al</w:t>
      </w:r>
      <w:r>
        <w:t>l species of ash in the Thomson catchment</w:t>
      </w:r>
    </w:p>
    <w:p w14:paraId="09597E08" w14:textId="2AFD8384" w:rsidR="00022403" w:rsidRDefault="00022403" w:rsidP="00CE5AEC">
      <w:pPr>
        <w:pStyle w:val="Para0"/>
      </w:pPr>
      <w:r>
        <w:t xml:space="preserve">The implications of the differences in the annual </w:t>
      </w:r>
      <w:r w:rsidR="007877C7">
        <w:t>catchment water yield</w:t>
      </w:r>
      <w:r>
        <w:t xml:space="preserve"> projections with forest age become more apparent when considering the cumulative impact on </w:t>
      </w:r>
      <w:r w:rsidR="007877C7">
        <w:t>catchment water yield</w:t>
      </w:r>
      <w:r>
        <w:t xml:space="preserve"> over time after disturbance. </w:t>
      </w:r>
      <w:r>
        <w:fldChar w:fldCharType="begin"/>
      </w:r>
      <w:r>
        <w:instrText xml:space="preserve"> REF _Ref24038428 \h </w:instrText>
      </w:r>
      <w:r>
        <w:fldChar w:fldCharType="separate"/>
      </w:r>
      <w:r w:rsidR="00062E08">
        <w:t xml:space="preserve">Figure </w:t>
      </w:r>
      <w:r w:rsidR="00062E08">
        <w:rPr>
          <w:noProof/>
        </w:rPr>
        <w:t>8</w:t>
      </w:r>
      <w:r>
        <w:fldChar w:fldCharType="end"/>
      </w:r>
      <w:r w:rsidR="00385388">
        <w:t xml:space="preserve">, produced in this review, </w:t>
      </w:r>
      <w:r>
        <w:t xml:space="preserve">shows cumulative total </w:t>
      </w:r>
      <w:r w:rsidR="007877C7">
        <w:t>catchment water yield</w:t>
      </w:r>
      <w:r>
        <w:t xml:space="preserve"> </w:t>
      </w:r>
      <w:r w:rsidR="00385388">
        <w:t>(</w:t>
      </w:r>
      <w:r>
        <w:t>in ML</w:t>
      </w:r>
      <w:r w:rsidR="00385388">
        <w:t>)</w:t>
      </w:r>
      <w:r>
        <w:t xml:space="preserve"> from one hectare of forest in the Thomson catchment. The cumulative difference </w:t>
      </w:r>
      <w:r w:rsidR="005D2858">
        <w:t xml:space="preserve">in </w:t>
      </w:r>
      <w:r w:rsidR="007877C7">
        <w:t>catchment water yield</w:t>
      </w:r>
      <w:r w:rsidR="005D2858">
        <w:t xml:space="preserve"> over the first 45</w:t>
      </w:r>
      <w:r>
        <w:t xml:space="preserve"> years after disturbance, derived </w:t>
      </w:r>
      <w:r w:rsidR="00385388">
        <w:t xml:space="preserve">by Taylor </w:t>
      </w:r>
      <w:r w:rsidR="00385388" w:rsidRPr="00D90267">
        <w:rPr>
          <w:i/>
        </w:rPr>
        <w:t>et al</w:t>
      </w:r>
      <w:r w:rsidR="00385388">
        <w:t xml:space="preserve">. (2019) </w:t>
      </w:r>
      <w:r>
        <w:t>from t</w:t>
      </w:r>
      <w:r w:rsidR="005D2858">
        <w:t>he Kuczera (1987) curve, was 217</w:t>
      </w:r>
      <w:r>
        <w:t> ML/ha. By comparison, the cumulative difference</w:t>
      </w:r>
      <w:r w:rsidR="00385388">
        <w:t>s</w:t>
      </w:r>
      <w:r>
        <w:t xml:space="preserve"> in </w:t>
      </w:r>
      <w:r w:rsidR="007877C7">
        <w:t>catchment water yield</w:t>
      </w:r>
      <w:r>
        <w:t xml:space="preserve"> over the same </w:t>
      </w:r>
      <w:r w:rsidR="006A6632">
        <w:t>45 </w:t>
      </w:r>
      <w:r>
        <w:t>year period derived from the WWS2008 Ma</w:t>
      </w:r>
      <w:r w:rsidR="005D2858">
        <w:t xml:space="preserve">caque modelling results were </w:t>
      </w:r>
      <w:r w:rsidR="006A6632">
        <w:t>191</w:t>
      </w:r>
      <w:r w:rsidR="00385388">
        <w:t> ML/ha</w:t>
      </w:r>
      <w:r w:rsidR="00DA53D0">
        <w:t xml:space="preserve"> and</w:t>
      </w:r>
      <w:r w:rsidR="005D2858">
        <w:t xml:space="preserve"> </w:t>
      </w:r>
      <w:r w:rsidR="00DA53D0">
        <w:t xml:space="preserve">162 </w:t>
      </w:r>
      <w:r>
        <w:t xml:space="preserve">ML/ha for </w:t>
      </w:r>
      <w:r w:rsidRPr="002A792F">
        <w:rPr>
          <w:i/>
        </w:rPr>
        <w:t>E. regnans</w:t>
      </w:r>
      <w:r w:rsidR="00DA53D0">
        <w:t xml:space="preserve"> and</w:t>
      </w:r>
      <w:r>
        <w:t xml:space="preserve"> </w:t>
      </w:r>
      <w:r w:rsidRPr="002A792F">
        <w:rPr>
          <w:i/>
          <w:iCs/>
        </w:rPr>
        <w:t>E. del</w:t>
      </w:r>
      <w:r w:rsidR="004D68F1" w:rsidRPr="002A792F">
        <w:rPr>
          <w:i/>
          <w:iCs/>
        </w:rPr>
        <w:t>e</w:t>
      </w:r>
      <w:r w:rsidRPr="002A792F">
        <w:rPr>
          <w:i/>
          <w:iCs/>
        </w:rPr>
        <w:t>gatensis</w:t>
      </w:r>
      <w:r>
        <w:t xml:space="preserve"> respectively. These differences in annual and cumulative </w:t>
      </w:r>
      <w:r w:rsidR="001834A2">
        <w:t>catchment water yield</w:t>
      </w:r>
      <w:r>
        <w:t xml:space="preserve">s per unit area of forest </w:t>
      </w:r>
      <w:r w:rsidR="00BA1171">
        <w:t xml:space="preserve">would </w:t>
      </w:r>
      <w:r>
        <w:t xml:space="preserve">explain </w:t>
      </w:r>
      <w:r w:rsidR="00DA53D0">
        <w:t xml:space="preserve">some </w:t>
      </w:r>
      <w:r>
        <w:t xml:space="preserve">of the apparent differences between the </w:t>
      </w:r>
      <w:r w:rsidR="001834A2">
        <w:t>catchment water yield</w:t>
      </w:r>
      <w:r>
        <w:t xml:space="preserve"> modelling results from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rsidR="00A4354B">
        <w:t xml:space="preserve"> </w:t>
      </w:r>
      <w:r>
        <w:t>and WWS2008</w:t>
      </w:r>
      <w:r w:rsidR="00BA1171">
        <w:t xml:space="preserve">, if Taylor </w:t>
      </w:r>
      <w:r w:rsidR="001C1F9A" w:rsidRPr="001C1F9A">
        <w:rPr>
          <w:i/>
        </w:rPr>
        <w:t>et al.</w:t>
      </w:r>
      <w:r w:rsidR="00BA1171">
        <w:t xml:space="preserve"> used the Kuczera curve for all</w:t>
      </w:r>
      <w:r w:rsidR="00DA53D0">
        <w:t xml:space="preserve"> ash</w:t>
      </w:r>
      <w:r w:rsidR="00BA1171">
        <w:t xml:space="preserve"> forests in the Thomson catchment</w:t>
      </w:r>
      <w:r>
        <w:t>.</w:t>
      </w:r>
    </w:p>
    <w:p w14:paraId="4A5BB507" w14:textId="606DAB22" w:rsidR="007D40E6" w:rsidRDefault="000E27D8" w:rsidP="007D40E6">
      <w:pPr>
        <w:pStyle w:val="Para0"/>
        <w:keepNext/>
        <w:spacing w:line="240" w:lineRule="auto"/>
      </w:pPr>
      <w:r>
        <w:rPr>
          <w:noProof/>
          <w:lang w:val="en-AU" w:eastAsia="en-AU"/>
        </w:rPr>
        <w:lastRenderedPageBreak/>
        <w:drawing>
          <wp:inline distT="0" distB="0" distL="0" distR="0" wp14:anchorId="4181C341" wp14:editId="6A4B1682">
            <wp:extent cx="5580000" cy="365040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0000" cy="3650400"/>
                    </a:xfrm>
                    <a:prstGeom prst="rect">
                      <a:avLst/>
                    </a:prstGeom>
                    <a:noFill/>
                  </pic:spPr>
                </pic:pic>
              </a:graphicData>
            </a:graphic>
          </wp:inline>
        </w:drawing>
      </w:r>
    </w:p>
    <w:p w14:paraId="3B3CB039" w14:textId="77777777" w:rsidR="007D40E6" w:rsidRDefault="007D40E6" w:rsidP="007D40E6">
      <w:pPr>
        <w:pStyle w:val="Caption"/>
        <w:keepNext w:val="0"/>
        <w:spacing w:before="0" w:after="0"/>
      </w:pPr>
      <w:bookmarkStart w:id="42" w:name="_Ref24038428"/>
      <w:r>
        <w:t xml:space="preserve">Figure </w:t>
      </w:r>
      <w:r>
        <w:fldChar w:fldCharType="begin"/>
      </w:r>
      <w:r>
        <w:instrText xml:space="preserve"> SEQ Figure \* ARABIC </w:instrText>
      </w:r>
      <w:r>
        <w:fldChar w:fldCharType="separate"/>
      </w:r>
      <w:r w:rsidR="00062E08">
        <w:rPr>
          <w:noProof/>
        </w:rPr>
        <w:t>8</w:t>
      </w:r>
      <w:r>
        <w:fldChar w:fldCharType="end"/>
      </w:r>
      <w:bookmarkEnd w:id="42"/>
      <w:r>
        <w:t xml:space="preserve"> Difference in cumulative catchment water yield with age, compared with a mature forest, for </w:t>
      </w:r>
      <w:r w:rsidRPr="002A792F">
        <w:rPr>
          <w:i/>
          <w:iCs/>
        </w:rPr>
        <w:t>E. regnans</w:t>
      </w:r>
      <w:r>
        <w:t xml:space="preserve"> and </w:t>
      </w:r>
      <w:r w:rsidRPr="002A792F">
        <w:rPr>
          <w:i/>
        </w:rPr>
        <w:t>E. del</w:t>
      </w:r>
      <w:r>
        <w:rPr>
          <w:i/>
        </w:rPr>
        <w:t>e</w:t>
      </w:r>
      <w:r w:rsidRPr="002A792F">
        <w:rPr>
          <w:i/>
        </w:rPr>
        <w:t>gatensis</w:t>
      </w:r>
      <w:r>
        <w:rPr>
          <w:iCs/>
        </w:rPr>
        <w:t>,</w:t>
      </w:r>
      <w:r>
        <w:t xml:space="preserve"> as used in WWS2008 for the Thomson catchment (fitted to Macaque model outputs), compared with the Kuczera (1987) curve, which was applied </w:t>
      </w:r>
      <w:r w:rsidRPr="000E27D8">
        <w:t xml:space="preserve">by </w:t>
      </w:r>
      <w:r w:rsidRPr="000E27D8">
        <w:fldChar w:fldCharType="begin" w:fldLock="1"/>
      </w:r>
      <w:r w:rsidRPr="000E27D8">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Pr="000E27D8">
        <w:fldChar w:fldCharType="separate"/>
      </w:r>
      <w:r w:rsidRPr="000E27D8">
        <w:rPr>
          <w:noProof/>
        </w:rPr>
        <w:t xml:space="preserve">Taylor </w:t>
      </w:r>
      <w:r w:rsidRPr="000E27D8">
        <w:rPr>
          <w:i/>
          <w:noProof/>
        </w:rPr>
        <w:t>et al.</w:t>
      </w:r>
      <w:r w:rsidRPr="000E27D8">
        <w:rPr>
          <w:noProof/>
        </w:rPr>
        <w:t xml:space="preserve"> (2018, 2019</w:t>
      </w:r>
      <w:r w:rsidRPr="000E27D8">
        <w:fldChar w:fldCharType="end"/>
      </w:r>
      <w:r w:rsidRPr="000E27D8">
        <w:t>) for all species</w:t>
      </w:r>
      <w:r>
        <w:t xml:space="preserve"> of ash in the Thomson catchment</w:t>
      </w:r>
    </w:p>
    <w:p w14:paraId="284F421B" w14:textId="23AE07F1" w:rsidR="009217CB" w:rsidRDefault="00C2149B" w:rsidP="00CE5AEC">
      <w:pPr>
        <w:pStyle w:val="Para0"/>
      </w:pPr>
      <w:r>
        <w:t xml:space="preserve">WWS2008 and </w:t>
      </w:r>
      <w:r>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fldChar w:fldCharType="separate"/>
      </w:r>
      <w:r w:rsidRPr="00C2149B">
        <w:rPr>
          <w:noProof/>
        </w:rPr>
        <w:t xml:space="preserve">Taylor </w:t>
      </w:r>
      <w:r w:rsidR="001C1F9A" w:rsidRPr="001C1F9A">
        <w:rPr>
          <w:i/>
          <w:noProof/>
        </w:rPr>
        <w:t>et al.</w:t>
      </w:r>
      <w:r w:rsidRPr="00C2149B">
        <w:rPr>
          <w:noProof/>
        </w:rPr>
        <w:t xml:space="preserve"> </w:t>
      </w:r>
      <w:r>
        <w:rPr>
          <w:noProof/>
        </w:rPr>
        <w:t>(</w:t>
      </w:r>
      <w:r w:rsidRPr="00C2149B">
        <w:rPr>
          <w:noProof/>
        </w:rPr>
        <w:t>2019)</w:t>
      </w:r>
      <w:r>
        <w:fldChar w:fldCharType="end"/>
      </w:r>
      <w:r>
        <w:t xml:space="preserve"> used different approaches for calculating </w:t>
      </w:r>
      <w:r w:rsidR="00FA6A8F">
        <w:t xml:space="preserve">how changes in timber harvesting affected </w:t>
      </w:r>
      <w:r w:rsidR="001834A2">
        <w:t>catchment water yield</w:t>
      </w:r>
      <w:r>
        <w:t xml:space="preserve"> </w:t>
      </w:r>
      <w:r w:rsidR="00FA6A8F">
        <w:t xml:space="preserve">as a percentage of </w:t>
      </w:r>
      <w:r>
        <w:t xml:space="preserve">baseline estimates of streamflow. </w:t>
      </w:r>
      <w:r>
        <w:fldChar w:fldCharType="begin"/>
      </w:r>
      <w:r>
        <w:instrText xml:space="preserve"> REF _Ref25060628 \h </w:instrText>
      </w:r>
      <w:r>
        <w:fldChar w:fldCharType="separate"/>
      </w:r>
      <w:r w:rsidR="00062E08">
        <w:t xml:space="preserve">Table </w:t>
      </w:r>
      <w:r w:rsidR="00062E08">
        <w:rPr>
          <w:noProof/>
        </w:rPr>
        <w:t>4</w:t>
      </w:r>
      <w:r>
        <w:fldChar w:fldCharType="end"/>
      </w:r>
      <w:r>
        <w:t xml:space="preserve"> shows that for </w:t>
      </w:r>
      <w:r w:rsidR="00FA6A8F">
        <w:t xml:space="preserve">the year </w:t>
      </w:r>
      <w:r>
        <w:t xml:space="preserve">2050 (40 years after cessation of logging), WWS2008 projected </w:t>
      </w:r>
      <w:r w:rsidR="009217CB">
        <w:t xml:space="preserve">that </w:t>
      </w:r>
      <w:r w:rsidR="001834A2">
        <w:t>catchment water yield</w:t>
      </w:r>
      <w:r>
        <w:t xml:space="preserve"> </w:t>
      </w:r>
      <w:r w:rsidR="00FA6A8F">
        <w:t xml:space="preserve">would </w:t>
      </w:r>
      <w:r>
        <w:t xml:space="preserve">change by 2.6%, if compared to the </w:t>
      </w:r>
      <w:r w:rsidR="00FA6A8F">
        <w:t xml:space="preserve">then current </w:t>
      </w:r>
      <w:r>
        <w:t xml:space="preserve">estimate </w:t>
      </w:r>
      <w:r w:rsidR="00FA6A8F">
        <w:t xml:space="preserve">of </w:t>
      </w:r>
      <w:r>
        <w:t xml:space="preserve">long-term average inflow to </w:t>
      </w:r>
      <w:r w:rsidR="00FA6A8F">
        <w:t xml:space="preserve">the </w:t>
      </w:r>
      <w:r>
        <w:t>Thomson</w:t>
      </w:r>
      <w:r w:rsidR="00FA6A8F">
        <w:t xml:space="preserve"> catchment</w:t>
      </w:r>
      <w:r>
        <w:t xml:space="preserve">. This would increase to 3% of inflow, if compared to a more recent estimate of long-term average inflow. </w:t>
      </w:r>
      <w:r w:rsidR="00723067">
        <w:t xml:space="preserve">The conclusion of Mein (2008) quotes the impact on cumulative yield to 2050 at “less than 1.5%”, which is consistent with the first row of </w:t>
      </w:r>
      <w:r w:rsidR="00723067">
        <w:fldChar w:fldCharType="begin"/>
      </w:r>
      <w:r w:rsidR="00723067">
        <w:instrText xml:space="preserve"> REF _Ref25060799 \h </w:instrText>
      </w:r>
      <w:r w:rsidR="00723067">
        <w:fldChar w:fldCharType="separate"/>
      </w:r>
      <w:r w:rsidR="00062E08">
        <w:t xml:space="preserve">Table </w:t>
      </w:r>
      <w:r w:rsidR="00062E08">
        <w:rPr>
          <w:noProof/>
        </w:rPr>
        <w:t>5</w:t>
      </w:r>
      <w:r w:rsidR="00723067">
        <w:fldChar w:fldCharType="end"/>
      </w:r>
      <w:r w:rsidR="00723067">
        <w:t xml:space="preserve"> (1.2% change). </w:t>
      </w:r>
    </w:p>
    <w:p w14:paraId="627F51D2" w14:textId="419B5952" w:rsidR="003C11D9" w:rsidRDefault="00723067" w:rsidP="00022403">
      <w:pPr>
        <w:pStyle w:val="Para0"/>
      </w:pPr>
      <w:r>
        <w:t xml:space="preserve">Using a more contemporary estimate of long-term inflow to Thomson </w:t>
      </w:r>
      <w:r w:rsidR="00380A8A">
        <w:t xml:space="preserve">Reservoir </w:t>
      </w:r>
      <w:r>
        <w:t xml:space="preserve">over 40 years would produce a 1.6% change in cumulative </w:t>
      </w:r>
      <w:r w:rsidR="001834A2">
        <w:t>catchment water yield</w:t>
      </w:r>
      <w:r>
        <w:t xml:space="preserve">. </w:t>
      </w:r>
      <w:r>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fldChar w:fldCharType="separate"/>
      </w:r>
      <w:r w:rsidRPr="00C2149B">
        <w:rPr>
          <w:noProof/>
        </w:rPr>
        <w:t xml:space="preserve">Taylor </w:t>
      </w:r>
      <w:r w:rsidR="001C1F9A" w:rsidRPr="001C1F9A">
        <w:rPr>
          <w:i/>
          <w:noProof/>
        </w:rPr>
        <w:t>et al.</w:t>
      </w:r>
      <w:r w:rsidRPr="00C2149B">
        <w:rPr>
          <w:noProof/>
        </w:rPr>
        <w:t xml:space="preserve"> </w:t>
      </w:r>
      <w:r>
        <w:rPr>
          <w:noProof/>
        </w:rPr>
        <w:t>(</w:t>
      </w:r>
      <w:r w:rsidRPr="00C2149B">
        <w:rPr>
          <w:noProof/>
        </w:rPr>
        <w:t>2019)</w:t>
      </w:r>
      <w:r>
        <w:fldChar w:fldCharType="end"/>
      </w:r>
      <w:r>
        <w:t xml:space="preserve"> (see fou</w:t>
      </w:r>
      <w:r w:rsidR="005B2CA5">
        <w:t>r</w:t>
      </w:r>
      <w:r>
        <w:t xml:space="preserve">th row of </w:t>
      </w:r>
      <w:r>
        <w:fldChar w:fldCharType="begin"/>
      </w:r>
      <w:r>
        <w:instrText xml:space="preserve"> REF _Ref25060628 \h </w:instrText>
      </w:r>
      <w:r>
        <w:fldChar w:fldCharType="separate"/>
      </w:r>
      <w:r w:rsidR="00062E08">
        <w:t xml:space="preserve">Table </w:t>
      </w:r>
      <w:r w:rsidR="00062E08">
        <w:rPr>
          <w:noProof/>
        </w:rPr>
        <w:t>4</w:t>
      </w:r>
      <w:r>
        <w:fldChar w:fldCharType="end"/>
      </w:r>
      <w:r>
        <w:t xml:space="preserve">) used an estimate of the mean annual </w:t>
      </w:r>
      <w:r w:rsidR="001834A2">
        <w:t>catchment water yield</w:t>
      </w:r>
      <w:r>
        <w:t xml:space="preserve"> from the AWRA-L model from only the ash forest portion of the Thomson catchment, so the impact of timber harvesting on mean annual </w:t>
      </w:r>
      <w:r w:rsidR="001834A2">
        <w:t>catchment water yield</w:t>
      </w:r>
      <w:r>
        <w:t xml:space="preserve"> at 2064 on this basis would be 18.2%. However, AWRA-L would provide an estimate of runoff which is uncertain and impossible to verify with streamflow gauging. If the modelled impact of timber harvesting was compared to the long-term inflow to Thomson from recorded data, the percentage impact from timber harvesting would be 9.4% (see last row of </w:t>
      </w:r>
      <w:r>
        <w:fldChar w:fldCharType="begin"/>
      </w:r>
      <w:r>
        <w:instrText xml:space="preserve"> REF _Ref25060628 \h </w:instrText>
      </w:r>
      <w:r>
        <w:fldChar w:fldCharType="separate"/>
      </w:r>
      <w:r w:rsidR="00062E08">
        <w:t xml:space="preserve">Table </w:t>
      </w:r>
      <w:r w:rsidR="00062E08">
        <w:rPr>
          <w:noProof/>
        </w:rPr>
        <w:t>4</w:t>
      </w:r>
      <w:r>
        <w:fldChar w:fldCharType="end"/>
      </w:r>
      <w:r>
        <w:t xml:space="preserve">). If the cumulative impact from </w:t>
      </w:r>
      <w:r>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fldChar w:fldCharType="separate"/>
      </w:r>
      <w:r w:rsidRPr="00C2149B">
        <w:rPr>
          <w:noProof/>
        </w:rPr>
        <w:t xml:space="preserve">Taylor </w:t>
      </w:r>
      <w:r w:rsidR="001C1F9A" w:rsidRPr="001C1F9A">
        <w:rPr>
          <w:i/>
          <w:noProof/>
        </w:rPr>
        <w:t>et al.</w:t>
      </w:r>
      <w:r w:rsidRPr="00C2149B">
        <w:rPr>
          <w:noProof/>
        </w:rPr>
        <w:t xml:space="preserve"> </w:t>
      </w:r>
      <w:r>
        <w:rPr>
          <w:noProof/>
        </w:rPr>
        <w:t>(</w:t>
      </w:r>
      <w:r w:rsidRPr="00C2149B">
        <w:rPr>
          <w:noProof/>
        </w:rPr>
        <w:t>2019)</w:t>
      </w:r>
      <w:r>
        <w:fldChar w:fldCharType="end"/>
      </w:r>
      <w:r>
        <w:t xml:space="preserve"> (see last row of </w:t>
      </w:r>
      <w:r>
        <w:lastRenderedPageBreak/>
        <w:fldChar w:fldCharType="begin"/>
      </w:r>
      <w:r>
        <w:instrText xml:space="preserve"> REF _Ref25060799 \h </w:instrText>
      </w:r>
      <w:r>
        <w:fldChar w:fldCharType="separate"/>
      </w:r>
      <w:r w:rsidR="00062E08">
        <w:t xml:space="preserve">Table </w:t>
      </w:r>
      <w:r w:rsidR="00062E08">
        <w:rPr>
          <w:noProof/>
        </w:rPr>
        <w:t>5</w:t>
      </w:r>
      <w:r>
        <w:fldChar w:fldCharType="end"/>
      </w:r>
      <w:r>
        <w:t xml:space="preserve">) was computed from mean annual inflows to </w:t>
      </w:r>
      <w:r w:rsidR="00E25B39">
        <w:t xml:space="preserve">the </w:t>
      </w:r>
      <w:r>
        <w:t xml:space="preserve">Thomson </w:t>
      </w:r>
      <w:r w:rsidR="00E25B39">
        <w:t xml:space="preserve">Reservoir </w:t>
      </w:r>
      <w:r>
        <w:t>since 1997, the percentage impact would be 4.</w:t>
      </w:r>
      <w:r w:rsidR="00377404">
        <w:t>1</w:t>
      </w:r>
      <w:r>
        <w:t xml:space="preserve">%. The percentage impacts from </w:t>
      </w:r>
      <w:r>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fldChar w:fldCharType="separate"/>
      </w:r>
      <w:r w:rsidRPr="00C2149B">
        <w:rPr>
          <w:noProof/>
        </w:rPr>
        <w:t xml:space="preserve">Taylor </w:t>
      </w:r>
      <w:r w:rsidR="001C1F9A" w:rsidRPr="001C1F9A">
        <w:rPr>
          <w:i/>
          <w:noProof/>
        </w:rPr>
        <w:t>et al.</w:t>
      </w:r>
      <w:r w:rsidRPr="00C2149B">
        <w:rPr>
          <w:noProof/>
        </w:rPr>
        <w:t xml:space="preserve"> </w:t>
      </w:r>
      <w:r>
        <w:rPr>
          <w:noProof/>
        </w:rPr>
        <w:t>(</w:t>
      </w:r>
      <w:r w:rsidRPr="00C2149B">
        <w:rPr>
          <w:noProof/>
        </w:rPr>
        <w:t>2019)</w:t>
      </w:r>
      <w:r>
        <w:fldChar w:fldCharType="end"/>
      </w:r>
      <w:r>
        <w:t xml:space="preserve"> are likely to be over-estimated, due to conservative assumptions that were made in modelling the impacts of timber harvesting on </w:t>
      </w:r>
      <w:r w:rsidR="001834A2">
        <w:t>catchment water yield</w:t>
      </w:r>
      <w:r>
        <w:t>.</w:t>
      </w:r>
    </w:p>
    <w:p w14:paraId="7622D9DE" w14:textId="6025AA91" w:rsidR="00304004" w:rsidRDefault="00304004" w:rsidP="00826B62">
      <w:pPr>
        <w:pStyle w:val="Caption"/>
      </w:pPr>
      <w:bookmarkStart w:id="43" w:name="_Ref25060628"/>
      <w:r>
        <w:t xml:space="preserve">Table </w:t>
      </w:r>
      <w:r>
        <w:fldChar w:fldCharType="begin"/>
      </w:r>
      <w:r>
        <w:instrText xml:space="preserve"> SEQ Table \* ARABIC </w:instrText>
      </w:r>
      <w:r>
        <w:fldChar w:fldCharType="separate"/>
      </w:r>
      <w:r w:rsidR="00062E08">
        <w:rPr>
          <w:noProof/>
        </w:rPr>
        <w:t>4</w:t>
      </w:r>
      <w:r>
        <w:fldChar w:fldCharType="end"/>
      </w:r>
      <w:bookmarkEnd w:id="43"/>
      <w:r>
        <w:t xml:space="preserve"> Estimation of percentage changes in </w:t>
      </w:r>
      <w:r w:rsidR="00742B76">
        <w:t xml:space="preserve">mean annual </w:t>
      </w:r>
      <w:r w:rsidR="001834A2">
        <w:t>catchment water yield</w:t>
      </w:r>
      <w:r>
        <w:t xml:space="preserve"> </w:t>
      </w:r>
      <w:r w:rsidR="009217CB">
        <w:t xml:space="preserve">resulting </w:t>
      </w:r>
      <w:r>
        <w:t>from timber ha</w:t>
      </w:r>
      <w:r w:rsidR="00742B76">
        <w:t xml:space="preserve">rvesting scenarios, modelled from WWS2008 and </w:t>
      </w:r>
      <w:r w:rsidR="00742B76" w:rsidRPr="00F21A9D">
        <w:fldChar w:fldCharType="begin" w:fldLock="1"/>
      </w:r>
      <w:r w:rsidR="007416C7" w:rsidRPr="00F21A9D">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742B76" w:rsidRPr="00F21A9D">
        <w:fldChar w:fldCharType="separate"/>
      </w:r>
      <w:r w:rsidR="00742B76" w:rsidRPr="00D90267">
        <w:rPr>
          <w:noProof/>
        </w:rPr>
        <w:t xml:space="preserve">Taylor </w:t>
      </w:r>
      <w:r w:rsidR="001C1F9A" w:rsidRPr="00D90267">
        <w:rPr>
          <w:i/>
          <w:noProof/>
        </w:rPr>
        <w:t>et al.</w:t>
      </w:r>
      <w:r w:rsidR="00742B76" w:rsidRPr="00D90267">
        <w:rPr>
          <w:noProof/>
        </w:rPr>
        <w:t xml:space="preserve"> (2019)</w:t>
      </w:r>
      <w:r w:rsidR="00742B76" w:rsidRPr="00F21A9D">
        <w:fldChar w:fldCharType="end"/>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2580"/>
        <w:gridCol w:w="1499"/>
        <w:gridCol w:w="2013"/>
        <w:gridCol w:w="1432"/>
        <w:gridCol w:w="1254"/>
      </w:tblGrid>
      <w:tr w:rsidR="00304004" w14:paraId="0A646DBE" w14:textId="77777777" w:rsidTr="00633212">
        <w:tc>
          <w:tcPr>
            <w:tcW w:w="0" w:type="auto"/>
            <w:shd w:val="clear" w:color="auto" w:fill="959595"/>
            <w:vAlign w:val="center"/>
          </w:tcPr>
          <w:p w14:paraId="69D99328" w14:textId="7A3A0970" w:rsidR="00304004" w:rsidRDefault="00742B76" w:rsidP="00633212">
            <w:pPr>
              <w:pStyle w:val="TableFontH"/>
              <w:jc w:val="center"/>
            </w:pPr>
            <w:r>
              <w:t xml:space="preserve">Basis of modelled impact on </w:t>
            </w:r>
            <w:r w:rsidR="001834A2">
              <w:t>catchment water yield</w:t>
            </w:r>
          </w:p>
        </w:tc>
        <w:tc>
          <w:tcPr>
            <w:tcW w:w="0" w:type="auto"/>
            <w:shd w:val="clear" w:color="auto" w:fill="959595"/>
            <w:vAlign w:val="center"/>
          </w:tcPr>
          <w:p w14:paraId="5AEF4B82" w14:textId="1F891383" w:rsidR="00304004" w:rsidRDefault="00742B76" w:rsidP="00633212">
            <w:pPr>
              <w:pStyle w:val="TableFontH"/>
              <w:jc w:val="center"/>
            </w:pPr>
            <w:r>
              <w:t xml:space="preserve">Mean annual </w:t>
            </w:r>
            <w:r w:rsidR="001834A2">
              <w:t>catchment water yield</w:t>
            </w:r>
            <w:r>
              <w:t xml:space="preserve"> impact (GL/year)</w:t>
            </w:r>
          </w:p>
        </w:tc>
        <w:tc>
          <w:tcPr>
            <w:tcW w:w="0" w:type="auto"/>
            <w:shd w:val="clear" w:color="auto" w:fill="959595"/>
            <w:vAlign w:val="center"/>
          </w:tcPr>
          <w:p w14:paraId="612C156C" w14:textId="68BE4BF3" w:rsidR="00304004" w:rsidRDefault="00742B76" w:rsidP="00633212">
            <w:pPr>
              <w:pStyle w:val="TableFontH"/>
              <w:jc w:val="center"/>
            </w:pPr>
            <w:r>
              <w:t xml:space="preserve">Basis of </w:t>
            </w:r>
            <w:r w:rsidR="001834A2">
              <w:t>catchment water yield</w:t>
            </w:r>
            <w:r>
              <w:t xml:space="preserve"> estimate</w:t>
            </w:r>
          </w:p>
        </w:tc>
        <w:tc>
          <w:tcPr>
            <w:tcW w:w="0" w:type="auto"/>
            <w:shd w:val="clear" w:color="auto" w:fill="959595"/>
            <w:vAlign w:val="center"/>
          </w:tcPr>
          <w:p w14:paraId="2930B33D" w14:textId="67748E6E" w:rsidR="00304004" w:rsidRDefault="00742B76" w:rsidP="00633212">
            <w:pPr>
              <w:pStyle w:val="TableFontH"/>
              <w:jc w:val="center"/>
            </w:pPr>
            <w:r>
              <w:t xml:space="preserve">Mean annual </w:t>
            </w:r>
            <w:r w:rsidR="001834A2">
              <w:t>catchment water yield</w:t>
            </w:r>
            <w:r>
              <w:t xml:space="preserve"> (GL/year)</w:t>
            </w:r>
          </w:p>
        </w:tc>
        <w:tc>
          <w:tcPr>
            <w:tcW w:w="0" w:type="auto"/>
            <w:shd w:val="clear" w:color="auto" w:fill="959595"/>
            <w:vAlign w:val="center"/>
          </w:tcPr>
          <w:p w14:paraId="4C58EC0C" w14:textId="7C3DBE02" w:rsidR="00304004" w:rsidRDefault="00742B76" w:rsidP="00633212">
            <w:pPr>
              <w:pStyle w:val="TableFontH"/>
              <w:jc w:val="center"/>
            </w:pPr>
            <w:r>
              <w:t>Percentage impact</w:t>
            </w:r>
          </w:p>
        </w:tc>
      </w:tr>
      <w:tr w:rsidR="00686D0B" w14:paraId="739691CF" w14:textId="77777777" w:rsidTr="00CE5AEC">
        <w:trPr>
          <w:cantSplit/>
        </w:trPr>
        <w:tc>
          <w:tcPr>
            <w:tcW w:w="0" w:type="auto"/>
            <w:vMerge w:val="restart"/>
            <w:vAlign w:val="center"/>
          </w:tcPr>
          <w:p w14:paraId="49D2BC48" w14:textId="140B2F7E" w:rsidR="00686D0B" w:rsidRDefault="00686D0B" w:rsidP="00686D0B">
            <w:pPr>
              <w:pStyle w:val="TableFont"/>
            </w:pPr>
            <w:r w:rsidRPr="006A7A19">
              <w:t>Difference between cease logging in 2009</w:t>
            </w:r>
            <w:r w:rsidR="009217CB">
              <w:rPr>
                <w:rFonts w:cs="Arial"/>
              </w:rPr>
              <w:t>–</w:t>
            </w:r>
            <w:r w:rsidRPr="006A7A19">
              <w:t xml:space="preserve">10 and continuation of status quo to </w:t>
            </w:r>
            <w:r w:rsidRPr="007D40E6">
              <w:t>2055 (</w:t>
            </w:r>
            <w:r w:rsidRPr="006A7A19">
              <w:t>scenarios A and J), for Thomson with historical rainfall (Salkin, 2008, Table 25)</w:t>
            </w:r>
          </w:p>
        </w:tc>
        <w:tc>
          <w:tcPr>
            <w:tcW w:w="0" w:type="auto"/>
            <w:vAlign w:val="center"/>
          </w:tcPr>
          <w:p w14:paraId="348E0114" w14:textId="0C29BB82" w:rsidR="00686D0B" w:rsidRDefault="00224FF2" w:rsidP="00686D0B">
            <w:pPr>
              <w:pStyle w:val="TableFont"/>
              <w:jc w:val="center"/>
            </w:pPr>
            <w:r>
              <w:rPr>
                <w:rFonts w:cs="Arial"/>
              </w:rPr>
              <w:t>–</w:t>
            </w:r>
            <w:r w:rsidR="00686D0B" w:rsidRPr="006A7A19">
              <w:t>7.2</w:t>
            </w:r>
          </w:p>
        </w:tc>
        <w:tc>
          <w:tcPr>
            <w:tcW w:w="0" w:type="auto"/>
            <w:vAlign w:val="center"/>
          </w:tcPr>
          <w:p w14:paraId="46B904F2" w14:textId="68FAAA16" w:rsidR="00686D0B" w:rsidRDefault="001834A2" w:rsidP="00686D0B">
            <w:pPr>
              <w:pStyle w:val="TableFont"/>
            </w:pPr>
            <w:r>
              <w:t>Catchment water yield</w:t>
            </w:r>
            <w:r w:rsidR="00686D0B" w:rsidRPr="006A7A19">
              <w:t xml:space="preserve"> for Thomson for historical rainfall (Salkin, 2008, Table</w:t>
            </w:r>
            <w:r w:rsidR="00967838">
              <w:t> </w:t>
            </w:r>
            <w:r w:rsidR="00686D0B" w:rsidRPr="006A7A19">
              <w:t>25)</w:t>
            </w:r>
          </w:p>
        </w:tc>
        <w:tc>
          <w:tcPr>
            <w:tcW w:w="0" w:type="auto"/>
            <w:vAlign w:val="center"/>
          </w:tcPr>
          <w:p w14:paraId="46CC3DD2" w14:textId="2C841E2E" w:rsidR="00686D0B" w:rsidRDefault="00686D0B" w:rsidP="00686D0B">
            <w:pPr>
              <w:pStyle w:val="TableFont"/>
              <w:jc w:val="center"/>
            </w:pPr>
            <w:r w:rsidRPr="006A7A19">
              <w:t>275</w:t>
            </w:r>
          </w:p>
        </w:tc>
        <w:tc>
          <w:tcPr>
            <w:tcW w:w="0" w:type="auto"/>
            <w:vAlign w:val="center"/>
          </w:tcPr>
          <w:p w14:paraId="246C8E29" w14:textId="380B2FB0" w:rsidR="00686D0B" w:rsidRDefault="00224FF2" w:rsidP="00686D0B">
            <w:pPr>
              <w:pStyle w:val="TableFont"/>
              <w:jc w:val="center"/>
            </w:pPr>
            <w:r>
              <w:rPr>
                <w:rFonts w:cs="Arial"/>
              </w:rPr>
              <w:t>–</w:t>
            </w:r>
            <w:r w:rsidR="00686D0B" w:rsidRPr="006A7A19">
              <w:t>2.6%</w:t>
            </w:r>
          </w:p>
        </w:tc>
      </w:tr>
      <w:tr w:rsidR="00686D0B" w14:paraId="32C43FCB" w14:textId="77777777" w:rsidTr="00686D0B">
        <w:tc>
          <w:tcPr>
            <w:tcW w:w="0" w:type="auto"/>
            <w:vMerge/>
            <w:vAlign w:val="center"/>
          </w:tcPr>
          <w:p w14:paraId="7264A702" w14:textId="5973EC19" w:rsidR="00686D0B" w:rsidRDefault="00686D0B" w:rsidP="00686D0B">
            <w:pPr>
              <w:pStyle w:val="TableFont"/>
            </w:pPr>
          </w:p>
        </w:tc>
        <w:tc>
          <w:tcPr>
            <w:tcW w:w="0" w:type="auto"/>
            <w:vAlign w:val="center"/>
          </w:tcPr>
          <w:p w14:paraId="1A67FED3" w14:textId="20313507" w:rsidR="00686D0B" w:rsidRDefault="00224FF2" w:rsidP="00686D0B">
            <w:pPr>
              <w:pStyle w:val="TableFont"/>
              <w:jc w:val="center"/>
            </w:pPr>
            <w:r>
              <w:rPr>
                <w:rFonts w:cs="Arial"/>
              </w:rPr>
              <w:t>–</w:t>
            </w:r>
            <w:r w:rsidR="00686D0B" w:rsidRPr="000C1B26">
              <w:t>7.2</w:t>
            </w:r>
          </w:p>
        </w:tc>
        <w:tc>
          <w:tcPr>
            <w:tcW w:w="0" w:type="auto"/>
            <w:vAlign w:val="center"/>
          </w:tcPr>
          <w:p w14:paraId="5F87C1CE" w14:textId="01A4E337" w:rsidR="00686D0B" w:rsidRDefault="00686D0B" w:rsidP="00F467AA">
            <w:pPr>
              <w:pStyle w:val="TableFont"/>
            </w:pPr>
            <w:r w:rsidRPr="000C1B26">
              <w:t>Long</w:t>
            </w:r>
            <w:r w:rsidR="00D61F2C">
              <w:t>-</w:t>
            </w:r>
            <w:r w:rsidRPr="000C1B26">
              <w:t>term (1913</w:t>
            </w:r>
            <w:r w:rsidR="00D816EF">
              <w:rPr>
                <w:rFonts w:cs="Arial"/>
              </w:rPr>
              <w:t>–</w:t>
            </w:r>
            <w:r w:rsidRPr="000C1B26">
              <w:t xml:space="preserve">2018) mean inflow to Thomson </w:t>
            </w:r>
            <w:r w:rsidR="00F22BEC">
              <w:t>Reservoir</w:t>
            </w:r>
            <w:r w:rsidRPr="000C1B26">
              <w:t xml:space="preserve"> from recent Melbourne Water data</w:t>
            </w:r>
            <w:r>
              <w:t xml:space="preserve"> </w:t>
            </w:r>
          </w:p>
        </w:tc>
        <w:tc>
          <w:tcPr>
            <w:tcW w:w="0" w:type="auto"/>
            <w:vAlign w:val="center"/>
          </w:tcPr>
          <w:p w14:paraId="22A7AB50" w14:textId="1395CAFD" w:rsidR="00686D0B" w:rsidRDefault="00686D0B" w:rsidP="00686D0B">
            <w:pPr>
              <w:pStyle w:val="TableFont"/>
              <w:jc w:val="center"/>
            </w:pPr>
            <w:r w:rsidRPr="000C1B26">
              <w:t>242</w:t>
            </w:r>
          </w:p>
        </w:tc>
        <w:tc>
          <w:tcPr>
            <w:tcW w:w="0" w:type="auto"/>
            <w:vAlign w:val="center"/>
          </w:tcPr>
          <w:p w14:paraId="1563DA8E" w14:textId="2DAD5E31" w:rsidR="00686D0B" w:rsidRDefault="00224FF2" w:rsidP="00686D0B">
            <w:pPr>
              <w:pStyle w:val="TableFont"/>
              <w:jc w:val="center"/>
            </w:pPr>
            <w:r>
              <w:rPr>
                <w:rFonts w:cs="Arial"/>
              </w:rPr>
              <w:t>–</w:t>
            </w:r>
            <w:r w:rsidR="00686D0B" w:rsidRPr="000C1B26">
              <w:t>3.0%</w:t>
            </w:r>
          </w:p>
        </w:tc>
      </w:tr>
      <w:tr w:rsidR="00742B76" w14:paraId="22B6D458" w14:textId="77777777" w:rsidTr="00686D0B">
        <w:tc>
          <w:tcPr>
            <w:tcW w:w="0" w:type="auto"/>
            <w:vAlign w:val="center"/>
          </w:tcPr>
          <w:p w14:paraId="09A6CCE1" w14:textId="6F0353E4" w:rsidR="00742B76" w:rsidRPr="000C1B26" w:rsidRDefault="00742B76" w:rsidP="00686D0B">
            <w:pPr>
              <w:pStyle w:val="TableFont"/>
            </w:pPr>
            <w:r w:rsidRPr="00EB5D1F">
              <w:t>Difference between cease logging in 2009</w:t>
            </w:r>
            <w:r w:rsidR="009217CB">
              <w:rPr>
                <w:rFonts w:cs="Arial"/>
              </w:rPr>
              <w:t>–</w:t>
            </w:r>
            <w:r w:rsidRPr="00EB5D1F">
              <w:t>10 and continuation of status quo to 2050 (scenarios A and J), for all catchments with historical average rainfall (Mein, 2008, Table 5)</w:t>
            </w:r>
          </w:p>
        </w:tc>
        <w:tc>
          <w:tcPr>
            <w:tcW w:w="0" w:type="auto"/>
            <w:vAlign w:val="center"/>
          </w:tcPr>
          <w:p w14:paraId="5F0E9560" w14:textId="6DB65237" w:rsidR="00742B76" w:rsidRPr="000C1B26" w:rsidRDefault="00224FF2" w:rsidP="00686D0B">
            <w:pPr>
              <w:pStyle w:val="TableFont"/>
              <w:jc w:val="center"/>
            </w:pPr>
            <w:r>
              <w:rPr>
                <w:rFonts w:cs="Arial"/>
              </w:rPr>
              <w:t>–</w:t>
            </w:r>
            <w:r w:rsidR="00742B76" w:rsidRPr="00EB5D1F">
              <w:t>16</w:t>
            </w:r>
          </w:p>
        </w:tc>
        <w:tc>
          <w:tcPr>
            <w:tcW w:w="0" w:type="auto"/>
            <w:vAlign w:val="center"/>
          </w:tcPr>
          <w:p w14:paraId="4D856236" w14:textId="735C0E31" w:rsidR="00742B76" w:rsidRPr="000C1B26" w:rsidRDefault="001834A2" w:rsidP="00686D0B">
            <w:pPr>
              <w:pStyle w:val="TableFont"/>
            </w:pPr>
            <w:r>
              <w:t>Catchment water yield</w:t>
            </w:r>
            <w:r w:rsidR="00742B76" w:rsidRPr="00EB5D1F">
              <w:t xml:space="preserve"> for Thomson, Tarago, Bunyip and Yarra tributaries with historical rainfall (Mein, 2008, Table</w:t>
            </w:r>
            <w:r w:rsidR="00967838">
              <w:t> </w:t>
            </w:r>
            <w:r w:rsidR="00742B76" w:rsidRPr="00EB5D1F">
              <w:t>5)</w:t>
            </w:r>
          </w:p>
        </w:tc>
        <w:tc>
          <w:tcPr>
            <w:tcW w:w="0" w:type="auto"/>
            <w:vAlign w:val="center"/>
          </w:tcPr>
          <w:p w14:paraId="11157F65" w14:textId="67BB6A3F" w:rsidR="00742B76" w:rsidRPr="000C1B26" w:rsidRDefault="00742B76" w:rsidP="00686D0B">
            <w:pPr>
              <w:pStyle w:val="TableFont"/>
              <w:jc w:val="center"/>
            </w:pPr>
            <w:r w:rsidRPr="00EB5D1F">
              <w:t>431</w:t>
            </w:r>
          </w:p>
        </w:tc>
        <w:tc>
          <w:tcPr>
            <w:tcW w:w="0" w:type="auto"/>
            <w:vAlign w:val="center"/>
          </w:tcPr>
          <w:p w14:paraId="00C50E00" w14:textId="067CFE4C" w:rsidR="00742B76" w:rsidRPr="000C1B26" w:rsidRDefault="00224FF2" w:rsidP="00686D0B">
            <w:pPr>
              <w:pStyle w:val="TableFont"/>
              <w:jc w:val="center"/>
            </w:pPr>
            <w:r>
              <w:rPr>
                <w:rFonts w:cs="Arial"/>
              </w:rPr>
              <w:t>–</w:t>
            </w:r>
            <w:r w:rsidR="00742B76" w:rsidRPr="00EB5D1F">
              <w:t>3.7%</w:t>
            </w:r>
          </w:p>
        </w:tc>
      </w:tr>
      <w:tr w:rsidR="00686D0B" w14:paraId="7B37B907" w14:textId="77777777" w:rsidTr="00D445E6">
        <w:trPr>
          <w:cantSplit/>
        </w:trPr>
        <w:tc>
          <w:tcPr>
            <w:tcW w:w="0" w:type="auto"/>
            <w:vMerge w:val="restart"/>
            <w:vAlign w:val="center"/>
          </w:tcPr>
          <w:p w14:paraId="72D59ACD" w14:textId="3CDE7A28" w:rsidR="00686D0B" w:rsidRDefault="00686D0B" w:rsidP="00686D0B">
            <w:pPr>
              <w:pStyle w:val="TableFont"/>
            </w:pPr>
            <w:r w:rsidRPr="009E6165">
              <w:t>Taylor (2019) difference between cease logging in 2019 and status quo at 2064</w:t>
            </w:r>
          </w:p>
        </w:tc>
        <w:tc>
          <w:tcPr>
            <w:tcW w:w="0" w:type="auto"/>
            <w:vAlign w:val="center"/>
          </w:tcPr>
          <w:p w14:paraId="07A09C71" w14:textId="043455E5" w:rsidR="00686D0B" w:rsidRDefault="00224FF2" w:rsidP="00686D0B">
            <w:pPr>
              <w:pStyle w:val="TableFont"/>
              <w:jc w:val="center"/>
            </w:pPr>
            <w:r>
              <w:rPr>
                <w:rFonts w:cs="Arial"/>
              </w:rPr>
              <w:t>–</w:t>
            </w:r>
            <w:r w:rsidR="00686D0B" w:rsidRPr="009E6165">
              <w:t>23</w:t>
            </w:r>
          </w:p>
        </w:tc>
        <w:tc>
          <w:tcPr>
            <w:tcW w:w="0" w:type="auto"/>
            <w:vAlign w:val="center"/>
          </w:tcPr>
          <w:p w14:paraId="379E592B" w14:textId="0A1F3683" w:rsidR="00686D0B" w:rsidRDefault="00686D0B" w:rsidP="00686D0B">
            <w:pPr>
              <w:pStyle w:val="TableFont"/>
            </w:pPr>
            <w:r w:rsidRPr="009E6165">
              <w:t>Taylor (2019) estimate of inflows from ash</w:t>
            </w:r>
            <w:r>
              <w:t xml:space="preserve"> forest</w:t>
            </w:r>
            <w:r w:rsidRPr="009E6165">
              <w:t xml:space="preserve"> portion of Thomson catchment only (from AWRA-L model)</w:t>
            </w:r>
          </w:p>
        </w:tc>
        <w:tc>
          <w:tcPr>
            <w:tcW w:w="0" w:type="auto"/>
            <w:vAlign w:val="center"/>
          </w:tcPr>
          <w:p w14:paraId="50CF905A" w14:textId="1D8A1185" w:rsidR="00686D0B" w:rsidRDefault="00686D0B" w:rsidP="00686D0B">
            <w:pPr>
              <w:pStyle w:val="TableFont"/>
              <w:jc w:val="center"/>
            </w:pPr>
            <w:r w:rsidRPr="009E6165">
              <w:t>125</w:t>
            </w:r>
          </w:p>
        </w:tc>
        <w:tc>
          <w:tcPr>
            <w:tcW w:w="0" w:type="auto"/>
            <w:vAlign w:val="center"/>
          </w:tcPr>
          <w:p w14:paraId="45E19C58" w14:textId="66CFF314" w:rsidR="00686D0B" w:rsidRDefault="00224FF2" w:rsidP="00686D0B">
            <w:pPr>
              <w:pStyle w:val="TableFont"/>
              <w:jc w:val="center"/>
            </w:pPr>
            <w:r>
              <w:rPr>
                <w:rFonts w:cs="Arial"/>
              </w:rPr>
              <w:t>–</w:t>
            </w:r>
            <w:r w:rsidR="00686D0B" w:rsidRPr="009E6165">
              <w:t>18.2%</w:t>
            </w:r>
          </w:p>
        </w:tc>
      </w:tr>
      <w:tr w:rsidR="00686D0B" w14:paraId="029D298A" w14:textId="77777777" w:rsidTr="00686D0B">
        <w:tc>
          <w:tcPr>
            <w:tcW w:w="0" w:type="auto"/>
            <w:vMerge/>
            <w:vAlign w:val="center"/>
          </w:tcPr>
          <w:p w14:paraId="684150BA" w14:textId="5AC96780" w:rsidR="00686D0B" w:rsidRDefault="00686D0B" w:rsidP="00686D0B">
            <w:pPr>
              <w:pStyle w:val="TableFont"/>
            </w:pPr>
          </w:p>
        </w:tc>
        <w:tc>
          <w:tcPr>
            <w:tcW w:w="0" w:type="auto"/>
            <w:vAlign w:val="center"/>
          </w:tcPr>
          <w:p w14:paraId="2CC2D15A" w14:textId="52AD2BA5" w:rsidR="00686D0B" w:rsidRDefault="00224FF2" w:rsidP="00686D0B">
            <w:pPr>
              <w:pStyle w:val="TableFont"/>
              <w:jc w:val="center"/>
            </w:pPr>
            <w:r>
              <w:rPr>
                <w:rFonts w:cs="Arial"/>
              </w:rPr>
              <w:t>–</w:t>
            </w:r>
            <w:r w:rsidR="00686D0B" w:rsidRPr="008D3E72">
              <w:t>23</w:t>
            </w:r>
          </w:p>
        </w:tc>
        <w:tc>
          <w:tcPr>
            <w:tcW w:w="0" w:type="auto"/>
            <w:vAlign w:val="center"/>
          </w:tcPr>
          <w:p w14:paraId="48E6451C" w14:textId="6ACD335A" w:rsidR="00686D0B" w:rsidRDefault="00686D0B" w:rsidP="00686D0B">
            <w:pPr>
              <w:pStyle w:val="TableFont"/>
            </w:pPr>
            <w:r w:rsidRPr="008D3E72">
              <w:t>Long</w:t>
            </w:r>
            <w:r w:rsidR="00D61F2C">
              <w:t>-</w:t>
            </w:r>
            <w:r w:rsidRPr="008D3E72">
              <w:t>term (1913</w:t>
            </w:r>
            <w:r w:rsidR="00D816EF">
              <w:rPr>
                <w:rFonts w:cs="Arial"/>
              </w:rPr>
              <w:t>–</w:t>
            </w:r>
            <w:r w:rsidRPr="008D3E72">
              <w:t xml:space="preserve">2018) mean inflow to Thomson </w:t>
            </w:r>
            <w:r w:rsidR="00D816EF">
              <w:t>Reservoir</w:t>
            </w:r>
            <w:r w:rsidR="00D816EF" w:rsidRPr="008D3E72">
              <w:t xml:space="preserve"> </w:t>
            </w:r>
            <w:r w:rsidRPr="008D3E72">
              <w:t>from recent Melbourne Water data</w:t>
            </w:r>
            <w:r w:rsidR="00D816EF">
              <w:t xml:space="preserve"> </w:t>
            </w:r>
          </w:p>
        </w:tc>
        <w:tc>
          <w:tcPr>
            <w:tcW w:w="0" w:type="auto"/>
            <w:vAlign w:val="center"/>
          </w:tcPr>
          <w:p w14:paraId="44F60DBA" w14:textId="2A72A86A" w:rsidR="00686D0B" w:rsidRDefault="00686D0B" w:rsidP="00686D0B">
            <w:pPr>
              <w:pStyle w:val="TableFont"/>
              <w:jc w:val="center"/>
            </w:pPr>
            <w:r w:rsidRPr="008D3E72">
              <w:t>242</w:t>
            </w:r>
          </w:p>
        </w:tc>
        <w:tc>
          <w:tcPr>
            <w:tcW w:w="0" w:type="auto"/>
            <w:vAlign w:val="center"/>
          </w:tcPr>
          <w:p w14:paraId="2E796825" w14:textId="5D37F091" w:rsidR="00686D0B" w:rsidRDefault="00224FF2" w:rsidP="00686D0B">
            <w:pPr>
              <w:pStyle w:val="TableFont"/>
              <w:jc w:val="center"/>
            </w:pPr>
            <w:r>
              <w:rPr>
                <w:rFonts w:cs="Arial"/>
              </w:rPr>
              <w:t>–</w:t>
            </w:r>
            <w:r w:rsidR="00686D0B" w:rsidRPr="008D3E72">
              <w:t>9.4%</w:t>
            </w:r>
          </w:p>
        </w:tc>
      </w:tr>
    </w:tbl>
    <w:p w14:paraId="7A68F6B7" w14:textId="74F70F2F" w:rsidR="0049618C" w:rsidRDefault="0049618C" w:rsidP="0049618C">
      <w:pPr>
        <w:pStyle w:val="Para0"/>
      </w:pPr>
      <w:r>
        <w:t xml:space="preserve">It should be noted that the catchment water yields derived by Feikema </w:t>
      </w:r>
      <w:r w:rsidRPr="001C1F9A">
        <w:rPr>
          <w:i/>
        </w:rPr>
        <w:t>et al.</w:t>
      </w:r>
      <w:r>
        <w:t xml:space="preserve"> (2006) using the Macaque model were calibrated to 45 years of gauged streamflow data for the Thomson catchment. This review has used a three-part split sample calibration and validation approach to demonstrate the robustness of the calibration of the Macaque model, at least for the period of streamflow data that the model was calibrated to. </w:t>
      </w:r>
      <w:r>
        <w:fldChar w:fldCharType="begin"/>
      </w:r>
      <w:r>
        <w:instrText xml:space="preserve"> REF _Ref24039366 \h </w:instrText>
      </w:r>
      <w:r>
        <w:fldChar w:fldCharType="separate"/>
      </w:r>
      <w:r w:rsidR="00062E08">
        <w:t xml:space="preserve">Table </w:t>
      </w:r>
      <w:r w:rsidR="00062E08">
        <w:rPr>
          <w:noProof/>
        </w:rPr>
        <w:t>6</w:t>
      </w:r>
      <w:r>
        <w:fldChar w:fldCharType="end"/>
      </w:r>
      <w:r>
        <w:t xml:space="preserve"> shows that the Macaque model for the Thomson achieved very good calibration for both Nash</w:t>
      </w:r>
      <w:r>
        <w:rPr>
          <w:rFonts w:cs="Arial"/>
        </w:rPr>
        <w:t>–</w:t>
      </w:r>
      <w:r>
        <w:t xml:space="preserve">Sutcliffe Coefficient of Efficiency and mean bias for 12 of the 14 possible metrics, and good calibration for the remaining two, when assessed against the </w:t>
      </w:r>
      <w:r>
        <w:fldChar w:fldCharType="begin" w:fldLock="1"/>
      </w:r>
      <w:r>
        <w:instrText>ADDIN CSL_CITATION {"citationItems":[{"id":"ITEM-1","itemData":{"author":[{"dropping-particle":"","family":"Moriasi","given":"D. N.","non-dropping-particle":"","parse-names":false,"suffix":""},{"dropping-particle":"","family":"Arnold","given":"J. G.","non-dropping-particle":"","parse-names":false,"suffix":""},{"dropping-particle":"","family":"Liew","given":"M. W.","non-dropping-particle":"Van","parse-names":false,"suffix":""},{"dropping-particle":"","family":"Bingner","given":"R. L.","non-dropping-particle":"","parse-names":false,"suffix":""},{"dropping-particle":"","family":"Harmel","given":"R. D.","non-dropping-particle":"","parse-names":false,"suffix":""},{"dropping-particle":"","family":"Veith","given":"T. L.","non-dropping-particle":"","parse-names":false,"suffix":""}],"container-title":"American Society of Agricultural and Biological Engineers","id":"ITEM-1","issue":"3","issued":{"date-parts":[["2007"]]},"page":"885-900","title":"Model evaluation guidelines for systematic quantification of accuracy in watershed simulations","type":"article-journal","volume":"50"},"uris":["http://www.mendeley.com/documents/?uuid=2d4b2f63-caa3-444c-a7ff-b4d5cc2c6543"]}],"mendeley":{"formattedCitation":"(Moriasi &lt;i&gt;et al.&lt;/i&gt;, 2007)","manualFormatting":"Moriasi et al. (2007)","plainTextFormattedCitation":"(Moriasi et al., 2007)","previouslyFormattedCitation":"(Moriasi &lt;i&gt;et al.&lt;/i&gt;, 2007)"},"properties":{"noteIndex":0},"schema":"https://github.com/citation-style-language/schema/raw/master/csl-citation.json"}</w:instrText>
      </w:r>
      <w:r>
        <w:fldChar w:fldCharType="separate"/>
      </w:r>
      <w:r w:rsidRPr="0010108C">
        <w:rPr>
          <w:noProof/>
        </w:rPr>
        <w:t xml:space="preserve">Moriasi </w:t>
      </w:r>
      <w:r w:rsidRPr="0010108C">
        <w:rPr>
          <w:i/>
          <w:noProof/>
        </w:rPr>
        <w:t>et al.</w:t>
      </w:r>
      <w:r w:rsidRPr="0010108C">
        <w:rPr>
          <w:noProof/>
        </w:rPr>
        <w:t xml:space="preserve"> </w:t>
      </w:r>
      <w:r>
        <w:rPr>
          <w:noProof/>
        </w:rPr>
        <w:t>(</w:t>
      </w:r>
      <w:r w:rsidRPr="0010108C">
        <w:rPr>
          <w:noProof/>
        </w:rPr>
        <w:t>2007)</w:t>
      </w:r>
      <w:r>
        <w:fldChar w:fldCharType="end"/>
      </w:r>
      <w:r>
        <w:t xml:space="preserve"> criteria. These criteria are commonly applied to assess the </w:t>
      </w:r>
      <w:r>
        <w:lastRenderedPageBreak/>
        <w:t xml:space="preserve">suitability of rainfall runoff model calibration. Similar calibration to gauged streamflow data has not yet been published for the </w:t>
      </w:r>
      <w:r>
        <w:fldChar w:fldCharType="begin" w:fldLock="1"/>
      </w:r>
      <w:r>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fldChar w:fldCharType="separate"/>
      </w:r>
      <w:r w:rsidRPr="00A70DC2">
        <w:rPr>
          <w:noProof/>
        </w:rPr>
        <w:t xml:space="preserve">Taylor </w:t>
      </w:r>
      <w:r w:rsidRPr="001C1F9A">
        <w:rPr>
          <w:i/>
          <w:noProof/>
        </w:rPr>
        <w:t>et al.</w:t>
      </w:r>
      <w:r>
        <w:rPr>
          <w:noProof/>
        </w:rPr>
        <w:t xml:space="preserve"> (</w:t>
      </w:r>
      <w:r w:rsidRPr="00A70DC2">
        <w:rPr>
          <w:noProof/>
        </w:rPr>
        <w:t>2018, 2019</w:t>
      </w:r>
      <w:r>
        <w:fldChar w:fldCharType="end"/>
      </w:r>
      <w:r>
        <w:t>) model for timber harvesting impacts</w:t>
      </w:r>
      <w:r w:rsidRPr="00354494">
        <w:rPr>
          <w:rStyle w:val="FootnoteReference"/>
        </w:rPr>
        <w:footnoteReference w:id="4"/>
      </w:r>
      <w:r>
        <w:t>.</w:t>
      </w:r>
    </w:p>
    <w:p w14:paraId="2AB33EC8" w14:textId="4614C1AB" w:rsidR="00742B76" w:rsidRDefault="00742B76" w:rsidP="00D445E6">
      <w:pPr>
        <w:pStyle w:val="Caption"/>
      </w:pPr>
      <w:bookmarkStart w:id="44" w:name="_Ref25060799"/>
      <w:r>
        <w:t xml:space="preserve">Table </w:t>
      </w:r>
      <w:r>
        <w:fldChar w:fldCharType="begin"/>
      </w:r>
      <w:r>
        <w:instrText xml:space="preserve"> SEQ Table \* ARABIC </w:instrText>
      </w:r>
      <w:r>
        <w:fldChar w:fldCharType="separate"/>
      </w:r>
      <w:r w:rsidR="00062E08">
        <w:rPr>
          <w:noProof/>
        </w:rPr>
        <w:t>5</w:t>
      </w:r>
      <w:r>
        <w:fldChar w:fldCharType="end"/>
      </w:r>
      <w:bookmarkEnd w:id="44"/>
      <w:r>
        <w:t xml:space="preserve"> Estimation of percentage changes in cumulative </w:t>
      </w:r>
      <w:r w:rsidR="001834A2">
        <w:t>catchment water yield</w:t>
      </w:r>
      <w:r>
        <w:t xml:space="preserve"> from timber harvesting scenarios, modelled from WWS2008 and </w:t>
      </w:r>
      <w:r w:rsidRPr="00F21A9D">
        <w:fldChar w:fldCharType="begin" w:fldLock="1"/>
      </w:r>
      <w:r w:rsidR="007416C7" w:rsidRPr="00F21A9D">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Pr="00F21A9D">
        <w:fldChar w:fldCharType="separate"/>
      </w:r>
      <w:r w:rsidRPr="00D90267">
        <w:rPr>
          <w:noProof/>
        </w:rPr>
        <w:t xml:space="preserve">Taylor </w:t>
      </w:r>
      <w:r w:rsidR="001C1F9A" w:rsidRPr="00D90267">
        <w:rPr>
          <w:i/>
          <w:noProof/>
        </w:rPr>
        <w:t>et al.</w:t>
      </w:r>
      <w:r w:rsidRPr="00D90267">
        <w:rPr>
          <w:noProof/>
        </w:rPr>
        <w:t xml:space="preserve"> (2019)</w:t>
      </w:r>
      <w:r w:rsidRPr="00F21A9D">
        <w:fldChar w:fldCharType="end"/>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2650"/>
        <w:gridCol w:w="1505"/>
        <w:gridCol w:w="1931"/>
        <w:gridCol w:w="1438"/>
        <w:gridCol w:w="1254"/>
      </w:tblGrid>
      <w:tr w:rsidR="00F22BEC" w14:paraId="3BE01185" w14:textId="77777777" w:rsidTr="00686D0B">
        <w:tc>
          <w:tcPr>
            <w:tcW w:w="0" w:type="auto"/>
            <w:shd w:val="clear" w:color="auto" w:fill="959595"/>
          </w:tcPr>
          <w:p w14:paraId="397C3AD3" w14:textId="22D374E9" w:rsidR="00742B76" w:rsidRDefault="00742B76" w:rsidP="00742B76">
            <w:pPr>
              <w:pStyle w:val="TableFontH"/>
            </w:pPr>
            <w:r>
              <w:t xml:space="preserve">Basis of modelled impact on </w:t>
            </w:r>
            <w:r w:rsidR="001834A2">
              <w:t>catchment water yield</w:t>
            </w:r>
          </w:p>
        </w:tc>
        <w:tc>
          <w:tcPr>
            <w:tcW w:w="0" w:type="auto"/>
            <w:shd w:val="clear" w:color="auto" w:fill="959595"/>
          </w:tcPr>
          <w:p w14:paraId="6DE98505" w14:textId="27346052" w:rsidR="00742B76" w:rsidRDefault="00A60A43" w:rsidP="00742B76">
            <w:pPr>
              <w:pStyle w:val="TableFontH"/>
            </w:pPr>
            <w:r>
              <w:t>Cumulative</w:t>
            </w:r>
            <w:r w:rsidR="00742B76">
              <w:t xml:space="preserve"> </w:t>
            </w:r>
            <w:r w:rsidR="001834A2">
              <w:t>catchment water yield</w:t>
            </w:r>
            <w:r w:rsidR="00742B76">
              <w:t xml:space="preserve"> impact (GL)</w:t>
            </w:r>
          </w:p>
        </w:tc>
        <w:tc>
          <w:tcPr>
            <w:tcW w:w="0" w:type="auto"/>
            <w:shd w:val="clear" w:color="auto" w:fill="959595"/>
          </w:tcPr>
          <w:p w14:paraId="32A0FEE3" w14:textId="6E343041" w:rsidR="00742B76" w:rsidRDefault="00742B76" w:rsidP="00742B76">
            <w:pPr>
              <w:pStyle w:val="TableFontH"/>
            </w:pPr>
            <w:r>
              <w:t xml:space="preserve">Basis of </w:t>
            </w:r>
            <w:r w:rsidR="001834A2">
              <w:t>catchment water yield</w:t>
            </w:r>
            <w:r>
              <w:t xml:space="preserve"> estimate</w:t>
            </w:r>
          </w:p>
        </w:tc>
        <w:tc>
          <w:tcPr>
            <w:tcW w:w="0" w:type="auto"/>
            <w:shd w:val="clear" w:color="auto" w:fill="959595"/>
          </w:tcPr>
          <w:p w14:paraId="655F1DDC" w14:textId="60BE1FD8" w:rsidR="00742B76" w:rsidRDefault="00A60A43" w:rsidP="00742B76">
            <w:pPr>
              <w:pStyle w:val="TableFontH"/>
            </w:pPr>
            <w:r>
              <w:t xml:space="preserve">Cumulative </w:t>
            </w:r>
            <w:r w:rsidR="001834A2">
              <w:t>catchment water yield</w:t>
            </w:r>
            <w:r w:rsidR="00742B76">
              <w:t xml:space="preserve"> (GL)</w:t>
            </w:r>
          </w:p>
        </w:tc>
        <w:tc>
          <w:tcPr>
            <w:tcW w:w="0" w:type="auto"/>
            <w:shd w:val="clear" w:color="auto" w:fill="959595"/>
          </w:tcPr>
          <w:p w14:paraId="0D096122" w14:textId="77777777" w:rsidR="00742B76" w:rsidRDefault="00742B76" w:rsidP="00742B76">
            <w:pPr>
              <w:pStyle w:val="TableFontH"/>
            </w:pPr>
            <w:r>
              <w:t>Percentage impact</w:t>
            </w:r>
          </w:p>
        </w:tc>
      </w:tr>
      <w:tr w:rsidR="00F22BEC" w14:paraId="257CEDC4" w14:textId="77777777" w:rsidTr="00686D0B">
        <w:tc>
          <w:tcPr>
            <w:tcW w:w="0" w:type="auto"/>
            <w:vMerge w:val="restart"/>
            <w:vAlign w:val="center"/>
          </w:tcPr>
          <w:p w14:paraId="1D070208" w14:textId="2556928B" w:rsidR="00686D0B" w:rsidRDefault="00686D0B" w:rsidP="00686D0B">
            <w:pPr>
              <w:pStyle w:val="TableFont"/>
            </w:pPr>
            <w:r w:rsidRPr="00B55302">
              <w:t>Difference between cease logging in 2009</w:t>
            </w:r>
            <w:r w:rsidR="00B75F0D">
              <w:rPr>
                <w:rFonts w:cs="Arial"/>
              </w:rPr>
              <w:t>–</w:t>
            </w:r>
            <w:r w:rsidRPr="00B55302">
              <w:t>10 and continuation of status quo to 2050 (scenarios A and J), for Thomson catchment with reduced average rainfall (Salkin, 2008, Table 27)</w:t>
            </w:r>
            <w:r w:rsidR="00B75F0D">
              <w:t xml:space="preserve"> </w:t>
            </w:r>
          </w:p>
        </w:tc>
        <w:tc>
          <w:tcPr>
            <w:tcW w:w="0" w:type="auto"/>
            <w:vAlign w:val="center"/>
          </w:tcPr>
          <w:p w14:paraId="30E5A135" w14:textId="054094AC" w:rsidR="00686D0B" w:rsidRDefault="00CF34F0" w:rsidP="00686D0B">
            <w:pPr>
              <w:pStyle w:val="TableFont"/>
              <w:jc w:val="center"/>
            </w:pPr>
            <w:r>
              <w:rPr>
                <w:rFonts w:cs="Arial"/>
              </w:rPr>
              <w:t>–</w:t>
            </w:r>
            <w:r w:rsidR="00686D0B" w:rsidRPr="00B55302">
              <w:t>109</w:t>
            </w:r>
          </w:p>
        </w:tc>
        <w:tc>
          <w:tcPr>
            <w:tcW w:w="0" w:type="auto"/>
            <w:vAlign w:val="center"/>
          </w:tcPr>
          <w:p w14:paraId="74663FD9" w14:textId="2D9965D6" w:rsidR="00686D0B" w:rsidRDefault="001834A2" w:rsidP="00686D0B">
            <w:pPr>
              <w:pStyle w:val="TableFont"/>
            </w:pPr>
            <w:r>
              <w:t>Catchment water yield</w:t>
            </w:r>
            <w:r w:rsidR="00686D0B" w:rsidRPr="00B55302">
              <w:t xml:space="preserve"> for Thomson for reduced rainfall (Salkin, 2008, Table</w:t>
            </w:r>
            <w:r w:rsidR="00967838">
              <w:t> </w:t>
            </w:r>
            <w:r w:rsidR="00686D0B" w:rsidRPr="00B55302">
              <w:t>27)</w:t>
            </w:r>
          </w:p>
        </w:tc>
        <w:tc>
          <w:tcPr>
            <w:tcW w:w="0" w:type="auto"/>
            <w:vAlign w:val="center"/>
          </w:tcPr>
          <w:p w14:paraId="11AC609F" w14:textId="77777777" w:rsidR="00686D0B" w:rsidRDefault="00686D0B" w:rsidP="00686D0B">
            <w:pPr>
              <w:pStyle w:val="TableFont"/>
              <w:jc w:val="center"/>
            </w:pPr>
            <w:r w:rsidRPr="00B55302">
              <w:t>9259</w:t>
            </w:r>
          </w:p>
        </w:tc>
        <w:tc>
          <w:tcPr>
            <w:tcW w:w="0" w:type="auto"/>
            <w:vAlign w:val="center"/>
          </w:tcPr>
          <w:p w14:paraId="1D035FBF" w14:textId="19944A7A" w:rsidR="00686D0B" w:rsidRDefault="00CF34F0" w:rsidP="00686D0B">
            <w:pPr>
              <w:pStyle w:val="TableFont"/>
              <w:jc w:val="center"/>
            </w:pPr>
            <w:r>
              <w:rPr>
                <w:rFonts w:cs="Arial"/>
              </w:rPr>
              <w:t>–</w:t>
            </w:r>
            <w:r w:rsidR="00686D0B" w:rsidRPr="00B55302">
              <w:t>1.2%</w:t>
            </w:r>
          </w:p>
        </w:tc>
      </w:tr>
      <w:tr w:rsidR="00F22BEC" w14:paraId="576B36DD" w14:textId="77777777" w:rsidTr="00686D0B">
        <w:tc>
          <w:tcPr>
            <w:tcW w:w="0" w:type="auto"/>
            <w:vMerge/>
            <w:vAlign w:val="center"/>
          </w:tcPr>
          <w:p w14:paraId="1E0CEFB0" w14:textId="44BA47B4" w:rsidR="00686D0B" w:rsidRDefault="00686D0B" w:rsidP="00686D0B">
            <w:pPr>
              <w:pStyle w:val="TableFont"/>
            </w:pPr>
          </w:p>
        </w:tc>
        <w:tc>
          <w:tcPr>
            <w:tcW w:w="0" w:type="auto"/>
            <w:vAlign w:val="center"/>
          </w:tcPr>
          <w:p w14:paraId="7153FAA4" w14:textId="68F9E270" w:rsidR="00686D0B" w:rsidRDefault="00CF34F0" w:rsidP="00686D0B">
            <w:pPr>
              <w:pStyle w:val="TableFont"/>
              <w:jc w:val="center"/>
            </w:pPr>
            <w:r>
              <w:rPr>
                <w:rFonts w:cs="Arial"/>
              </w:rPr>
              <w:t>–</w:t>
            </w:r>
            <w:r w:rsidR="00686D0B" w:rsidRPr="000F36FA">
              <w:t>109</w:t>
            </w:r>
          </w:p>
        </w:tc>
        <w:tc>
          <w:tcPr>
            <w:tcW w:w="0" w:type="auto"/>
            <w:vAlign w:val="center"/>
          </w:tcPr>
          <w:p w14:paraId="3DC35F43" w14:textId="6704F344" w:rsidR="00686D0B" w:rsidRDefault="00686D0B" w:rsidP="00F467AA">
            <w:pPr>
              <w:pStyle w:val="TableFont"/>
            </w:pPr>
            <w:r w:rsidRPr="000F36FA">
              <w:t xml:space="preserve">Mean </w:t>
            </w:r>
            <w:r w:rsidR="00F22BEC">
              <w:t xml:space="preserve">annual </w:t>
            </w:r>
            <w:r w:rsidRPr="000F36FA">
              <w:t xml:space="preserve">inflow to Thomson </w:t>
            </w:r>
            <w:r w:rsidR="00CF34F0">
              <w:t>Reservoir</w:t>
            </w:r>
            <w:r w:rsidR="00CF34F0" w:rsidRPr="000F36FA">
              <w:t xml:space="preserve"> </w:t>
            </w:r>
            <w:r w:rsidRPr="000F36FA">
              <w:t>for 1997</w:t>
            </w:r>
            <w:r w:rsidR="00CF34F0">
              <w:rPr>
                <w:rFonts w:cs="Arial"/>
              </w:rPr>
              <w:t>–</w:t>
            </w:r>
            <w:r w:rsidRPr="000F36FA">
              <w:t>2018 from recent Melbourne Water data</w:t>
            </w:r>
            <w:r>
              <w:t xml:space="preserve"> over 40 years</w:t>
            </w:r>
            <w:r w:rsidR="00CF34F0">
              <w:t xml:space="preserve"> </w:t>
            </w:r>
          </w:p>
        </w:tc>
        <w:tc>
          <w:tcPr>
            <w:tcW w:w="0" w:type="auto"/>
            <w:vAlign w:val="center"/>
          </w:tcPr>
          <w:p w14:paraId="0B2A6695" w14:textId="12F4AB61" w:rsidR="00686D0B" w:rsidRDefault="00583C9E" w:rsidP="00686D0B">
            <w:pPr>
              <w:pStyle w:val="TableFont"/>
              <w:jc w:val="center"/>
            </w:pPr>
            <w:r>
              <w:t>6923</w:t>
            </w:r>
          </w:p>
        </w:tc>
        <w:tc>
          <w:tcPr>
            <w:tcW w:w="0" w:type="auto"/>
            <w:vAlign w:val="center"/>
          </w:tcPr>
          <w:p w14:paraId="74AE226A" w14:textId="43F55D28" w:rsidR="00686D0B" w:rsidRDefault="00CF34F0" w:rsidP="00686D0B">
            <w:pPr>
              <w:pStyle w:val="TableFont"/>
              <w:jc w:val="center"/>
            </w:pPr>
            <w:r>
              <w:rPr>
                <w:rFonts w:cs="Arial"/>
              </w:rPr>
              <w:t>–</w:t>
            </w:r>
            <w:r w:rsidR="00686D0B" w:rsidRPr="000F36FA">
              <w:t>1.6%</w:t>
            </w:r>
          </w:p>
        </w:tc>
      </w:tr>
      <w:tr w:rsidR="00F22BEC" w14:paraId="330168DE" w14:textId="77777777" w:rsidTr="00686D0B">
        <w:tc>
          <w:tcPr>
            <w:tcW w:w="0" w:type="auto"/>
            <w:vAlign w:val="center"/>
          </w:tcPr>
          <w:p w14:paraId="3AC6627D" w14:textId="1A16732F" w:rsidR="00686D0B" w:rsidRDefault="00686D0B" w:rsidP="00686D0B">
            <w:pPr>
              <w:pStyle w:val="TableFont"/>
            </w:pPr>
            <w:r w:rsidRPr="001930D4">
              <w:t>Taylor (2019) difference between cease logging in 2019 and status quo at 2064</w:t>
            </w:r>
          </w:p>
        </w:tc>
        <w:tc>
          <w:tcPr>
            <w:tcW w:w="0" w:type="auto"/>
            <w:vAlign w:val="center"/>
          </w:tcPr>
          <w:p w14:paraId="67BD2B93" w14:textId="37039F20" w:rsidR="00686D0B" w:rsidRDefault="00CF34F0" w:rsidP="00686D0B">
            <w:pPr>
              <w:pStyle w:val="TableFont"/>
              <w:jc w:val="center"/>
            </w:pPr>
            <w:r>
              <w:rPr>
                <w:rFonts w:cs="Arial"/>
              </w:rPr>
              <w:t>–</w:t>
            </w:r>
            <w:r w:rsidR="00686D0B" w:rsidRPr="001930D4">
              <w:t>316</w:t>
            </w:r>
          </w:p>
        </w:tc>
        <w:tc>
          <w:tcPr>
            <w:tcW w:w="0" w:type="auto"/>
            <w:vAlign w:val="center"/>
          </w:tcPr>
          <w:p w14:paraId="5F3DA242" w14:textId="0A71FABF" w:rsidR="00686D0B" w:rsidRDefault="00723067" w:rsidP="00F467AA">
            <w:pPr>
              <w:pStyle w:val="TableFont"/>
            </w:pPr>
            <w:r w:rsidRPr="000F36FA">
              <w:t xml:space="preserve">Mean </w:t>
            </w:r>
            <w:r w:rsidR="00F22BEC">
              <w:t xml:space="preserve">annual </w:t>
            </w:r>
            <w:r w:rsidRPr="000F36FA">
              <w:t xml:space="preserve">inflow to Thomson </w:t>
            </w:r>
            <w:r w:rsidR="00A76D01">
              <w:t>Reservoir</w:t>
            </w:r>
            <w:r w:rsidR="00A76D01" w:rsidRPr="000F36FA">
              <w:t xml:space="preserve"> </w:t>
            </w:r>
            <w:r w:rsidRPr="000F36FA">
              <w:t>for 1997</w:t>
            </w:r>
            <w:r w:rsidR="00CF34F0">
              <w:rPr>
                <w:rFonts w:cs="Arial"/>
              </w:rPr>
              <w:t>–</w:t>
            </w:r>
            <w:r w:rsidRPr="000F36FA">
              <w:t>2018 from recent Melbourne Water data</w:t>
            </w:r>
            <w:r>
              <w:t xml:space="preserve"> over 4</w:t>
            </w:r>
            <w:r w:rsidR="00377404">
              <w:t>5</w:t>
            </w:r>
            <w:r>
              <w:t xml:space="preserve"> years</w:t>
            </w:r>
            <w:r w:rsidR="00CF34F0">
              <w:t xml:space="preserve"> </w:t>
            </w:r>
          </w:p>
        </w:tc>
        <w:tc>
          <w:tcPr>
            <w:tcW w:w="0" w:type="auto"/>
            <w:vAlign w:val="center"/>
          </w:tcPr>
          <w:p w14:paraId="5A86A17B" w14:textId="18FDA544" w:rsidR="00686D0B" w:rsidRDefault="00377404" w:rsidP="00686D0B">
            <w:pPr>
              <w:pStyle w:val="TableFont"/>
              <w:jc w:val="center"/>
            </w:pPr>
            <w:r>
              <w:t>7788</w:t>
            </w:r>
          </w:p>
        </w:tc>
        <w:tc>
          <w:tcPr>
            <w:tcW w:w="0" w:type="auto"/>
            <w:vAlign w:val="center"/>
          </w:tcPr>
          <w:p w14:paraId="79EDCDE9" w14:textId="51AD345F" w:rsidR="00686D0B" w:rsidRDefault="00CF34F0" w:rsidP="00686D0B">
            <w:pPr>
              <w:pStyle w:val="TableFont"/>
              <w:jc w:val="center"/>
            </w:pPr>
            <w:r>
              <w:rPr>
                <w:rFonts w:cs="Arial"/>
              </w:rPr>
              <w:t>–</w:t>
            </w:r>
            <w:r w:rsidR="00583C9E">
              <w:t>4.</w:t>
            </w:r>
            <w:r w:rsidR="00377404">
              <w:t>1</w:t>
            </w:r>
            <w:r w:rsidR="00686D0B" w:rsidRPr="001930D4">
              <w:t>%</w:t>
            </w:r>
          </w:p>
        </w:tc>
      </w:tr>
    </w:tbl>
    <w:p w14:paraId="5EDB0584" w14:textId="77777777" w:rsidR="00742B76" w:rsidRDefault="00742B76" w:rsidP="00742B76">
      <w:pPr>
        <w:pStyle w:val="Para0"/>
      </w:pPr>
    </w:p>
    <w:p w14:paraId="4062582B" w14:textId="6802155C" w:rsidR="00A4164E" w:rsidRDefault="00A4164E" w:rsidP="00A4164E">
      <w:pPr>
        <w:pStyle w:val="Caption"/>
      </w:pPr>
      <w:bookmarkStart w:id="45" w:name="_Ref24039366"/>
      <w:r>
        <w:t xml:space="preserve">Table </w:t>
      </w:r>
      <w:r>
        <w:fldChar w:fldCharType="begin"/>
      </w:r>
      <w:r>
        <w:instrText xml:space="preserve"> SEQ Table \* ARABIC </w:instrText>
      </w:r>
      <w:r>
        <w:fldChar w:fldCharType="separate"/>
      </w:r>
      <w:r w:rsidR="00062E08">
        <w:rPr>
          <w:noProof/>
        </w:rPr>
        <w:t>6</w:t>
      </w:r>
      <w:r>
        <w:fldChar w:fldCharType="end"/>
      </w:r>
      <w:bookmarkEnd w:id="45"/>
      <w:r>
        <w:t xml:space="preserve"> Calibration and validation performance metrics for the Macaque model from Feikema </w:t>
      </w:r>
      <w:r w:rsidR="001C1F9A" w:rsidRPr="001C1F9A">
        <w:rPr>
          <w:i/>
        </w:rPr>
        <w:t>et al.</w:t>
      </w:r>
      <w:r>
        <w:t xml:space="preserve"> (2006) and comparison with performance criteria from Moriasi </w:t>
      </w:r>
      <w:r w:rsidR="001C1F9A" w:rsidRPr="001C1F9A">
        <w:rPr>
          <w:i/>
        </w:rPr>
        <w:t>et al.</w:t>
      </w:r>
      <w:r>
        <w:t xml:space="preserve"> (2007), where G = Good and VG = Very Good</w:t>
      </w:r>
    </w:p>
    <w:tbl>
      <w:tblPr>
        <w:tblStyle w:val="TableGrid"/>
        <w:tblW w:w="0" w:type="auto"/>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ook w:val="04A0" w:firstRow="1" w:lastRow="0" w:firstColumn="1" w:lastColumn="0" w:noHBand="0" w:noVBand="1"/>
      </w:tblPr>
      <w:tblGrid>
        <w:gridCol w:w="1250"/>
        <w:gridCol w:w="1112"/>
        <w:gridCol w:w="1048"/>
        <w:gridCol w:w="1111"/>
        <w:gridCol w:w="1047"/>
        <w:gridCol w:w="1111"/>
        <w:gridCol w:w="1047"/>
        <w:gridCol w:w="1052"/>
      </w:tblGrid>
      <w:tr w:rsidR="00A4164E" w:rsidRPr="00693EB4" w14:paraId="77E1CDAD" w14:textId="77777777" w:rsidTr="00A70DC2">
        <w:tc>
          <w:tcPr>
            <w:tcW w:w="1250" w:type="dxa"/>
            <w:shd w:val="clear" w:color="auto" w:fill="959595"/>
          </w:tcPr>
          <w:p w14:paraId="17DD41F7" w14:textId="77777777" w:rsidR="00A4164E" w:rsidRPr="00693EB4" w:rsidRDefault="00A4164E" w:rsidP="00A70DC2">
            <w:pPr>
              <w:pStyle w:val="TableFontH"/>
              <w:jc w:val="center"/>
              <w:rPr>
                <w:sz w:val="16"/>
              </w:rPr>
            </w:pPr>
            <w:r w:rsidRPr="00693EB4">
              <w:rPr>
                <w:sz w:val="16"/>
              </w:rPr>
              <w:t>Performance metric</w:t>
            </w:r>
          </w:p>
        </w:tc>
        <w:tc>
          <w:tcPr>
            <w:tcW w:w="1112" w:type="dxa"/>
            <w:shd w:val="clear" w:color="auto" w:fill="959595"/>
          </w:tcPr>
          <w:p w14:paraId="1E385A21" w14:textId="77777777" w:rsidR="00A4164E" w:rsidRPr="00693EB4" w:rsidRDefault="00A4164E" w:rsidP="00A70DC2">
            <w:pPr>
              <w:pStyle w:val="TableFontH"/>
              <w:jc w:val="center"/>
              <w:rPr>
                <w:sz w:val="16"/>
              </w:rPr>
            </w:pPr>
            <w:r w:rsidRPr="00693EB4">
              <w:rPr>
                <w:sz w:val="16"/>
              </w:rPr>
              <w:t>Calibration on periods 1 &amp; 2</w:t>
            </w:r>
          </w:p>
        </w:tc>
        <w:tc>
          <w:tcPr>
            <w:tcW w:w="1048" w:type="dxa"/>
            <w:shd w:val="clear" w:color="auto" w:fill="959595"/>
          </w:tcPr>
          <w:p w14:paraId="72E65CB5" w14:textId="77777777" w:rsidR="00A4164E" w:rsidRPr="00693EB4" w:rsidRDefault="00A4164E" w:rsidP="00A70DC2">
            <w:pPr>
              <w:pStyle w:val="TableFontH"/>
              <w:jc w:val="center"/>
              <w:rPr>
                <w:sz w:val="16"/>
              </w:rPr>
            </w:pPr>
            <w:r w:rsidRPr="00693EB4">
              <w:rPr>
                <w:sz w:val="16"/>
              </w:rPr>
              <w:t>Validation on period 3</w:t>
            </w:r>
          </w:p>
        </w:tc>
        <w:tc>
          <w:tcPr>
            <w:tcW w:w="1111" w:type="dxa"/>
            <w:shd w:val="clear" w:color="auto" w:fill="959595"/>
          </w:tcPr>
          <w:p w14:paraId="0A7F78DA" w14:textId="77777777" w:rsidR="00A4164E" w:rsidRPr="00693EB4" w:rsidRDefault="00A4164E" w:rsidP="00A70DC2">
            <w:pPr>
              <w:pStyle w:val="TableFontH"/>
              <w:jc w:val="center"/>
              <w:rPr>
                <w:sz w:val="16"/>
              </w:rPr>
            </w:pPr>
            <w:r w:rsidRPr="00693EB4">
              <w:rPr>
                <w:sz w:val="16"/>
              </w:rPr>
              <w:t>Calibration on periods 1 &amp; 2</w:t>
            </w:r>
          </w:p>
        </w:tc>
        <w:tc>
          <w:tcPr>
            <w:tcW w:w="1047" w:type="dxa"/>
            <w:shd w:val="clear" w:color="auto" w:fill="959595"/>
          </w:tcPr>
          <w:p w14:paraId="574C08A7" w14:textId="77777777" w:rsidR="00A4164E" w:rsidRPr="00693EB4" w:rsidRDefault="00A4164E" w:rsidP="00A70DC2">
            <w:pPr>
              <w:pStyle w:val="TableFontH"/>
              <w:jc w:val="center"/>
              <w:rPr>
                <w:sz w:val="16"/>
              </w:rPr>
            </w:pPr>
            <w:r w:rsidRPr="00693EB4">
              <w:rPr>
                <w:sz w:val="16"/>
              </w:rPr>
              <w:t>Validation on period 3</w:t>
            </w:r>
          </w:p>
        </w:tc>
        <w:tc>
          <w:tcPr>
            <w:tcW w:w="1111" w:type="dxa"/>
            <w:shd w:val="clear" w:color="auto" w:fill="959595"/>
          </w:tcPr>
          <w:p w14:paraId="1AF4D71F" w14:textId="77777777" w:rsidR="00A4164E" w:rsidRPr="00693EB4" w:rsidRDefault="00A4164E" w:rsidP="00A70DC2">
            <w:pPr>
              <w:pStyle w:val="TableFontH"/>
              <w:jc w:val="center"/>
              <w:rPr>
                <w:sz w:val="16"/>
              </w:rPr>
            </w:pPr>
            <w:r w:rsidRPr="00693EB4">
              <w:rPr>
                <w:sz w:val="16"/>
              </w:rPr>
              <w:t>Calibration on periods 1 &amp; 2</w:t>
            </w:r>
          </w:p>
        </w:tc>
        <w:tc>
          <w:tcPr>
            <w:tcW w:w="1047" w:type="dxa"/>
            <w:shd w:val="clear" w:color="auto" w:fill="959595"/>
          </w:tcPr>
          <w:p w14:paraId="3DED7BAE" w14:textId="77777777" w:rsidR="00A4164E" w:rsidRPr="00693EB4" w:rsidRDefault="00A4164E" w:rsidP="00A70DC2">
            <w:pPr>
              <w:pStyle w:val="TableFontH"/>
              <w:jc w:val="center"/>
              <w:rPr>
                <w:sz w:val="16"/>
              </w:rPr>
            </w:pPr>
            <w:r w:rsidRPr="00693EB4">
              <w:rPr>
                <w:sz w:val="16"/>
              </w:rPr>
              <w:t>Validation on period 3</w:t>
            </w:r>
          </w:p>
        </w:tc>
        <w:tc>
          <w:tcPr>
            <w:tcW w:w="1052" w:type="dxa"/>
            <w:shd w:val="clear" w:color="auto" w:fill="959595"/>
          </w:tcPr>
          <w:p w14:paraId="5AAE9D9F" w14:textId="77777777" w:rsidR="00A4164E" w:rsidRPr="00693EB4" w:rsidRDefault="00A4164E" w:rsidP="00A70DC2">
            <w:pPr>
              <w:pStyle w:val="TableFontH"/>
              <w:jc w:val="center"/>
              <w:rPr>
                <w:sz w:val="16"/>
              </w:rPr>
            </w:pPr>
            <w:r w:rsidRPr="00693EB4">
              <w:rPr>
                <w:sz w:val="16"/>
              </w:rPr>
              <w:t>Calibration on whole record</w:t>
            </w:r>
          </w:p>
        </w:tc>
      </w:tr>
      <w:tr w:rsidR="00A4164E" w:rsidRPr="00693EB4" w14:paraId="7AB893E7" w14:textId="77777777" w:rsidTr="00A70DC2">
        <w:tc>
          <w:tcPr>
            <w:tcW w:w="1250" w:type="dxa"/>
            <w:vAlign w:val="center"/>
          </w:tcPr>
          <w:p w14:paraId="2C9C5BC9" w14:textId="77777777" w:rsidR="00A4164E" w:rsidRPr="00693EB4" w:rsidRDefault="00A4164E" w:rsidP="00A70DC2">
            <w:pPr>
              <w:pStyle w:val="TableFont"/>
              <w:rPr>
                <w:sz w:val="16"/>
              </w:rPr>
            </w:pPr>
            <w:r>
              <w:rPr>
                <w:rFonts w:cs="Arial"/>
                <w:sz w:val="16"/>
              </w:rPr>
              <w:t>Coefficient of Efficiency</w:t>
            </w:r>
          </w:p>
        </w:tc>
        <w:tc>
          <w:tcPr>
            <w:tcW w:w="1112" w:type="dxa"/>
            <w:vAlign w:val="center"/>
          </w:tcPr>
          <w:p w14:paraId="057A0444" w14:textId="77777777" w:rsidR="00A4164E" w:rsidRPr="00693EB4" w:rsidRDefault="00A4164E" w:rsidP="00A70DC2">
            <w:pPr>
              <w:pStyle w:val="TableFont"/>
              <w:rPr>
                <w:sz w:val="16"/>
              </w:rPr>
            </w:pPr>
            <w:r>
              <w:rPr>
                <w:rFonts w:cs="Arial"/>
                <w:sz w:val="16"/>
              </w:rPr>
              <w:t>0.799 (VG)</w:t>
            </w:r>
          </w:p>
        </w:tc>
        <w:tc>
          <w:tcPr>
            <w:tcW w:w="1048" w:type="dxa"/>
            <w:vAlign w:val="center"/>
          </w:tcPr>
          <w:p w14:paraId="35025ACD" w14:textId="77777777" w:rsidR="00A4164E" w:rsidRPr="00693EB4" w:rsidRDefault="00A4164E" w:rsidP="00A70DC2">
            <w:pPr>
              <w:pStyle w:val="TableFont"/>
              <w:rPr>
                <w:sz w:val="16"/>
              </w:rPr>
            </w:pPr>
            <w:r>
              <w:rPr>
                <w:rFonts w:cs="Arial"/>
                <w:sz w:val="16"/>
              </w:rPr>
              <w:t>0.763 (VG)</w:t>
            </w:r>
          </w:p>
        </w:tc>
        <w:tc>
          <w:tcPr>
            <w:tcW w:w="1111" w:type="dxa"/>
            <w:vAlign w:val="center"/>
          </w:tcPr>
          <w:p w14:paraId="366249DB" w14:textId="77777777" w:rsidR="00A4164E" w:rsidRPr="00693EB4" w:rsidRDefault="00A4164E" w:rsidP="00A70DC2">
            <w:pPr>
              <w:pStyle w:val="TableFont"/>
              <w:rPr>
                <w:sz w:val="16"/>
              </w:rPr>
            </w:pPr>
            <w:r>
              <w:rPr>
                <w:rFonts w:cs="Arial"/>
                <w:sz w:val="16"/>
              </w:rPr>
              <w:t>0.75 (VG)</w:t>
            </w:r>
          </w:p>
        </w:tc>
        <w:tc>
          <w:tcPr>
            <w:tcW w:w="1047" w:type="dxa"/>
            <w:vAlign w:val="center"/>
          </w:tcPr>
          <w:p w14:paraId="73B83929" w14:textId="77777777" w:rsidR="00A4164E" w:rsidRPr="00693EB4" w:rsidRDefault="00A4164E" w:rsidP="00A70DC2">
            <w:pPr>
              <w:pStyle w:val="TableFont"/>
              <w:rPr>
                <w:sz w:val="16"/>
              </w:rPr>
            </w:pPr>
            <w:r>
              <w:rPr>
                <w:rFonts w:cs="Arial"/>
                <w:sz w:val="16"/>
              </w:rPr>
              <w:t>0.847 (VG)</w:t>
            </w:r>
          </w:p>
        </w:tc>
        <w:tc>
          <w:tcPr>
            <w:tcW w:w="1111" w:type="dxa"/>
            <w:vAlign w:val="center"/>
          </w:tcPr>
          <w:p w14:paraId="7D75DB98" w14:textId="77777777" w:rsidR="00A4164E" w:rsidRPr="00693EB4" w:rsidRDefault="00A4164E" w:rsidP="00A70DC2">
            <w:pPr>
              <w:pStyle w:val="TableFont"/>
              <w:rPr>
                <w:sz w:val="16"/>
              </w:rPr>
            </w:pPr>
            <w:r>
              <w:rPr>
                <w:rFonts w:cs="Arial"/>
                <w:sz w:val="16"/>
              </w:rPr>
              <w:t>0.81 (VG)</w:t>
            </w:r>
          </w:p>
        </w:tc>
        <w:tc>
          <w:tcPr>
            <w:tcW w:w="1047" w:type="dxa"/>
            <w:vAlign w:val="center"/>
          </w:tcPr>
          <w:p w14:paraId="2D76403E" w14:textId="77777777" w:rsidR="00A4164E" w:rsidRPr="00693EB4" w:rsidRDefault="00A4164E" w:rsidP="00A70DC2">
            <w:pPr>
              <w:pStyle w:val="TableFont"/>
              <w:rPr>
                <w:sz w:val="16"/>
              </w:rPr>
            </w:pPr>
            <w:r>
              <w:rPr>
                <w:rFonts w:cs="Arial"/>
                <w:sz w:val="16"/>
              </w:rPr>
              <w:t>0.736 (G)</w:t>
            </w:r>
          </w:p>
        </w:tc>
        <w:tc>
          <w:tcPr>
            <w:tcW w:w="1052" w:type="dxa"/>
            <w:vAlign w:val="center"/>
          </w:tcPr>
          <w:p w14:paraId="2C8B6543" w14:textId="77777777" w:rsidR="00A4164E" w:rsidRPr="00693EB4" w:rsidRDefault="00A4164E" w:rsidP="00A70DC2">
            <w:pPr>
              <w:pStyle w:val="TableFont"/>
              <w:rPr>
                <w:sz w:val="16"/>
              </w:rPr>
            </w:pPr>
            <w:r>
              <w:rPr>
                <w:rFonts w:cs="Arial"/>
                <w:b/>
                <w:bCs/>
                <w:sz w:val="16"/>
              </w:rPr>
              <w:t>0.788 (VG)</w:t>
            </w:r>
          </w:p>
        </w:tc>
      </w:tr>
      <w:tr w:rsidR="00A4164E" w:rsidRPr="00693EB4" w14:paraId="25C394FB" w14:textId="77777777" w:rsidTr="00A70DC2">
        <w:tc>
          <w:tcPr>
            <w:tcW w:w="1250" w:type="dxa"/>
            <w:vAlign w:val="center"/>
          </w:tcPr>
          <w:p w14:paraId="160EF996" w14:textId="77777777" w:rsidR="00A4164E" w:rsidRPr="00693EB4" w:rsidRDefault="00A4164E" w:rsidP="00A70DC2">
            <w:pPr>
              <w:pStyle w:val="TableFont"/>
              <w:rPr>
                <w:sz w:val="16"/>
              </w:rPr>
            </w:pPr>
            <w:r>
              <w:rPr>
                <w:rFonts w:cs="Arial"/>
                <w:sz w:val="16"/>
              </w:rPr>
              <w:t>% Bias</w:t>
            </w:r>
          </w:p>
        </w:tc>
        <w:tc>
          <w:tcPr>
            <w:tcW w:w="1112" w:type="dxa"/>
            <w:vAlign w:val="center"/>
          </w:tcPr>
          <w:p w14:paraId="57899BEC" w14:textId="77777777" w:rsidR="00A4164E" w:rsidRPr="00693EB4" w:rsidRDefault="00A4164E" w:rsidP="00A70DC2">
            <w:pPr>
              <w:pStyle w:val="TableFont"/>
              <w:rPr>
                <w:sz w:val="16"/>
              </w:rPr>
            </w:pPr>
            <w:r>
              <w:rPr>
                <w:rFonts w:cs="Arial"/>
                <w:sz w:val="16"/>
              </w:rPr>
              <w:t>0.6% (VG)</w:t>
            </w:r>
          </w:p>
        </w:tc>
        <w:tc>
          <w:tcPr>
            <w:tcW w:w="1048" w:type="dxa"/>
            <w:vAlign w:val="center"/>
          </w:tcPr>
          <w:p w14:paraId="552FA1EC" w14:textId="7CBF092F" w:rsidR="00A4164E" w:rsidRPr="00693EB4" w:rsidRDefault="00DA1BBA" w:rsidP="00A70DC2">
            <w:pPr>
              <w:pStyle w:val="TableFont"/>
              <w:rPr>
                <w:sz w:val="16"/>
              </w:rPr>
            </w:pPr>
            <w:r>
              <w:rPr>
                <w:rFonts w:cs="Arial"/>
              </w:rPr>
              <w:t>–</w:t>
            </w:r>
            <w:r w:rsidR="00A4164E">
              <w:rPr>
                <w:rFonts w:cs="Arial"/>
                <w:sz w:val="16"/>
              </w:rPr>
              <w:t>12.1% (G)</w:t>
            </w:r>
          </w:p>
        </w:tc>
        <w:tc>
          <w:tcPr>
            <w:tcW w:w="1111" w:type="dxa"/>
            <w:vAlign w:val="center"/>
          </w:tcPr>
          <w:p w14:paraId="1F63B7DF" w14:textId="47D046C3" w:rsidR="00A4164E" w:rsidRPr="00693EB4" w:rsidRDefault="00DA1BBA" w:rsidP="00A70DC2">
            <w:pPr>
              <w:pStyle w:val="TableFont"/>
              <w:rPr>
                <w:sz w:val="16"/>
              </w:rPr>
            </w:pPr>
            <w:r>
              <w:rPr>
                <w:rFonts w:cs="Arial"/>
              </w:rPr>
              <w:t>–</w:t>
            </w:r>
            <w:r w:rsidR="00A4164E">
              <w:rPr>
                <w:rFonts w:cs="Arial"/>
                <w:sz w:val="16"/>
              </w:rPr>
              <w:t>5.3% (VG)</w:t>
            </w:r>
          </w:p>
        </w:tc>
        <w:tc>
          <w:tcPr>
            <w:tcW w:w="1047" w:type="dxa"/>
            <w:vAlign w:val="center"/>
          </w:tcPr>
          <w:p w14:paraId="4F91B762" w14:textId="1C3775E4" w:rsidR="00A4164E" w:rsidRPr="00693EB4" w:rsidRDefault="00DA1BBA" w:rsidP="00A70DC2">
            <w:pPr>
              <w:pStyle w:val="TableFont"/>
              <w:rPr>
                <w:sz w:val="16"/>
              </w:rPr>
            </w:pPr>
            <w:r>
              <w:rPr>
                <w:rFonts w:cs="Arial"/>
              </w:rPr>
              <w:t>–</w:t>
            </w:r>
            <w:r w:rsidR="00A4164E">
              <w:rPr>
                <w:rFonts w:cs="Arial"/>
                <w:sz w:val="16"/>
              </w:rPr>
              <w:t>0.5% (VG)</w:t>
            </w:r>
          </w:p>
        </w:tc>
        <w:tc>
          <w:tcPr>
            <w:tcW w:w="1111" w:type="dxa"/>
            <w:vAlign w:val="center"/>
          </w:tcPr>
          <w:p w14:paraId="24350E7C" w14:textId="16B27782" w:rsidR="00A4164E" w:rsidRPr="00693EB4" w:rsidRDefault="00DA1BBA" w:rsidP="00A70DC2">
            <w:pPr>
              <w:pStyle w:val="TableFont"/>
              <w:rPr>
                <w:sz w:val="16"/>
              </w:rPr>
            </w:pPr>
            <w:r>
              <w:rPr>
                <w:rFonts w:cs="Arial"/>
              </w:rPr>
              <w:t>–</w:t>
            </w:r>
            <w:r w:rsidR="00A4164E">
              <w:rPr>
                <w:rFonts w:cs="Arial"/>
                <w:sz w:val="16"/>
              </w:rPr>
              <w:t>6.2% (VG)</w:t>
            </w:r>
          </w:p>
        </w:tc>
        <w:tc>
          <w:tcPr>
            <w:tcW w:w="1047" w:type="dxa"/>
            <w:vAlign w:val="center"/>
          </w:tcPr>
          <w:p w14:paraId="22796365" w14:textId="77777777" w:rsidR="00A4164E" w:rsidRPr="00693EB4" w:rsidRDefault="00A4164E" w:rsidP="00A70DC2">
            <w:pPr>
              <w:pStyle w:val="TableFont"/>
              <w:rPr>
                <w:sz w:val="16"/>
              </w:rPr>
            </w:pPr>
            <w:r>
              <w:rPr>
                <w:rFonts w:cs="Arial"/>
                <w:sz w:val="16"/>
              </w:rPr>
              <w:t>1.9% (VG)</w:t>
            </w:r>
          </w:p>
        </w:tc>
        <w:tc>
          <w:tcPr>
            <w:tcW w:w="1052" w:type="dxa"/>
            <w:vAlign w:val="center"/>
          </w:tcPr>
          <w:p w14:paraId="25E6E3F2" w14:textId="579F7B3C" w:rsidR="00A4164E" w:rsidRPr="00693EB4" w:rsidRDefault="00DA1BBA" w:rsidP="00A70DC2">
            <w:pPr>
              <w:pStyle w:val="TableFont"/>
              <w:rPr>
                <w:sz w:val="16"/>
              </w:rPr>
            </w:pPr>
            <w:r>
              <w:rPr>
                <w:rFonts w:cs="Arial"/>
              </w:rPr>
              <w:t>–</w:t>
            </w:r>
            <w:r w:rsidR="00A4164E">
              <w:rPr>
                <w:rFonts w:cs="Arial"/>
                <w:b/>
                <w:bCs/>
                <w:sz w:val="16"/>
              </w:rPr>
              <w:t>3.6% (VG)</w:t>
            </w:r>
          </w:p>
        </w:tc>
      </w:tr>
    </w:tbl>
    <w:p w14:paraId="1D433D22" w14:textId="77777777" w:rsidR="00774BB9" w:rsidRDefault="00774BB9" w:rsidP="00A4164E">
      <w:pPr>
        <w:pStyle w:val="Para0"/>
      </w:pPr>
    </w:p>
    <w:p w14:paraId="6A0E1045" w14:textId="19E31228" w:rsidR="00A4164E" w:rsidRDefault="00A4164E" w:rsidP="00121736">
      <w:pPr>
        <w:pStyle w:val="Para0"/>
        <w:pageBreakBefore/>
        <w:pBdr>
          <w:top w:val="single" w:sz="4" w:space="1" w:color="auto"/>
          <w:left w:val="single" w:sz="4" w:space="4" w:color="auto"/>
          <w:bottom w:val="single" w:sz="4" w:space="1" w:color="auto"/>
          <w:right w:val="single" w:sz="4" w:space="4" w:color="auto"/>
        </w:pBdr>
      </w:pPr>
      <w:r w:rsidRPr="00DE2F4F">
        <w:rPr>
          <w:b/>
          <w:bCs/>
        </w:rPr>
        <w:lastRenderedPageBreak/>
        <w:t>In summar</w:t>
      </w:r>
      <w:r>
        <w:rPr>
          <w:b/>
          <w:bCs/>
        </w:rPr>
        <w:t xml:space="preserve">y,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 xml:space="preserve">) </w:t>
      </w:r>
      <w:r w:rsidR="00A35C55">
        <w:t>projected</w:t>
      </w:r>
      <w:r w:rsidR="00A35C55" w:rsidRPr="0066119E">
        <w:t xml:space="preserve"> </w:t>
      </w:r>
      <w:r w:rsidRPr="0066119E">
        <w:t xml:space="preserve">increases in </w:t>
      </w:r>
      <w:r w:rsidR="001834A2">
        <w:t>catchment water yield</w:t>
      </w:r>
      <w:r w:rsidR="00C75350">
        <w:t xml:space="preserve"> in </w:t>
      </w:r>
      <w:r w:rsidR="00C75350" w:rsidRPr="0066119E">
        <w:t>the Thomson catchment</w:t>
      </w:r>
      <w:r w:rsidR="00C75350">
        <w:t>,</w:t>
      </w:r>
      <w:r w:rsidRPr="0066119E">
        <w:t xml:space="preserve"> </w:t>
      </w:r>
      <w:r w:rsidR="00A35C55">
        <w:t xml:space="preserve">after a theoretical </w:t>
      </w:r>
      <w:r w:rsidRPr="0066119E">
        <w:t>cessation of logging</w:t>
      </w:r>
      <w:r w:rsidR="00C75350">
        <w:t>,</w:t>
      </w:r>
      <w:r w:rsidRPr="0066119E">
        <w:t xml:space="preserve"> </w:t>
      </w:r>
      <w:r w:rsidR="00320356">
        <w:t>which</w:t>
      </w:r>
      <w:r w:rsidR="00A35C55">
        <w:t xml:space="preserve"> are greater </w:t>
      </w:r>
      <w:r w:rsidRPr="0066119E">
        <w:t>than those predicted by WWS2008 for the closest comparable scenario. It is difficult to be certain without access to their model</w:t>
      </w:r>
      <w:r w:rsidR="00C75350">
        <w:t>,</w:t>
      </w:r>
      <w:r w:rsidRPr="0066119E">
        <w:t xml:space="preserve"> but from the material presented in </w:t>
      </w:r>
      <w:r w:rsidR="00A70DC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B","non-dropping-particle":"","parse-names":false,"suffix":""}],"id":"ITEM-2","issue":"November","issued":{"date-parts":[["2018"]]},"publisher-place":"Canberra, Australia","title":"Resource Conflict Across Melbourne’s Largest Domestic Water Supply Catchment","type":"report"},"uris":["http://www.mendeley.com/documents/?uuid=64fbe6cf-c8aa-4d91-b97a-576d192b2d57"]}],"mendeley":{"formattedCitation":"(Taylor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00A70DC2">
        <w:t>)</w:t>
      </w:r>
      <w:r w:rsidRPr="0066119E">
        <w:t xml:space="preserve"> it appears that several simplifying assumptions were made, all </w:t>
      </w:r>
      <w:r w:rsidR="00320356">
        <w:t xml:space="preserve">of which were </w:t>
      </w:r>
      <w:r w:rsidRPr="0066119E">
        <w:t xml:space="preserve">likely to over-estimate the impact of timber harvesting on </w:t>
      </w:r>
      <w:r w:rsidR="001834A2">
        <w:t>catchment water yield</w:t>
      </w:r>
      <w:r w:rsidRPr="0066119E">
        <w:t xml:space="preserve"> in the Thomson catchment.</w:t>
      </w:r>
    </w:p>
    <w:p w14:paraId="638BD3CC" w14:textId="77777777" w:rsidR="00A4164E" w:rsidRDefault="00A4164E" w:rsidP="00022403">
      <w:pPr>
        <w:pStyle w:val="Para0"/>
      </w:pPr>
    </w:p>
    <w:p w14:paraId="0E52A3C5" w14:textId="7713AA23" w:rsidR="00190D36" w:rsidRDefault="00F61666" w:rsidP="00A911ED">
      <w:pPr>
        <w:pStyle w:val="Heading2"/>
      </w:pPr>
      <w:bookmarkStart w:id="46" w:name="_Toc36033094"/>
      <w:r>
        <w:t>R</w:t>
      </w:r>
      <w:r w:rsidR="00190D36">
        <w:t xml:space="preserve">esponse of Victorian catchments to climate </w:t>
      </w:r>
      <w:r w:rsidR="00022403">
        <w:t xml:space="preserve">variability and climate </w:t>
      </w:r>
      <w:r w:rsidR="00190D36">
        <w:t>change</w:t>
      </w:r>
      <w:bookmarkEnd w:id="46"/>
    </w:p>
    <w:p w14:paraId="0C66EE7E" w14:textId="0B36B7A4" w:rsidR="00022403" w:rsidRDefault="00022403" w:rsidP="00022403">
      <w:pPr>
        <w:pStyle w:val="Para0"/>
      </w:pPr>
      <w:r>
        <w:t xml:space="preserve">Climate variability and change </w:t>
      </w:r>
      <w:r w:rsidR="003B0758">
        <w:t xml:space="preserve">fundamentally </w:t>
      </w:r>
      <w:r>
        <w:t xml:space="preserve">influence </w:t>
      </w:r>
      <w:r w:rsidR="001834A2">
        <w:t>catchment water yield</w:t>
      </w:r>
      <w:r>
        <w:t xml:space="preserve"> from Melbourne’s </w:t>
      </w:r>
      <w:r w:rsidR="00A34E15">
        <w:t xml:space="preserve">water supply </w:t>
      </w:r>
      <w:r>
        <w:t>catchments</w:t>
      </w:r>
      <w:r w:rsidR="003B0758">
        <w:t xml:space="preserve">, both directly and </w:t>
      </w:r>
      <w:r>
        <w:t>indirect</w:t>
      </w:r>
      <w:r w:rsidR="003B0758">
        <w:t>ly</w:t>
      </w:r>
      <w:r>
        <w:t xml:space="preserve">. This section discusses </w:t>
      </w:r>
      <w:r w:rsidR="00A34E15">
        <w:t xml:space="preserve">those influences as well as </w:t>
      </w:r>
      <w:r>
        <w:t>the advances in our understanding since WWS2008. The discussion focus</w:t>
      </w:r>
      <w:r w:rsidR="00C21224">
        <w:t>s</w:t>
      </w:r>
      <w:r>
        <w:t>es on our understanding of large</w:t>
      </w:r>
      <w:r w:rsidR="00C21224">
        <w:t>-</w:t>
      </w:r>
      <w:r>
        <w:t xml:space="preserve">scale climate variability and change </w:t>
      </w:r>
      <w:r w:rsidR="00A34E15">
        <w:t xml:space="preserve">and their impacts </w:t>
      </w:r>
      <w:r>
        <w:t>on rainfall and other meteorological factors. This section draws particularly on research from, and associated with, climate research initiatives since 2008</w:t>
      </w:r>
      <w:r w:rsidR="00A34E15">
        <w:t>,</w:t>
      </w:r>
      <w:r>
        <w:t xml:space="preserve"> including the Victorian Climate Initiative (VicCI, 2013–2017), The Victorian Drought Risk In</w:t>
      </w:r>
      <w:r w:rsidR="007617CB">
        <w:t>ference Project (VicDRIP, 2016 and ongoing</w:t>
      </w:r>
      <w:r>
        <w:t xml:space="preserve">) and the Victorian Water and Climate Initiative (VicWaCI, 2017 – ongoing). </w:t>
      </w:r>
    </w:p>
    <w:p w14:paraId="141F15D8" w14:textId="1D615BE0" w:rsidR="00022403" w:rsidRDefault="00022403" w:rsidP="00022403">
      <w:pPr>
        <w:pStyle w:val="Para0"/>
      </w:pPr>
      <w:r>
        <w:t xml:space="preserve">Victoria’s climate is characterised by high interannual variability and the influence of large-scale climate drivers </w:t>
      </w:r>
      <w:r w:rsidR="003B0758">
        <w:t xml:space="preserve">that </w:t>
      </w:r>
      <w:r>
        <w:t xml:space="preserve">are associated with coupled interactions between the ocean, </w:t>
      </w:r>
      <w:r w:rsidR="003B0758">
        <w:t xml:space="preserve">the </w:t>
      </w:r>
      <w:r>
        <w:t xml:space="preserve">atmosphere and </w:t>
      </w:r>
      <w:r w:rsidR="003B0758">
        <w:t xml:space="preserve">the </w:t>
      </w:r>
      <w:r>
        <w:t>land surface.</w:t>
      </w:r>
      <w:r w:rsidR="007617CB">
        <w:t xml:space="preserve"> These </w:t>
      </w:r>
      <w:r w:rsidR="001F7722">
        <w:t xml:space="preserve">drivers </w:t>
      </w:r>
      <w:r w:rsidR="007617CB">
        <w:t>include the El Niño Southern Oscillation (ENSO), Indian Ocean Dipole (IOD), Southern Annular Mode (SAM) and decadal variability associated with the Interdecadal Pacific Oscillation (IPO)</w:t>
      </w:r>
      <w:r w:rsidR="003B0758">
        <w:t xml:space="preserve">, and they are affected by </w:t>
      </w:r>
      <w:r w:rsidR="00170B20">
        <w:t>b</w:t>
      </w:r>
      <w:r>
        <w:t xml:space="preserve">oth natural and </w:t>
      </w:r>
      <w:r w:rsidR="00CC3457">
        <w:t xml:space="preserve">human-induced </w:t>
      </w:r>
      <w:r>
        <w:t xml:space="preserve">impacts. </w:t>
      </w:r>
      <w:r w:rsidR="00D11C5B">
        <w:fldChar w:fldCharType="begin" w:fldLock="1"/>
      </w:r>
      <w:r w:rsidR="00D11C5B">
        <w:instrText>ADDIN CSL_CITATION {"citationItems":[{"id":"ITEM-1","itemData":{"ISBN":"9780642706935","abstract":"Summary of key program findings and implications • Since the turn of the 21st century, Victorian cool season (April to October) rainfall has continued to average about 15 per cent less than last century. This decline is likely to persist and possibly intensify in the longer term, and will occur more evenly across the whole cool season rather than primarily in the early part, as was the case during the Millennium Drought. This change is associated with changes in the global-scale circulation, which are at least partly attributable to anthropogenic influences. • Streamflows have reduced significantly in response to the cool season rainfall reduction, with reductions in rainfall being amplified in the streamflow response. As the downward trend in cool season rainfall is likely to continue, a less reliable filling season is likely. • The impacts of the cool season rainfall deficit on streamflows may be partially offset by a possible increase in warm season rainfall (particularly in northern Victoria) due to an expansion of tropical influences (resulting from an expanding Hadley cell and an upwards trend in an index of the Southern Annular Mode). Any increase in warm season rainfall is only expected to partially offset cool season reductions because rainfall during the warmer season does not usually generate sustained streamflows. • In light of the reductions in cool season rainfall over the past 20 years, it is considered likely that the recent decades provide a better representation of current climate than does the full historical record extending back over the 20th century. This should be a consideration in the evaluation of current and expected future water supply system performance. • In any one season or year, the impacts of these longer term changes may be intensified or offset by the joint state of key drivers of year-to-year climate variability, specifically El Niño – Southern Oscillation (ENSO: El Niño and La Niña) and the Indian Ocean Dipole (IOD), with the Southern Annular Mode (SAM) also having an impact.","author":[{"dropping-particle":"","family":"Hope","given":"P.","non-dropping-particle":"","parse-names":false,"suffix":""},{"dropping-particle":"","family":"Timbal","given":"B.","non-dropping-particle":"","parse-names":false,"suffix":""},{"dropping-particle":"","family":"Hendon","given":"Harry H.","non-dropping-particle":"","parse-names":false,"suffix":""},{"dropping-particle":"","family":"Ekström","given":"M.","non-dropping-particle":"","parse-names":false,"suffix":""},{"dropping-particle":"","family":"Potter","given":"N.","non-dropping-particle":"","parse-names":false,"suffix":""}],"id":"ITEM-1","issue":"\"VicCI\"","issued":{"date-parts":[["2017"]]},"number-of-pages":"68 pages","title":"A synthesis of findings from the Victorian Climate Initiative (VicCI)","type":"report"},"uris":["http://www.mendeley.com/documents/?uuid=31b9f072-82d9-459a-ae64-ce34a863579a"]}],"mendeley":{"formattedCitation":"(Hope &lt;i&gt;et al.&lt;/i&gt;, 2017)","manualFormatting":"Hope et al. (2017)","plainTextFormattedCitation":"(Hope et al., 2017)","previouslyFormattedCitation":"(Hope &lt;i&gt;et al.&lt;/i&gt;, 2017)"},"properties":{"noteIndex":0},"schema":"https://github.com/citation-style-language/schema/raw/master/csl-citation.json"}</w:instrText>
      </w:r>
      <w:r w:rsidR="00D11C5B">
        <w:fldChar w:fldCharType="separate"/>
      </w:r>
      <w:r w:rsidR="00D11C5B" w:rsidRPr="00D11C5B">
        <w:rPr>
          <w:noProof/>
        </w:rPr>
        <w:t xml:space="preserve">Hope </w:t>
      </w:r>
      <w:r w:rsidR="00D11C5B" w:rsidRPr="00D11C5B">
        <w:rPr>
          <w:i/>
          <w:noProof/>
        </w:rPr>
        <w:t>et al.</w:t>
      </w:r>
      <w:r w:rsidR="00D11C5B" w:rsidRPr="00D11C5B">
        <w:rPr>
          <w:noProof/>
        </w:rPr>
        <w:t xml:space="preserve"> </w:t>
      </w:r>
      <w:r w:rsidR="00D11C5B">
        <w:rPr>
          <w:noProof/>
        </w:rPr>
        <w:t>(</w:t>
      </w:r>
      <w:r w:rsidR="00D11C5B" w:rsidRPr="00D11C5B">
        <w:rPr>
          <w:noProof/>
        </w:rPr>
        <w:t>2017)</w:t>
      </w:r>
      <w:r w:rsidR="00D11C5B">
        <w:fldChar w:fldCharType="end"/>
      </w:r>
      <w:r w:rsidR="00CC3457">
        <w:t xml:space="preserve"> outline obse</w:t>
      </w:r>
      <w:r w:rsidR="00D90267">
        <w:t xml:space="preserve">rvations of increasing surface </w:t>
      </w:r>
      <w:r w:rsidR="00CC3457">
        <w:t>air</w:t>
      </w:r>
      <w:r w:rsidR="00D90267">
        <w:t xml:space="preserve"> pressure</w:t>
      </w:r>
      <w:r w:rsidR="00CC3457">
        <w:t>s in recent decades, which</w:t>
      </w:r>
      <w:r>
        <w:t xml:space="preserve"> are associated with </w:t>
      </w:r>
      <w:r w:rsidR="00CC3457">
        <w:t xml:space="preserve">greater </w:t>
      </w:r>
      <w:r>
        <w:t xml:space="preserve">air subsidence </w:t>
      </w:r>
      <w:r w:rsidR="00CC3457">
        <w:t xml:space="preserve">that </w:t>
      </w:r>
      <w:r>
        <w:t xml:space="preserve">results in higher sea-level pressures. </w:t>
      </w:r>
      <w:r>
        <w:fldChar w:fldCharType="begin"/>
      </w:r>
      <w:r>
        <w:instrText xml:space="preserve"> REF _Ref24049312 \h </w:instrText>
      </w:r>
      <w:r>
        <w:fldChar w:fldCharType="separate"/>
      </w:r>
      <w:r w:rsidR="00062E08">
        <w:t xml:space="preserve">Figure </w:t>
      </w:r>
      <w:r w:rsidR="00062E08">
        <w:rPr>
          <w:noProof/>
        </w:rPr>
        <w:t>9</w:t>
      </w:r>
      <w:r>
        <w:fldChar w:fldCharType="end"/>
      </w:r>
      <w:r>
        <w:t xml:space="preserve"> shows the trend in winter mean sea-level pressure from 1980</w:t>
      </w:r>
      <w:r w:rsidR="00C21224">
        <w:t xml:space="preserve"> to </w:t>
      </w:r>
      <w:r>
        <w:t xml:space="preserve">2016. </w:t>
      </w:r>
      <w:r w:rsidR="00552CFB">
        <w:t xml:space="preserve">The increased pressures have </w:t>
      </w:r>
      <w:r>
        <w:t xml:space="preserve">acted to deflect rain-bearing systems southward away from Victoria, particularly in the cool season </w:t>
      </w:r>
      <w:r>
        <w:fldChar w:fldCharType="begin" w:fldLock="1"/>
      </w:r>
      <w:r w:rsidR="00D11C5B">
        <w:instrText>ADDIN CSL_CITATION {"citationItems":[{"id":"ITEM-1","itemData":{"ISBN":"9780642706935","abstract":"Summary of key program findings and implications • Since the turn of the 21st century, Victorian cool season (April to October) rainfall has continued to average about 15 per cent less than last century. This decline is likely to persist and possibly intensify in the longer term, and will occur more evenly across the whole cool season rather than primarily in the early part, as was the case during the Millennium Drought. This change is associated with changes in the global-scale circulation, which are at least partly attributable to anthropogenic influences. • Streamflows have reduced significantly in response to the cool season rainfall reduction, with reductions in rainfall being amplified in the streamflow response. As the downward trend in cool season rainfall is likely to continue, a less reliable filling season is likely. • The impacts of the cool season rainfall deficit on streamflows may be partially offset by a possible increase in warm season rainfall (particularly in northern Victoria) due to an expansion of tropical influences (resulting from an expanding Hadley cell and an upwards trend in an index of the Southern Annular Mode). Any increase in warm season rainfall is only expected to partially offset cool season reductions because rainfall during the warmer season does not usually generate sustained streamflows. • In light of the reductions in cool season rainfall over the past 20 years, it is considered likely that the recent decades provide a better representation of current climate than does the full historical record extending back over the 20th century. This should be a consideration in the evaluation of current and expected future water supply system performance. • In any one season or year, the impacts of these longer term changes may be intensified or offset by the joint state of key drivers of year-to-year climate variability, specifically El Niño – Southern Oscillation (ENSO: El Niño and La Niña) and the Indian Ocean Dipole (IOD), with the Southern Annular Mode (SAM) also having an impact.","author":[{"dropping-particle":"","family":"Hope","given":"P.","non-dropping-particle":"","parse-names":false,"suffix":""},{"dropping-particle":"","family":"Timbal","given":"B.","non-dropping-particle":"","parse-names":false,"suffix":""},{"dropping-particle":"","family":"Hendon","given":"Harry H.","non-dropping-particle":"","parse-names":false,"suffix":""},{"dropping-particle":"","family":"Ekström","given":"M.","non-dropping-particle":"","parse-names":false,"suffix":""},{"dropping-particle":"","family":"Potter","given":"N.","non-dropping-particle":"","parse-names":false,"suffix":""}],"id":"ITEM-1","issue":"\"VicCI\"","issued":{"date-parts":[["2017"]]},"number-of-pages":"68 pages","title":"A synthesis of findings from the Victorian Climate Initiative (VicCI)","type":"report"},"uris":["http://www.mendeley.com/documents/?uuid=31b9f072-82d9-459a-ae64-ce34a863579a","http://www.mendeley.com/documents/?uuid=3a7b23be-2b79-42a4-b428-2afb04c88ece","http://www.mendeley.com/documents/?uuid=6e1851d4-2463-4643-afe0-87e3b91e44fc"]}],"mendeley":{"formattedCitation":"(Hope &lt;i&gt;et al.&lt;/i&gt;, 2017)","plainTextFormattedCitation":"(Hope et al., 2017)","previouslyFormattedCitation":"(Hope &lt;i&gt;et al.&lt;/i&gt;, 2017)"},"properties":{"noteIndex":0},"schema":"https://github.com/citation-style-language/schema/raw/master/csl-citation.json"}</w:instrText>
      </w:r>
      <w:r>
        <w:fldChar w:fldCharType="separate"/>
      </w:r>
      <w:r w:rsidR="00D11C5B" w:rsidRPr="00D11C5B">
        <w:rPr>
          <w:noProof/>
        </w:rPr>
        <w:t xml:space="preserve">(Hope </w:t>
      </w:r>
      <w:r w:rsidR="00D11C5B" w:rsidRPr="00D11C5B">
        <w:rPr>
          <w:i/>
          <w:noProof/>
        </w:rPr>
        <w:t>et al.</w:t>
      </w:r>
      <w:r w:rsidR="00D11C5B" w:rsidRPr="00D11C5B">
        <w:rPr>
          <w:noProof/>
        </w:rPr>
        <w:t>, 2017)</w:t>
      </w:r>
      <w:r>
        <w:fldChar w:fldCharType="end"/>
      </w:r>
      <w:r>
        <w:t xml:space="preserve">. </w:t>
      </w:r>
    </w:p>
    <w:p w14:paraId="0795B798" w14:textId="77777777" w:rsidR="00022403" w:rsidRDefault="00022403" w:rsidP="00022403">
      <w:pPr>
        <w:pStyle w:val="Para0"/>
        <w:keepNext/>
      </w:pPr>
      <w:r>
        <w:rPr>
          <w:noProof/>
          <w:lang w:val="en-AU" w:eastAsia="en-AU"/>
        </w:rPr>
        <w:lastRenderedPageBreak/>
        <w:drawing>
          <wp:inline distT="0" distB="0" distL="0" distR="0" wp14:anchorId="29BCDAD6" wp14:editId="2BA53822">
            <wp:extent cx="5580000" cy="27828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1-06 at 7.15.51 pm.png"/>
                    <pic:cNvPicPr/>
                  </pic:nvPicPr>
                  <pic:blipFill rotWithShape="1">
                    <a:blip r:embed="rId43" cstate="print">
                      <a:extLst>
                        <a:ext uri="{28A0092B-C50C-407E-A947-70E740481C1C}">
                          <a14:useLocalDpi xmlns:a14="http://schemas.microsoft.com/office/drawing/2010/main" val="0"/>
                        </a:ext>
                      </a:extLst>
                    </a:blip>
                    <a:srcRect l="1402" t="2273" r="2195" b="13256"/>
                    <a:stretch/>
                  </pic:blipFill>
                  <pic:spPr bwMode="auto">
                    <a:xfrm>
                      <a:off x="0" y="0"/>
                      <a:ext cx="5580000" cy="2782800"/>
                    </a:xfrm>
                    <a:prstGeom prst="rect">
                      <a:avLst/>
                    </a:prstGeom>
                    <a:ln>
                      <a:noFill/>
                    </a:ln>
                    <a:extLst>
                      <a:ext uri="{53640926-AAD7-44D8-BBD7-CCE9431645EC}">
                        <a14:shadowObscured xmlns:a14="http://schemas.microsoft.com/office/drawing/2010/main"/>
                      </a:ext>
                    </a:extLst>
                  </pic:spPr>
                </pic:pic>
              </a:graphicData>
            </a:graphic>
          </wp:inline>
        </w:drawing>
      </w:r>
    </w:p>
    <w:p w14:paraId="15B0F792" w14:textId="024F00B0" w:rsidR="00022403" w:rsidRDefault="00022403" w:rsidP="00022403">
      <w:pPr>
        <w:pStyle w:val="Caption"/>
      </w:pPr>
      <w:bookmarkStart w:id="47" w:name="_Ref24049312"/>
      <w:r>
        <w:t xml:space="preserve">Figure </w:t>
      </w:r>
      <w:r>
        <w:fldChar w:fldCharType="begin"/>
      </w:r>
      <w:r>
        <w:instrText xml:space="preserve"> SEQ Figure \* ARABIC </w:instrText>
      </w:r>
      <w:r>
        <w:fldChar w:fldCharType="separate"/>
      </w:r>
      <w:r w:rsidR="00062E08">
        <w:rPr>
          <w:noProof/>
        </w:rPr>
        <w:t>9</w:t>
      </w:r>
      <w:r>
        <w:fldChar w:fldCharType="end"/>
      </w:r>
      <w:bookmarkEnd w:id="47"/>
      <w:r>
        <w:t xml:space="preserve"> Trend in winter mean sea-level pressure from 1980</w:t>
      </w:r>
      <w:r w:rsidR="004134DF">
        <w:t xml:space="preserve"> to </w:t>
      </w:r>
      <w:r>
        <w:t xml:space="preserve">2016 (Pa/year) </w:t>
      </w:r>
      <w:r w:rsidRPr="007055A8">
        <w:fldChar w:fldCharType="begin" w:fldLock="1"/>
      </w:r>
      <w:r w:rsidR="00D11C5B" w:rsidRPr="00F21A9D">
        <w:instrText>ADDIN CSL_CITATION {"citationItems":[{"id":"ITEM-1","itemData":{"ISBN":"9780642706935","abstract":"Summary of key program findings and implications • Since the turn of the 21st century, Victorian cool season (April to October) rainfall has continued to average about 15 per cent less than last century. This decline is likely to persist and possibly intensify in the longer term, and will occur more evenly across the whole cool season rather than primarily in the early part, as was the case during the Millennium Drought. This change is associated with changes in the global-scale circulation, which are at least partly attributable to anthropogenic influences. • Streamflows have reduced significantly in response to the cool season rainfall reduction, with reductions in rainfall being amplified in the streamflow response. As the downward trend in cool season rainfall is likely to continue, a less reliable filling season is likely. • The impacts of the cool season rainfall deficit on streamflows may be partially offset by a possible increase in warm season rainfall (particularly in northern Victoria) due to an expansion of tropical influences (resulting from an expanding Hadley cell and an upwards trend in an index of the Southern Annular Mode). Any increase in warm season rainfall is only expected to partially offset cool season reductions because rainfall during the warmer season does not usually generate sustained streamflows. • In light of the reductions in cool season rainfall over the past 20 years, it is considered likely that the recent decades provide a better representation of current climate than does the full historical record extending back over the 20th century. This should be a consideration in the evaluation of current and expected future water supply system performance. • In any one season or year, the impacts of these longer term changes may be intensified or offset by the joint state of key drivers of year-to-year climate variability, specifically El Niño – Southern Oscillation (ENSO: El Niño and La Niña) and the Indian Ocean Dipole (IOD), with the Southern Annular Mode (SAM) also having an impact.","author":[{"dropping-particle":"","family":"Hope","given":"P.","non-dropping-particle":"","parse-names":false,"suffix":""},{"dropping-particle":"","family":"Timbal","given":"B.","non-dropping-particle":"","parse-names":false,"suffix":""},{"dropping-particle":"","family":"Hendon","given":"Harry H.","non-dropping-particle":"","parse-names":false,"suffix":""},{"dropping-particle":"","family":"Ekström","given":"M.","non-dropping-particle":"","parse-names":false,"suffix":""},{"dropping-particle":"","family":"Potter","given":"N.","non-dropping-particle":"","parse-names":false,"suffix":""}],"id":"ITEM-1","issue":"\"VicCI\"","issued":{"date-parts":[["2017"]]},"number-of-pages":"68 pages","title":"A synthesis of findings from the Victorian Climate Initiative (VicCI)","type":"report"},"uris":["http://www.mendeley.com/documents/?uuid=31b9f072-82d9-459a-ae64-ce34a863579a","http://www.mendeley.com/documents/?uuid=3a7b23be-2b79-42a4-b428-2afb04c88ece","http://www.mendeley.com/documents/?uuid=6e1851d4-2463-4643-afe0-87e3b91e44fc"]}],"mendeley":{"formattedCitation":"(Hope &lt;i&gt;et al.&lt;/i&gt;, 2017)","plainTextFormattedCitation":"(Hope et al., 2017)","previouslyFormattedCitation":"(Hope &lt;i&gt;et al.&lt;/i&gt;, 2017)"},"properties":{"noteIndex":0},"schema":"https://github.com/citation-style-language/schema/raw/master/csl-citation.json"}</w:instrText>
      </w:r>
      <w:r w:rsidRPr="007055A8">
        <w:fldChar w:fldCharType="separate"/>
      </w:r>
      <w:r w:rsidR="00D11C5B" w:rsidRPr="00A24407">
        <w:rPr>
          <w:noProof/>
        </w:rPr>
        <w:t xml:space="preserve">(Hope </w:t>
      </w:r>
      <w:r w:rsidR="00D11C5B" w:rsidRPr="00A24407">
        <w:rPr>
          <w:i/>
          <w:noProof/>
        </w:rPr>
        <w:t>et al.</w:t>
      </w:r>
      <w:r w:rsidR="00D11C5B" w:rsidRPr="00A24407">
        <w:rPr>
          <w:noProof/>
        </w:rPr>
        <w:t>, 2017)</w:t>
      </w:r>
      <w:r w:rsidRPr="007055A8">
        <w:fldChar w:fldCharType="end"/>
      </w:r>
    </w:p>
    <w:p w14:paraId="41165C1A" w14:textId="342030EA" w:rsidR="00022403" w:rsidRDefault="00022403" w:rsidP="00022403">
      <w:pPr>
        <w:pStyle w:val="Para0"/>
      </w:pPr>
      <w:r>
        <w:t>In the period 1960</w:t>
      </w:r>
      <w:r w:rsidR="00714757">
        <w:rPr>
          <w:rFonts w:cs="Arial"/>
        </w:rPr>
        <w:t>–</w:t>
      </w:r>
      <w:r>
        <w:t>2018, seasonal rainfall declined in most parts of Victoria in winter, spring and autumn (</w:t>
      </w:r>
      <w:r>
        <w:fldChar w:fldCharType="begin"/>
      </w:r>
      <w:r>
        <w:instrText xml:space="preserve"> REF _Ref23961191 \h </w:instrText>
      </w:r>
      <w:r>
        <w:fldChar w:fldCharType="separate"/>
      </w:r>
      <w:r w:rsidR="00062E08">
        <w:t xml:space="preserve">Figure </w:t>
      </w:r>
      <w:r w:rsidR="00062E08">
        <w:rPr>
          <w:noProof/>
        </w:rPr>
        <w:t>10</w:t>
      </w:r>
      <w:r>
        <w:fldChar w:fldCharType="end"/>
      </w:r>
      <w:r>
        <w:t>) by up to 40</w:t>
      </w:r>
      <w:r w:rsidR="00714757">
        <w:t> </w:t>
      </w:r>
      <w:r>
        <w:t xml:space="preserve">mm/decade. Summer rainfall has increased by a small margin in northern Victoria and reduced by a small amount in southern Victoria. Rainfall </w:t>
      </w:r>
      <w:r w:rsidR="009C1F67">
        <w:t xml:space="preserve">records for </w:t>
      </w:r>
      <w:r>
        <w:t xml:space="preserve">Melbourne’s four </w:t>
      </w:r>
      <w:r w:rsidR="007617CB">
        <w:t>primary water supply</w:t>
      </w:r>
      <w:r>
        <w:t xml:space="preserve"> catchments reflect these broader observations.</w:t>
      </w:r>
    </w:p>
    <w:p w14:paraId="0179B420" w14:textId="17189EC0" w:rsidR="00AF33CD" w:rsidRDefault="00022403" w:rsidP="00022403">
      <w:pPr>
        <w:pStyle w:val="Para0"/>
      </w:pPr>
      <w:r>
        <w:t xml:space="preserve">The additional observations and research </w:t>
      </w:r>
      <w:r w:rsidR="00714757">
        <w:t xml:space="preserve">in the decade </w:t>
      </w:r>
      <w:r>
        <w:t>since the publication of WWS2008 have led to a deeper understanding of dynamical variability and changes in the climate system and their hydrological impacts. Additional meteorological and inflow data ha</w:t>
      </w:r>
      <w:r w:rsidR="00DC36D7">
        <w:t>ve</w:t>
      </w:r>
      <w:r>
        <w:t xml:space="preserve"> facilitated improved model calibration and evaluation. The Millennium drought continued during 2008–09 and then</w:t>
      </w:r>
      <w:r w:rsidR="00714757">
        <w:t>,</w:t>
      </w:r>
      <w:r>
        <w:t xml:space="preserve"> after a period of around 13 dry or moderately dry years, the drought broke in 2010–11 with widespread heavy rainfall under the influence of two La Niña events. This was followed by a mixture of moderate years and drier years.</w:t>
      </w:r>
      <w:r w:rsidR="00770890">
        <w:t xml:space="preserve"> However, t</w:t>
      </w:r>
      <w:r w:rsidR="00770890" w:rsidRPr="00B240D1">
        <w:t>h</w:t>
      </w:r>
      <w:r w:rsidR="00770890">
        <w:t>e</w:t>
      </w:r>
      <w:r w:rsidR="00770890" w:rsidRPr="00B240D1">
        <w:t xml:space="preserve"> </w:t>
      </w:r>
      <w:r w:rsidR="009863F9">
        <w:t xml:space="preserve">decline in </w:t>
      </w:r>
      <w:r w:rsidR="00770890" w:rsidRPr="00B240D1">
        <w:t>cool season rainfall is likely to persist and possibly intensify in the longer term</w:t>
      </w:r>
      <w:r w:rsidR="00770890">
        <w:t xml:space="preserve"> (Hope </w:t>
      </w:r>
      <w:r w:rsidR="00770890" w:rsidRPr="00B240D1">
        <w:rPr>
          <w:i/>
          <w:iCs/>
        </w:rPr>
        <w:t>et al.</w:t>
      </w:r>
      <w:r w:rsidR="00F21A9D">
        <w:t>,</w:t>
      </w:r>
      <w:r w:rsidR="00770890">
        <w:t xml:space="preserve"> 2017).</w:t>
      </w:r>
    </w:p>
    <w:p w14:paraId="11D836E7" w14:textId="42699888" w:rsidR="00022403" w:rsidRDefault="00A32D72" w:rsidP="00022403">
      <w:pPr>
        <w:pStyle w:val="Para0"/>
      </w:pPr>
      <w:r>
        <w:fldChar w:fldCharType="begin"/>
      </w:r>
      <w:r>
        <w:instrText xml:space="preserve"> REF _Ref24478956 \h </w:instrText>
      </w:r>
      <w:r>
        <w:fldChar w:fldCharType="separate"/>
      </w:r>
      <w:r w:rsidR="00062E08">
        <w:t xml:space="preserve">Figure </w:t>
      </w:r>
      <w:r w:rsidR="00062E08">
        <w:rPr>
          <w:noProof/>
        </w:rPr>
        <w:t>11</w:t>
      </w:r>
      <w:r>
        <w:fldChar w:fldCharType="end"/>
      </w:r>
      <w:r>
        <w:t xml:space="preserve"> </w:t>
      </w:r>
      <w:r w:rsidR="00022403">
        <w:t xml:space="preserve">shows total annual inflows into </w:t>
      </w:r>
      <w:r w:rsidR="00BA2B4A">
        <w:t xml:space="preserve">the </w:t>
      </w:r>
      <w:r w:rsidR="00022403">
        <w:t xml:space="preserve">Thomson </w:t>
      </w:r>
      <w:r w:rsidR="00714757">
        <w:t>Reservoir</w:t>
      </w:r>
      <w:r w:rsidR="00022403">
        <w:t xml:space="preserve">, as well as total inflows into </w:t>
      </w:r>
      <w:r w:rsidR="00BA2B4A">
        <w:t xml:space="preserve">Melbourne’s </w:t>
      </w:r>
      <w:r w:rsidR="00022403">
        <w:t xml:space="preserve">four major storages. Average inflows following the Millennium drought have rebounded somewhat, but </w:t>
      </w:r>
      <w:r w:rsidR="00770890">
        <w:t xml:space="preserve">have </w:t>
      </w:r>
      <w:r w:rsidR="00022403">
        <w:t xml:space="preserve">not returned to pre-1997 levels. </w:t>
      </w:r>
      <w:r w:rsidR="00AF33CD">
        <w:t xml:space="preserve">Mean annual inflows </w:t>
      </w:r>
      <w:r w:rsidR="007617CB">
        <w:t>in</w:t>
      </w:r>
      <w:r w:rsidR="00AF33CD">
        <w:t xml:space="preserve">to </w:t>
      </w:r>
      <w:r w:rsidR="00BA2B4A">
        <w:t xml:space="preserve">the </w:t>
      </w:r>
      <w:r w:rsidR="00AF33CD">
        <w:t>Thomson for 1997</w:t>
      </w:r>
      <w:r w:rsidR="00714757">
        <w:rPr>
          <w:rFonts w:cs="Arial"/>
        </w:rPr>
        <w:t>–</w:t>
      </w:r>
      <w:r w:rsidR="00AF33CD">
        <w:t xml:space="preserve">2018 were 31% below the 1913–2018 mean. Taken across a slightly longer period, the 1975–2018 mean inflows </w:t>
      </w:r>
      <w:r w:rsidR="00770890">
        <w:t>in</w:t>
      </w:r>
      <w:r w:rsidR="00AF33CD">
        <w:t xml:space="preserve">to </w:t>
      </w:r>
      <w:r w:rsidR="00BA2B4A">
        <w:t xml:space="preserve">the </w:t>
      </w:r>
      <w:r w:rsidR="00AF33CD">
        <w:t>Thomson remain 15% below the long</w:t>
      </w:r>
      <w:r w:rsidR="00714757">
        <w:t>-</w:t>
      </w:r>
      <w:r w:rsidR="00AF33CD">
        <w:t xml:space="preserve">term mean. For the combined total of Melbourne’s four major harvesting storages (Thomson, </w:t>
      </w:r>
      <w:r w:rsidR="00B11505">
        <w:t xml:space="preserve">Upper Yarra, </w:t>
      </w:r>
      <w:r w:rsidR="00AF33CD">
        <w:t xml:space="preserve">, O’Shannassy and </w:t>
      </w:r>
      <w:r w:rsidR="00B11505">
        <w:t>Maroondah</w:t>
      </w:r>
      <w:r w:rsidR="00AF33CD">
        <w:t xml:space="preserve">), the mean annual inflows were </w:t>
      </w:r>
      <w:r w:rsidR="007617CB">
        <w:t>31%</w:t>
      </w:r>
      <w:r w:rsidR="00AF33CD">
        <w:t xml:space="preserve"> </w:t>
      </w:r>
      <w:r w:rsidR="00BF0388">
        <w:t xml:space="preserve">and 14% </w:t>
      </w:r>
      <w:r w:rsidR="00AF33CD">
        <w:t>below the long</w:t>
      </w:r>
      <w:r w:rsidR="00D61F2C">
        <w:t>-</w:t>
      </w:r>
      <w:r w:rsidR="00AF33CD">
        <w:t>term mean</w:t>
      </w:r>
      <w:r w:rsidR="007617CB">
        <w:t>,</w:t>
      </w:r>
      <w:r w:rsidR="00AF33CD">
        <w:t xml:space="preserve"> for</w:t>
      </w:r>
      <w:r w:rsidR="007617CB">
        <w:t xml:space="preserve"> the </w:t>
      </w:r>
      <w:r w:rsidR="00BF0388">
        <w:t xml:space="preserve">1997–2018 and </w:t>
      </w:r>
      <w:r w:rsidR="007617CB">
        <w:t>1975</w:t>
      </w:r>
      <w:r w:rsidR="007617CB">
        <w:rPr>
          <w:rFonts w:cs="Arial"/>
        </w:rPr>
        <w:t>–</w:t>
      </w:r>
      <w:r w:rsidR="007617CB">
        <w:t>2018 periods respectively</w:t>
      </w:r>
      <w:r w:rsidR="00AF33CD">
        <w:t>.</w:t>
      </w:r>
      <w:r w:rsidR="004F7267">
        <w:t xml:space="preserve"> The mean annual precipitation for </w:t>
      </w:r>
      <w:r w:rsidR="00BA2B4A">
        <w:t xml:space="preserve">the </w:t>
      </w:r>
      <w:r w:rsidR="004F7267">
        <w:t xml:space="preserve">Thomson was </w:t>
      </w:r>
      <w:r w:rsidR="00BF0388">
        <w:t xml:space="preserve">11% and </w:t>
      </w:r>
      <w:r w:rsidR="004F7267">
        <w:t>5% below the long</w:t>
      </w:r>
      <w:r w:rsidR="00770890">
        <w:t>-</w:t>
      </w:r>
      <w:r w:rsidR="004F7267">
        <w:t>term mean for 1997</w:t>
      </w:r>
      <w:r w:rsidR="00714757">
        <w:rPr>
          <w:rFonts w:cs="Arial"/>
        </w:rPr>
        <w:t>–</w:t>
      </w:r>
      <w:r w:rsidR="004F7267">
        <w:t xml:space="preserve">2018 </w:t>
      </w:r>
      <w:r w:rsidR="00BF0388">
        <w:t>and 1975</w:t>
      </w:r>
      <w:r w:rsidR="00BF0388">
        <w:rPr>
          <w:rFonts w:cs="Arial"/>
        </w:rPr>
        <w:t>–</w:t>
      </w:r>
      <w:r w:rsidR="00BF0388">
        <w:t xml:space="preserve">2018 </w:t>
      </w:r>
      <w:r w:rsidR="004F7267">
        <w:t>respectively.</w:t>
      </w:r>
      <w:r w:rsidR="007617CB">
        <w:t xml:space="preserve"> Therefore, for </w:t>
      </w:r>
      <w:r w:rsidR="00BA2B4A">
        <w:t xml:space="preserve">the </w:t>
      </w:r>
      <w:r w:rsidR="007617CB">
        <w:t>Thomson</w:t>
      </w:r>
      <w:r w:rsidR="00BA2B4A">
        <w:t>,</w:t>
      </w:r>
      <w:r w:rsidR="007617CB">
        <w:t xml:space="preserve"> </w:t>
      </w:r>
      <w:r w:rsidR="00862AD0">
        <w:t xml:space="preserve">the percentage reductions in </w:t>
      </w:r>
      <w:r w:rsidR="004C4BF6">
        <w:t xml:space="preserve">inflows </w:t>
      </w:r>
      <w:r w:rsidR="00862AD0">
        <w:t xml:space="preserve">were about three times the percentage reductions in </w:t>
      </w:r>
      <w:r w:rsidR="004C4BF6">
        <w:t>rainfall</w:t>
      </w:r>
      <w:r w:rsidR="00862AD0">
        <w:t>.</w:t>
      </w:r>
    </w:p>
    <w:p w14:paraId="2996AB75" w14:textId="28DDA6E9" w:rsidR="00022403" w:rsidRDefault="00022403" w:rsidP="00F33405">
      <w:pPr>
        <w:pStyle w:val="Para0"/>
        <w:keepNext/>
        <w:spacing w:line="240" w:lineRule="auto"/>
        <w:ind w:left="567" w:right="-284"/>
      </w:pPr>
      <w:r>
        <w:rPr>
          <w:noProof/>
          <w:lang w:val="en-AU" w:eastAsia="en-AU"/>
        </w:rPr>
        <w:lastRenderedPageBreak/>
        <w:drawing>
          <wp:inline distT="0" distB="0" distL="0" distR="0" wp14:anchorId="7DCC0C15" wp14:editId="626148B2">
            <wp:extent cx="3524400" cy="2451600"/>
            <wp:effectExtent l="3175"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test_DJF.gif"/>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524400" cy="2451600"/>
                    </a:xfrm>
                    <a:prstGeom prst="rect">
                      <a:avLst/>
                    </a:prstGeom>
                  </pic:spPr>
                </pic:pic>
              </a:graphicData>
            </a:graphic>
          </wp:inline>
        </w:drawing>
      </w:r>
      <w:r>
        <w:t xml:space="preserve">    </w:t>
      </w:r>
      <w:r w:rsidR="00F33405">
        <w:rPr>
          <w:noProof/>
          <w:lang w:val="en-AU" w:eastAsia="en-AU"/>
        </w:rPr>
        <w:drawing>
          <wp:inline distT="0" distB="0" distL="0" distR="0" wp14:anchorId="5A58FE1A" wp14:editId="6ED36947">
            <wp:extent cx="3423600" cy="2379600"/>
            <wp:effectExtent l="762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est_JJA.gif"/>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423600" cy="2379600"/>
                    </a:xfrm>
                    <a:prstGeom prst="rect">
                      <a:avLst/>
                    </a:prstGeom>
                  </pic:spPr>
                </pic:pic>
              </a:graphicData>
            </a:graphic>
          </wp:inline>
        </w:drawing>
      </w:r>
      <w:r>
        <w:rPr>
          <w:noProof/>
          <w:lang w:val="en-AU" w:eastAsia="en-AU"/>
        </w:rPr>
        <w:drawing>
          <wp:inline distT="0" distB="0" distL="0" distR="0" wp14:anchorId="301273C1" wp14:editId="492EBC84">
            <wp:extent cx="3524400" cy="2451600"/>
            <wp:effectExtent l="3175"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test_SON.gif"/>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524400" cy="2451600"/>
                    </a:xfrm>
                    <a:prstGeom prst="rect">
                      <a:avLst/>
                    </a:prstGeom>
                  </pic:spPr>
                </pic:pic>
              </a:graphicData>
            </a:graphic>
          </wp:inline>
        </w:drawing>
      </w:r>
      <w:r w:rsidR="00F33405">
        <w:rPr>
          <w:noProof/>
          <w:lang w:val="en-AU" w:eastAsia="en-AU"/>
        </w:rPr>
        <w:drawing>
          <wp:inline distT="0" distB="0" distL="0" distR="0" wp14:anchorId="21C60A2E" wp14:editId="3F7ABAE9">
            <wp:extent cx="3524400" cy="2451600"/>
            <wp:effectExtent l="3175"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test_MAM.gif"/>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524400" cy="2451600"/>
                    </a:xfrm>
                    <a:prstGeom prst="rect">
                      <a:avLst/>
                    </a:prstGeom>
                  </pic:spPr>
                </pic:pic>
              </a:graphicData>
            </a:graphic>
          </wp:inline>
        </w:drawing>
      </w:r>
    </w:p>
    <w:p w14:paraId="143C6A91" w14:textId="517577AE" w:rsidR="00022403" w:rsidRDefault="00022403" w:rsidP="00A22204">
      <w:pPr>
        <w:pStyle w:val="Caption"/>
        <w:keepNext w:val="0"/>
        <w:numPr>
          <w:ilvl w:val="0"/>
          <w:numId w:val="0"/>
        </w:numPr>
        <w:ind w:left="397" w:hanging="397"/>
      </w:pPr>
      <w:bookmarkStart w:id="48" w:name="_Ref23961191"/>
      <w:bookmarkStart w:id="49" w:name="_Ref23961161"/>
      <w:r>
        <w:t xml:space="preserve">Figure </w:t>
      </w:r>
      <w:r>
        <w:fldChar w:fldCharType="begin"/>
      </w:r>
      <w:r>
        <w:instrText xml:space="preserve"> SEQ Figure \* ARABIC </w:instrText>
      </w:r>
      <w:r>
        <w:fldChar w:fldCharType="separate"/>
      </w:r>
      <w:r w:rsidR="00062E08">
        <w:rPr>
          <w:noProof/>
        </w:rPr>
        <w:t>10</w:t>
      </w:r>
      <w:r>
        <w:fldChar w:fldCharType="end"/>
      </w:r>
      <w:bookmarkEnd w:id="48"/>
      <w:r>
        <w:t xml:space="preserve"> Trends in seasonal rainfall over Victoria for 1960</w:t>
      </w:r>
      <w:r w:rsidR="00714757">
        <w:rPr>
          <w:rFonts w:cs="Arial"/>
        </w:rPr>
        <w:t>–</w:t>
      </w:r>
      <w:r>
        <w:t xml:space="preserve">2018/19 for (a) </w:t>
      </w:r>
      <w:r w:rsidR="00CC6B54">
        <w:t>December</w:t>
      </w:r>
      <w:r w:rsidR="009F633D">
        <w:rPr>
          <w:rFonts w:cs="Arial"/>
        </w:rPr>
        <w:t>–</w:t>
      </w:r>
      <w:r w:rsidR="00CC6B54">
        <w:t>February</w:t>
      </w:r>
      <w:r>
        <w:t xml:space="preserve">, (b) </w:t>
      </w:r>
      <w:r w:rsidR="00CC6B54">
        <w:t>March</w:t>
      </w:r>
      <w:r w:rsidR="009863F9">
        <w:rPr>
          <w:rFonts w:cs="Arial"/>
        </w:rPr>
        <w:t>–</w:t>
      </w:r>
      <w:r w:rsidR="00CC6B54">
        <w:t>May</w:t>
      </w:r>
      <w:r>
        <w:t xml:space="preserve">, (c) </w:t>
      </w:r>
      <w:r w:rsidR="00CC6B54">
        <w:t>June</w:t>
      </w:r>
      <w:r w:rsidR="009863F9">
        <w:rPr>
          <w:rFonts w:cs="Arial"/>
        </w:rPr>
        <w:t>–</w:t>
      </w:r>
      <w:r w:rsidR="00CC6B54">
        <w:t>August</w:t>
      </w:r>
      <w:r>
        <w:t xml:space="preserve"> and (d) </w:t>
      </w:r>
      <w:r w:rsidR="00CC6B54">
        <w:t>September</w:t>
      </w:r>
      <w:r w:rsidR="009863F9">
        <w:rPr>
          <w:rFonts w:cs="Arial"/>
        </w:rPr>
        <w:t>–</w:t>
      </w:r>
      <w:r w:rsidR="00CC6B54">
        <w:t>November</w:t>
      </w:r>
      <w:r>
        <w:t xml:space="preserve">. </w:t>
      </w:r>
      <w:r w:rsidR="00A43990">
        <w:t>(</w:t>
      </w:r>
      <w:r>
        <w:t>Figure courtesy of the Australian Bureau of Meteorology</w:t>
      </w:r>
      <w:bookmarkEnd w:id="49"/>
      <w:r w:rsidR="009F633D">
        <w:t>.</w:t>
      </w:r>
      <w:r w:rsidR="00A43990">
        <w:t>)</w:t>
      </w:r>
      <w:r w:rsidR="008F0AF2">
        <w:br/>
      </w:r>
    </w:p>
    <w:p w14:paraId="7C334B15" w14:textId="77777777" w:rsidR="00022403" w:rsidRDefault="00022403" w:rsidP="00022403">
      <w:pPr>
        <w:pStyle w:val="Para0"/>
        <w:keepNext/>
        <w:spacing w:before="0"/>
      </w:pPr>
      <w:r>
        <w:rPr>
          <w:noProof/>
          <w:lang w:val="en-AU" w:eastAsia="en-AU"/>
        </w:rPr>
        <w:lastRenderedPageBreak/>
        <w:drawing>
          <wp:inline distT="0" distB="0" distL="0" distR="0" wp14:anchorId="508C9025" wp14:editId="708E4680">
            <wp:extent cx="5040000" cy="3290400"/>
            <wp:effectExtent l="0" t="0" r="8255" b="571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000" cy="3290400"/>
                    </a:xfrm>
                    <a:prstGeom prst="rect">
                      <a:avLst/>
                    </a:prstGeom>
                    <a:noFill/>
                  </pic:spPr>
                </pic:pic>
              </a:graphicData>
            </a:graphic>
          </wp:inline>
        </w:drawing>
      </w:r>
    </w:p>
    <w:p w14:paraId="56D4705E" w14:textId="77777777" w:rsidR="00022403" w:rsidRDefault="00022403" w:rsidP="00022403">
      <w:pPr>
        <w:pStyle w:val="Para0"/>
        <w:keepNext/>
        <w:spacing w:before="0"/>
      </w:pPr>
      <w:r>
        <w:rPr>
          <w:noProof/>
          <w:lang w:val="en-AU" w:eastAsia="en-AU"/>
        </w:rPr>
        <w:drawing>
          <wp:inline distT="0" distB="0" distL="0" distR="0" wp14:anchorId="1FD903AF" wp14:editId="1D339763">
            <wp:extent cx="5040000" cy="3290400"/>
            <wp:effectExtent l="0" t="0" r="8255"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0000" cy="3290400"/>
                    </a:xfrm>
                    <a:prstGeom prst="rect">
                      <a:avLst/>
                    </a:prstGeom>
                    <a:noFill/>
                  </pic:spPr>
                </pic:pic>
              </a:graphicData>
            </a:graphic>
          </wp:inline>
        </w:drawing>
      </w:r>
    </w:p>
    <w:p w14:paraId="2EE7BD36" w14:textId="539916E2" w:rsidR="00022403" w:rsidRDefault="00022403" w:rsidP="00022403">
      <w:pPr>
        <w:pStyle w:val="Caption"/>
        <w:keepNext w:val="0"/>
        <w:spacing w:before="0" w:after="0"/>
      </w:pPr>
      <w:bookmarkStart w:id="50" w:name="_Ref24478956"/>
      <w:r>
        <w:t xml:space="preserve">Figure </w:t>
      </w:r>
      <w:r>
        <w:fldChar w:fldCharType="begin"/>
      </w:r>
      <w:r>
        <w:instrText xml:space="preserve"> SEQ Figure \* ARABIC </w:instrText>
      </w:r>
      <w:r>
        <w:fldChar w:fldCharType="separate"/>
      </w:r>
      <w:r w:rsidR="00062E08">
        <w:rPr>
          <w:noProof/>
        </w:rPr>
        <w:t>11</w:t>
      </w:r>
      <w:r>
        <w:fldChar w:fldCharType="end"/>
      </w:r>
      <w:bookmarkEnd w:id="50"/>
      <w:r>
        <w:t xml:space="preserve"> Annual inflows to (top) Thomson</w:t>
      </w:r>
      <w:r w:rsidR="00714757">
        <w:t xml:space="preserve"> Reservoir</w:t>
      </w:r>
      <w:r>
        <w:t xml:space="preserve"> and (bottom) combined for Thomson, Upper Yarra, </w:t>
      </w:r>
      <w:r w:rsidR="0053260A">
        <w:t xml:space="preserve">O’Shannassy and </w:t>
      </w:r>
      <w:r>
        <w:t>Maroondah</w:t>
      </w:r>
      <w:r w:rsidR="00F53F14">
        <w:t xml:space="preserve"> reservoirs</w:t>
      </w:r>
      <w:r>
        <w:t>, showing averages for the whole period (1913</w:t>
      </w:r>
      <w:r w:rsidR="00714757">
        <w:rPr>
          <w:rFonts w:cs="Arial"/>
        </w:rPr>
        <w:t>–</w:t>
      </w:r>
      <w:r>
        <w:t>2018), 1975</w:t>
      </w:r>
      <w:r w:rsidR="00714757">
        <w:rPr>
          <w:rFonts w:cs="Arial"/>
        </w:rPr>
        <w:t>–</w:t>
      </w:r>
      <w:r>
        <w:t>2018 and 1997</w:t>
      </w:r>
      <w:r w:rsidR="00714757">
        <w:rPr>
          <w:rFonts w:cs="Arial"/>
        </w:rPr>
        <w:t>–</w:t>
      </w:r>
      <w:r>
        <w:t>2018. The Thomson plot (top) also shows the average for 1954</w:t>
      </w:r>
      <w:r w:rsidR="00714757">
        <w:rPr>
          <w:rFonts w:cs="Arial"/>
        </w:rPr>
        <w:t>–</w:t>
      </w:r>
      <w:r>
        <w:t>1998, which was used for calibration of the Macaque models</w:t>
      </w:r>
      <w:r w:rsidR="00F53F14">
        <w:t>,</w:t>
      </w:r>
      <w:r>
        <w:t xml:space="preserve"> and </w:t>
      </w:r>
      <w:r w:rsidR="00F53F14">
        <w:t xml:space="preserve">it </w:t>
      </w:r>
      <w:r>
        <w:t>highlights 1989</w:t>
      </w:r>
      <w:r w:rsidR="00F53F14">
        <w:t xml:space="preserve">. That </w:t>
      </w:r>
      <w:r>
        <w:t>was the representative year that was repeated 300 times in the Macaque model scenario simulations (see Salkin, 2008, p.</w:t>
      </w:r>
      <w:r w:rsidR="00F53F14">
        <w:t> </w:t>
      </w:r>
      <w:r>
        <w:t>20)</w:t>
      </w:r>
      <w:r w:rsidR="007617CB">
        <w:t xml:space="preserve"> (Data supplied by K.S. Tan, Melbourne Water, pers. comm.)</w:t>
      </w:r>
    </w:p>
    <w:p w14:paraId="1BF56793" w14:textId="330FB80A" w:rsidR="00BE7A72" w:rsidRDefault="00641AE1" w:rsidP="00101A67">
      <w:pPr>
        <w:pStyle w:val="Para0"/>
      </w:pPr>
      <w:r>
        <w:lastRenderedPageBreak/>
        <w:t xml:space="preserve">The climate change simulations in WWS2008 found that the modelled percentage reductions in </w:t>
      </w:r>
      <w:r w:rsidR="001834A2">
        <w:t>catchment water yield</w:t>
      </w:r>
      <w:r>
        <w:t xml:space="preserve"> were several times the projected percentage reductions in mean annual rainfall under the climate change </w:t>
      </w:r>
      <w:r w:rsidR="00462052">
        <w:t xml:space="preserve">scenarios </w:t>
      </w:r>
      <w:r>
        <w:t xml:space="preserve">that they considered. From WWS2008, for </w:t>
      </w:r>
      <w:r w:rsidR="00F306D4">
        <w:t xml:space="preserve">the </w:t>
      </w:r>
      <w:r>
        <w:t xml:space="preserve">Thomson catchment, the ratios of mean annual </w:t>
      </w:r>
      <w:r w:rsidR="001834A2">
        <w:t>catchment water yield</w:t>
      </w:r>
      <w:r>
        <w:t xml:space="preserve"> to rainfall change for </w:t>
      </w:r>
      <w:r w:rsidR="005E5BC3">
        <w:t xml:space="preserve">the year </w:t>
      </w:r>
      <w:r>
        <w:t xml:space="preserve">2050 were about 8, 3.8 and 3.1 for the “slight”, “moderate” and “extreme” climate change scenarios, respectively. </w:t>
      </w:r>
    </w:p>
    <w:p w14:paraId="402EDF54" w14:textId="5F250510" w:rsidR="00060909" w:rsidRDefault="00641AE1" w:rsidP="00101A67">
      <w:pPr>
        <w:pStyle w:val="Para0"/>
      </w:pPr>
      <w:r>
        <w:t xml:space="preserve">Lumped conceptual rainfall runoff models have been applied to investigate how changes in mean annual rainfall translate into changes in </w:t>
      </w:r>
      <w:r w:rsidR="001834A2">
        <w:t>catchment water yield</w:t>
      </w:r>
      <w:r>
        <w:t>, with specific applications in Melbourne’s forested catchments</w:t>
      </w:r>
      <w:r w:rsidR="003E6700">
        <w:t>;</w:t>
      </w:r>
      <w:r w:rsidR="001C563C">
        <w:t xml:space="preserve"> Zhou </w:t>
      </w:r>
      <w:r w:rsidR="001C563C" w:rsidRPr="00E878F7">
        <w:rPr>
          <w:i/>
        </w:rPr>
        <w:t>et al</w:t>
      </w:r>
      <w:r w:rsidR="001C563C">
        <w:t>. (2015)</w:t>
      </w:r>
      <w:r>
        <w:t xml:space="preserve"> </w:t>
      </w:r>
      <w:r w:rsidR="003E6700">
        <w:t xml:space="preserve">investigated </w:t>
      </w:r>
      <w:r>
        <w:t>the Starvation Creek and the Little Yarra River catchments</w:t>
      </w:r>
      <w:r w:rsidR="001C563C">
        <w:t>,</w:t>
      </w:r>
      <w:r>
        <w:t xml:space="preserve"> and </w:t>
      </w:r>
      <w:r>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fldChar w:fldCharType="separate"/>
      </w:r>
      <w:r w:rsidRPr="00641AE1">
        <w:rPr>
          <w:noProof/>
        </w:rPr>
        <w:t xml:space="preserve">Taylor </w:t>
      </w:r>
      <w:r w:rsidR="001C1F9A" w:rsidRPr="001C1F9A">
        <w:rPr>
          <w:i/>
          <w:iCs/>
          <w:noProof/>
        </w:rPr>
        <w:t>et al.</w:t>
      </w:r>
      <w:r w:rsidRPr="00641AE1">
        <w:rPr>
          <w:noProof/>
        </w:rPr>
        <w:t xml:space="preserve"> </w:t>
      </w:r>
      <w:r>
        <w:rPr>
          <w:noProof/>
        </w:rPr>
        <w:t>(</w:t>
      </w:r>
      <w:r w:rsidRPr="00641AE1">
        <w:rPr>
          <w:noProof/>
        </w:rPr>
        <w:t>2019)</w:t>
      </w:r>
      <w:r>
        <w:fldChar w:fldCharType="end"/>
      </w:r>
      <w:r w:rsidR="001C563C">
        <w:t xml:space="preserve"> </w:t>
      </w:r>
      <w:r w:rsidR="003E6700">
        <w:t xml:space="preserve">investigated </w:t>
      </w:r>
      <w:r w:rsidR="001C563C">
        <w:t>the Thomson catchment</w:t>
      </w:r>
      <w:r>
        <w:t xml:space="preserve">. </w:t>
      </w:r>
    </w:p>
    <w:p w14:paraId="74EF0D91" w14:textId="72034DE6" w:rsidR="00831DB2" w:rsidRDefault="00101A67" w:rsidP="00101A67">
      <w:pPr>
        <w:pStyle w:val="Para0"/>
      </w:pPr>
      <w:r>
        <w:fldChar w:fldCharType="begin" w:fldLock="1"/>
      </w:r>
      <w:r w:rsidR="007416C7">
        <w:instrText>ADDIN CSL_CITATION {"citationItems":[{"id":"ITEM-1","itemData":{"DOI":"10.1080/02626667.2014.961923","ISSN":"21503435","abstract":"This paper quantifies the impacts of bushfire and climate variability on streamflow from three southeast Australian catchments where bushfires occurred in February 1983. Three hydrological models (AWRA-L, Xinanjiang and GR4J) were first calibrated against streamflow data from the pre-bushfire period and then used to simulate runoff for the post-bushfire period with the calibrated parameters. The difference in simulated streamflow between pre- and post-bushfire periods provides an estimate of the impact of climate variability on streamflow. The impact of bushfire on streamflow is quantified by removing the climate variability impact from the difference in mean annual observed streamflow between post- and pre-bushfire periods. For the first 15 years after the 1983 bushfires, the results from hydrological models for the three catchments indicate that there is a substantial increase in streamflow; this is attributed to initial decreases in evapotranspiration and soil infiltration rates resulting from the fires, followed by logging activity. After 15 years, streamflow dynamics are more heavily influenced by climate effects, although some impact from fire and logging regeneration may still occur. The results show that hydrological models provide reasonably consistent estimates of bushfire and climate impacts on streamflow for the three catchments. The models can be used to quantify relative contributions of forest disturbance (bushfire, logging and other forest management) and climate variability. The results presented can also help forest managers understand the relationship between bushfire and climate variability impacts on water yield in the context of climate variability.","author":[{"dropping-particle":"","family":"Zhou","given":"Yanchun","non-dropping-particle":"","parse-names":false,"suffix":""},{"dropping-particle":"","family":"Zhang","given":"Yongqiang","non-dropping-particle":"","parse-names":false,"suffix":""},{"dropping-particle":"","family":"Vaze","given":"Jai","non-dropping-particle":"","parse-names":false,"suffix":""},{"dropping-particle":"","family":"Lane","given":"Patrick","non-dropping-particle":"","parse-names":false,"suffix":""},{"dropping-particle":"","family":"Xu","given":"Shiguo","non-dropping-particle":"","parse-names":false,"suffix":""}],"container-title":"Hydrological Sciences Journal","id":"ITEM-1","issue":"7-8","issued":{"date-parts":[["2015"]]},"page":"1340-1360","publisher":"Taylor &amp; Francis","title":"Impact of bushfire and climate variability on streamflow from forested catchments in southeast Australia","type":"article-journal","volume":"60"},"uris":["http://www.mendeley.com/documents/?uuid=407e84ee-673b-48d1-84fd-e64f41530508"]}],"mendeley":{"formattedCitation":"(Zhou &lt;i&gt;et al.&lt;/i&gt;, 2015)","manualFormatting":"Zhou et al. (2015)","plainTextFormattedCitation":"(Zhou et al., 2015)","previouslyFormattedCitation":"(Zhou &lt;i&gt;et al.&lt;/i&gt;, 2015)"},"properties":{"noteIndex":0},"schema":"https://github.com/citation-style-language/schema/raw/master/csl-citation.json"}</w:instrText>
      </w:r>
      <w:r>
        <w:fldChar w:fldCharType="separate"/>
      </w:r>
      <w:r w:rsidRPr="003349D2">
        <w:rPr>
          <w:noProof/>
        </w:rPr>
        <w:t xml:space="preserve">Zhou </w:t>
      </w:r>
      <w:r w:rsidR="001C1F9A" w:rsidRPr="001C1F9A">
        <w:rPr>
          <w:i/>
          <w:iCs/>
          <w:noProof/>
        </w:rPr>
        <w:t>et al.</w:t>
      </w:r>
      <w:r w:rsidRPr="003349D2">
        <w:rPr>
          <w:noProof/>
        </w:rPr>
        <w:t xml:space="preserve"> </w:t>
      </w:r>
      <w:r>
        <w:rPr>
          <w:noProof/>
        </w:rPr>
        <w:t>(</w:t>
      </w:r>
      <w:r w:rsidRPr="003349D2">
        <w:rPr>
          <w:noProof/>
        </w:rPr>
        <w:t>2015)</w:t>
      </w:r>
      <w:r>
        <w:fldChar w:fldCharType="end"/>
      </w:r>
      <w:r>
        <w:t xml:space="preserve"> ran three different conceptual rainfall runoff models to separate out the influence of bushfire from climate change. For </w:t>
      </w:r>
      <w:r w:rsidR="00C95AA4">
        <w:t xml:space="preserve">the </w:t>
      </w:r>
      <w:r>
        <w:t>Starvation Creek</w:t>
      </w:r>
      <w:r w:rsidR="00C95AA4">
        <w:t xml:space="preserve"> catchment</w:t>
      </w:r>
      <w:r>
        <w:t xml:space="preserve">, they found that climate variability was responsible for declines in </w:t>
      </w:r>
      <w:r w:rsidR="001834A2">
        <w:t>catchment water yield</w:t>
      </w:r>
      <w:r>
        <w:t xml:space="preserve"> of between 29% and 36% for the dry period 1999</w:t>
      </w:r>
      <w:r w:rsidR="00060909">
        <w:rPr>
          <w:rFonts w:cs="Arial"/>
        </w:rPr>
        <w:t>–</w:t>
      </w:r>
      <w:r>
        <w:t>2004, when there was a reduction of 13% in mean annual rainfall. For the Little Yarra River</w:t>
      </w:r>
      <w:r w:rsidR="00C95AA4">
        <w:t xml:space="preserve"> catchment</w:t>
      </w:r>
      <w:r>
        <w:t xml:space="preserve">, they found that climate variability was responsible for declines in </w:t>
      </w:r>
      <w:r w:rsidR="001834A2">
        <w:t>catchment water yield</w:t>
      </w:r>
      <w:r>
        <w:t xml:space="preserve"> of between 16% and 31% for the dry period 1999</w:t>
      </w:r>
      <w:r w:rsidR="00060909">
        <w:rPr>
          <w:rFonts w:cs="Arial"/>
        </w:rPr>
        <w:t>–</w:t>
      </w:r>
      <w:r>
        <w:t>2000, when there was a reduction of 11% in mean annual rainfall. The</w:t>
      </w:r>
      <w:r w:rsidR="00C95AA4">
        <w:t>ir</w:t>
      </w:r>
      <w:r>
        <w:t xml:space="preserve"> results </w:t>
      </w:r>
      <w:r w:rsidR="00C95AA4">
        <w:t xml:space="preserve">show </w:t>
      </w:r>
      <w:r>
        <w:t xml:space="preserve">that the ratio of decline in </w:t>
      </w:r>
      <w:r w:rsidR="001834A2">
        <w:t>catchment water yield</w:t>
      </w:r>
      <w:r>
        <w:t xml:space="preserve"> to rainfall was between 2.3 and 2.8 times for Starvation Creek and between 1.4 and 2.7 times for the Little Yarra River, </w:t>
      </w:r>
      <w:r w:rsidR="00C95AA4">
        <w:t xml:space="preserve">although </w:t>
      </w:r>
      <w:r>
        <w:t>these ratios were estimated across relatively short periods of 2 and 5 years in the two catchments.</w:t>
      </w:r>
      <w:r w:rsidR="00641AE1">
        <w:t xml:space="preserve"> </w:t>
      </w:r>
      <w:r w:rsidR="00BE7A72">
        <w:t xml:space="preserve">In the </w:t>
      </w:r>
      <w:r w:rsidR="00BE7A72">
        <w:fldChar w:fldCharType="begin" w:fldLock="1"/>
      </w:r>
      <w:r w:rsidR="0005134E">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BE7A72">
        <w:fldChar w:fldCharType="separate"/>
      </w:r>
      <w:r w:rsidR="00BE7A72" w:rsidRPr="00A70DC2">
        <w:rPr>
          <w:noProof/>
        </w:rPr>
        <w:t xml:space="preserve">Taylor </w:t>
      </w:r>
      <w:r w:rsidR="00BE7A72" w:rsidRPr="001C1F9A">
        <w:rPr>
          <w:i/>
          <w:noProof/>
        </w:rPr>
        <w:t>et al.</w:t>
      </w:r>
      <w:r w:rsidR="00BE7A72">
        <w:rPr>
          <w:noProof/>
        </w:rPr>
        <w:t xml:space="preserve"> (</w:t>
      </w:r>
      <w:r w:rsidR="00BE7A72" w:rsidRPr="00A70DC2">
        <w:rPr>
          <w:noProof/>
        </w:rPr>
        <w:t>2019)</w:t>
      </w:r>
      <w:r w:rsidR="00BE7A72">
        <w:fldChar w:fldCharType="end"/>
      </w:r>
      <w:r w:rsidR="00BE7A72">
        <w:t xml:space="preserve"> lumped conceptual rainfall runoff model simulations, t</w:t>
      </w:r>
      <w:r w:rsidR="00641AE1">
        <w:t xml:space="preserve">he ratios of mean annual </w:t>
      </w:r>
      <w:r w:rsidR="001834A2">
        <w:t>catchment water yield</w:t>
      </w:r>
      <w:r w:rsidR="00641AE1">
        <w:t xml:space="preserve"> to rainfall change across </w:t>
      </w:r>
      <w:r w:rsidR="00E509C3">
        <w:t xml:space="preserve">that paper’s </w:t>
      </w:r>
      <w:r w:rsidR="00641AE1">
        <w:t xml:space="preserve">six projections </w:t>
      </w:r>
      <w:r w:rsidR="00E509C3">
        <w:t xml:space="preserve">to the year </w:t>
      </w:r>
      <w:r w:rsidR="00641AE1">
        <w:t xml:space="preserve">2090 ranged between 0.4 and 18 times, due to the additional influence of the projected increase in PET under climate change. </w:t>
      </w:r>
    </w:p>
    <w:p w14:paraId="3029C666" w14:textId="21F7C714" w:rsidR="00101A67" w:rsidRDefault="00101A67" w:rsidP="00101A67">
      <w:pPr>
        <w:pStyle w:val="Para0"/>
      </w:pPr>
      <w:r>
        <w:t xml:space="preserve">Whilst there was consistency in the direction of change of </w:t>
      </w:r>
      <w:r w:rsidR="001834A2">
        <w:t>catchment water yield</w:t>
      </w:r>
      <w:r>
        <w:t xml:space="preserve"> between the different catchments and different models applied in these three studies</w:t>
      </w:r>
      <w:r w:rsidR="00B44091">
        <w:t xml:space="preserve"> (i.e. WWS2008 and the studies</w:t>
      </w:r>
      <w:r w:rsidR="00BE7A72">
        <w:t xml:space="preserve"> by Zhou </w:t>
      </w:r>
      <w:r w:rsidR="00BE7A72" w:rsidRPr="00B44091">
        <w:rPr>
          <w:i/>
          <w:iCs/>
        </w:rPr>
        <w:t>et al</w:t>
      </w:r>
      <w:r w:rsidR="00BE7A72">
        <w:t xml:space="preserve">. and Taylor </w:t>
      </w:r>
      <w:r w:rsidR="00BE7A72" w:rsidRPr="00B44091">
        <w:rPr>
          <w:i/>
          <w:iCs/>
        </w:rPr>
        <w:t>et al</w:t>
      </w:r>
      <w:r w:rsidR="00BE7A72">
        <w:t>.</w:t>
      </w:r>
      <w:r w:rsidR="00B44091">
        <w:t>)</w:t>
      </w:r>
      <w:r>
        <w:t xml:space="preserve">, there was some variation in the magnitude of change in </w:t>
      </w:r>
      <w:r w:rsidR="001834A2">
        <w:t>catchment water yield</w:t>
      </w:r>
      <w:r>
        <w:t xml:space="preserve"> relative to the change in mean annual rainfall.</w:t>
      </w:r>
    </w:p>
    <w:p w14:paraId="59F1AEFF" w14:textId="3C8B12E0" w:rsidR="0056107B" w:rsidRDefault="00265910" w:rsidP="00101A67">
      <w:pPr>
        <w:pStyle w:val="Para0"/>
      </w:pPr>
      <w:r>
        <w:t xml:space="preserve">Recent analyses of streamflows and climatic conditions have revealed shifts in the runoff response to rainfall for a large proportion of the </w:t>
      </w:r>
      <w:r w:rsidR="00E709BA">
        <w:t>catchments in South-Eastern Australia</w:t>
      </w:r>
      <w:r>
        <w:t>.</w:t>
      </w:r>
      <w:r w:rsidR="001F0FFC">
        <w:t xml:space="preserve"> </w:t>
      </w:r>
      <w:r w:rsidR="001F0FFC" w:rsidRPr="001F0FFC">
        <w:t>Catchment rainfall</w:t>
      </w:r>
      <w:r w:rsidR="00060909">
        <w:t xml:space="preserve"> </w:t>
      </w:r>
      <w:r w:rsidR="001F0FFC" w:rsidRPr="001F0FFC">
        <w:t>runoff partitioning</w:t>
      </w:r>
      <w:r w:rsidR="00BE7A72">
        <w:t xml:space="preserve"> has</w:t>
      </w:r>
      <w:r w:rsidR="001F0FFC" w:rsidRPr="001F0FFC">
        <w:t xml:space="preserve"> changed from </w:t>
      </w:r>
      <w:r w:rsidR="00BE7A72">
        <w:t xml:space="preserve">the partitioning that </w:t>
      </w:r>
      <w:r w:rsidR="001F0FFC" w:rsidRPr="001F0FFC">
        <w:t>was previously encountered during shorter droughts</w:t>
      </w:r>
      <w:r w:rsidR="00BE7A72">
        <w:t>;</w:t>
      </w:r>
      <w:r w:rsidR="001F0FFC" w:rsidRPr="001F0FFC">
        <w:t xml:space="preserve"> significantly less runoff than expected </w:t>
      </w:r>
      <w:r w:rsidR="00BE7A72">
        <w:t xml:space="preserve">is </w:t>
      </w:r>
      <w:r w:rsidR="001F0FFC" w:rsidRPr="001F0FFC">
        <w:t>occurring in many catchments</w:t>
      </w:r>
      <w:r w:rsidR="001F0FFC">
        <w:t xml:space="preserve"> </w:t>
      </w:r>
      <w:r w:rsidR="001F0FFC" w:rsidRPr="001F0FFC">
        <w:fldChar w:fldCharType="begin" w:fldLock="1"/>
      </w:r>
      <w:r w:rsidR="00544257">
        <w:instrText xml:space="preserve">ADDIN CSL_CITATION {"citationItems":[{"id":"ITEM-1","itemData":{"DOI":"10.1002/2015GL067326","ISSN":"19448007","abstract":"Demand for quantitative assessments of likely climate change impact on runoff is increasing and conceptual rainfall-runoff models are essential tools for this task. However, the capacity of these models to extrapolate under changing climatic conditions is questionable. A number of studies have found that model predictive skill decreases with changed climatic conditions, especially when predicting drier climates. We found that model skill only declines under certain circumstances, in particular, when a catchment's rainfall-runoff processes change due to changed climatic drivers. In catchments where the rainfall-runoff relationship changed significantly in response to prolonged dry conditions, runoff was consistently overestimated. In contrast, modeled runoff was unbiased in catchments where the rainfall-runoff relationship remained unchanged during the dry period. These conclusions were not model dependent. Our results suggest that current projections of runoff under climate change may provide overly optimistic assessments of future water availability in some regions expecting rainfall reductions.","author":[{"dropping-particle":"","family":"Saft","given":"Margarita","non-dropping-particle":"","parse-names":false,"suffix":""},{"dropping-particle":"","family":"Peel","given":"Murray C.","non-dropping-particle":"","parse-names":false,"suffix":""},{"dropping-particle":"","family":"Western","given":"Andrew W.","non-dropping-particle":"","parse-names":false,"suffix":""},{"dropping-particle":"","family":"Perraud","given":"Jean Michel","non-dropping-particle":"","parse-names":false,"suffix":""},{"dropping-particle":"","family":"Zhang","given":"Lu","non-dropping-particle":"","parse-names":false,"suffix":""}],"container-title":"Geophysical Research Letters","id":"ITEM-1","issue":"4","issued":{"date-parts":[["2016"]]},"page":"1574-1581","title":"Bias in streamflow projections due to climate-induced shifts in catchment response","type":"article-journal","volume":"43"},"uris":["http://www.mendeley.com/documents/?uuid=d233a3c0-fbba-49ec-a9c1-51515edadbec"]},{"id":"ITEM-2","itemData":{"DOI":"10.1002/2014WR015348","ISSN":"19447973","abstract":"Most current long-term (decadal and longer) hydrological predictions implicitly assume that hydrological processes are stationary even under changing climate. However, in practice, we suspect that changing climatic conditions may affect runoff generation processes and cause changes in the rainfall-runoff relationship. In this article, we investigate whether temporary but prolonged (i.e., of the order of a decade) shifts in rainfall result in changes in rainfall-runoff relationships at the catchment scale. Annual rainfall and runoff records from south-eastern Australia are used to examine whether interdecadal climate variability induces changes in hydrological behavior. We test statistically whether annual rainfall-runoff relationships are significantly different during extended dry periods, compared with the historical norm. The results demonstrate that protracted drought led to a significant shift in the rainfall-runoff relationship in </w:instrText>
      </w:r>
      <w:r w:rsidR="00544257">
        <w:rPr>
          <w:rFonts w:ascii="Cambria Math" w:hAnsi="Cambria Math" w:cs="Cambria Math"/>
        </w:rPr>
        <w:instrText>∼</w:instrText>
      </w:r>
      <w:r w:rsidR="00544257">
        <w:instrText xml:space="preserve">44% of the catchment-dry periods studied. The shift led to less annual runoff for a given annual rainfall, compared with the historical relationship. We explore linkages between cases where statistically significant changes occurred and potential explanatory factors, including catchment properties and characteristics of the dry period (e.g., length, precipitation anomalies). We find that long-term drought is more likely to affect transformation of rainfall to runoff in drier, flatter, and less forested catchments. Understanding changes in the rainfall-runoff relationship is important for accurate streamflow projections and to help develop adaptation strategies to deal with multiyear droughts.","author":[{"dropping-particle":"","family":"Saft","given":"Margarita","non-dropping-particle":"","parse-names":false,"suffix":""},{"dropping-particle":"","family":"Western","given":"Andrew W.","non-dropping-particle":"","parse-names":false,"suffix":""},{"dropping-particle":"","family":"Zhang","given":"Lu","non-dropping-particle":"","parse-names":false,"suffix":""},{"dropping-particle":"","family":"Peel","given":"Murray C.","non-dropping-particle":"","parse-names":false,"suffix":""},{"dropping-particle":"","family":"Potter","given":"Nick J.","non-dropping-particle":"","parse-names":false,"suffix":""}],"container-title":"Water Resources Research","id":"ITEM-2","issue":"4","issued":{"date-parts":[["2015"]]},"page":"2444-2463","title":"The influence of multiyear drought on the annual rainfall-runoff relationship: An Australian perspective","type":"article-journal","volume":"51"},"uris":["http://www.mendeley.com/documents/?uuid=6a7e74f2-ed13-4a8b-b4a1-60d329922cc9","http://www.mendeley.com/documents/?uuid=d9f346ce-0071-4a90-91de-15e15fecc92e","http://www.mendeley.com/documents/?uuid=44ceca08-2154-4d47-8598-cfe456c9c485"]},{"id":"ITEM-3","itemData":{"DOI":"10.1002/2016WR019525","ISBN":"8605118563","ISSN":"19447973","abstract":"While the majority of hydrological prediction methods assume that observed interannual variability explores the full range of catchment response dynamics, recent cases of prolonged climate drying suggest otherwise. During the </w:instrText>
      </w:r>
      <w:r w:rsidR="00544257">
        <w:rPr>
          <w:rFonts w:ascii="Cambria Math" w:hAnsi="Cambria Math" w:cs="Cambria Math"/>
        </w:rPr>
        <w:instrText>∼</w:instrText>
      </w:r>
      <w:r w:rsidR="00544257">
        <w:instrText>decade-long Millennium drought in south-eastern Australia significant shifts in hydrologic behavior were reported. Catchment rainfall-runoff partitioning changed from what was previously encountered during shorter droughts, with significantly less runoff than expected occurring in many catchments. In this article, we investigate the variability in the magnitude of shift in rainfall-runoff partitioning observed during the Millennium drought. We re-evaluate a large range of factors suggested to be responsible for the additional runoff reductions. Our results suggest that the shifts were mostly influenced by catchment characteristics related to predrought climate (aridity index and rainfall seasonality) and soil and groundwater storage dynamics (predrought interannual variability of groundwater storage and mean solum thickness). The shifts were amplified by seasonal rainfall changes during the drought (spring rainfall deficits). We discuss the physical mechanisms that are likely to be associated with these factors. Our results confirm that shifts in the annual rainfall-runoff relationship represent changes in internal catchment functioning, and emphasize the importance of cumulative multiyear changes in the catchment storage for runoff generation. Prolonged drying in some regions can be expected in the future, and our results provide an indication of which catchments characteristics are associated with catchments more susceptible to a shift in their runoff response behavior.","author":[{"dropping-particle":"","family":"Saft","given":"Margarita","non-dropping-particle":"","parse-names":false,"suffix":""},{"dropping-particle":"","family":"Peel","given":"Murray C.","non-dropping-particle":"","parse-names":false,"suffix":""},{"dropping-particle":"","family":"Western","given":"Andrew W.","non-dropping-particle":"","parse-names":false,"suffix":""},{"dropping-particle":"","family":"Zhang","given":"Lu","non-dropping-particle":"","parse-names":false,"suffix":""}],"container-title":"Water Resources Research","id":"ITEM-3","issue":"12","issued":{"date-parts":[["2016"]]},"page":"9290-9305","title":"Predicting shifts in rainfall-runoff partitioning during multiyear drought: Roles of dry period and catchment characteristics","type":"article-journal","volume":"52"},"uris":["http://www.mendeley.com/documents/?uuid=d25a78f5-47ae-4b40-bbb4-14f61c0e7eca","http://www.mendeley.com/documents/?uuid=700e0b03-e145-409f-a012-831c81c063da","http://www.mendeley.com/documents/?uuid=e5c34032-47ee-4678-a725-2ce28b923ed6"]}],"mendeley":{"formattedCitation":"(Saft &lt;i&gt;et al.&lt;/i&gt;, 2015, 2016a, 2016b)","plainTextFormattedCitation":"(Saft et al., 2015, 2016a, 2016b)","previouslyFormattedCitation":"(Saft &lt;i&gt;et al.&lt;/i&gt;, 2015, 2016a, 2016b)"},"properties":{"noteIndex":0},"schema":"https://github.com/citation-style-language/schema/raw/master/csl-citation.json"}</w:instrText>
      </w:r>
      <w:r w:rsidR="001F0FFC" w:rsidRPr="001F0FFC">
        <w:fldChar w:fldCharType="separate"/>
      </w:r>
      <w:r w:rsidR="007416C7" w:rsidRPr="007416C7">
        <w:rPr>
          <w:noProof/>
        </w:rPr>
        <w:t xml:space="preserve">(Saft </w:t>
      </w:r>
      <w:r w:rsidR="007416C7" w:rsidRPr="007416C7">
        <w:rPr>
          <w:i/>
          <w:noProof/>
        </w:rPr>
        <w:t>et al.</w:t>
      </w:r>
      <w:r w:rsidR="007416C7" w:rsidRPr="007416C7">
        <w:rPr>
          <w:noProof/>
        </w:rPr>
        <w:t>, 2015, 2016a, 2016b)</w:t>
      </w:r>
      <w:r w:rsidR="001F0FFC" w:rsidRPr="001F0FFC">
        <w:fldChar w:fldCharType="end"/>
      </w:r>
      <w:r w:rsidR="001F0FFC" w:rsidRPr="001F0FFC">
        <w:t xml:space="preserve">. </w:t>
      </w:r>
      <w:r w:rsidR="00BE7A72">
        <w:fldChar w:fldCharType="begin" w:fldLock="1"/>
      </w:r>
      <w:r w:rsidR="00BE7A72">
        <w:instrText>ADDIN CSL_CITATION {"citationItems":[{"id":"ITEM-1","itemData":{"author":[{"dropping-particle":"","family":"Tan","given":"KS","non-dropping-particle":"","parse-names":false,"suffix":""},{"dropping-particle":"","family":"Neal","given":"Brad","non-dropping-particle":"","parse-names":false,"suffix":""}],"container-title":"Hydrology and Water Resources Symposium (HWRS 2018): Water and Communities","id":"ITEM-1","issued":{"date-parts":[["2018"]]},"title":"Changes in annual rainfall-runoff responses in Melbourne's major water supply catchments","type":"paper-conference"},"uris":["http://www.mendeley.com/documents/?uuid=c7f75384-ac0f-4d6c-a551-c558c6304811","http://www.mendeley.com/documents/?uuid=f74b449b-4bd5-42b8-aa66-fae79eb112b5","http://www.mendeley.com/documents/?uuid=8a8e744e-89e8-4b16-b973-d99387860a76"]}],"mendeley":{"formattedCitation":"(Tan and Neal, 2018)","manualFormatting":"Tan and Neal (2018)","plainTextFormattedCitation":"(Tan and Neal, 2018)","previouslyFormattedCitation":"(Tan and Neal, 2018)"},"properties":{"noteIndex":0},"schema":"https://github.com/citation-style-language/schema/raw/master/csl-citation.json"}</w:instrText>
      </w:r>
      <w:r w:rsidR="00BE7A72">
        <w:fldChar w:fldCharType="separate"/>
      </w:r>
      <w:r w:rsidR="00BE7A72" w:rsidRPr="0035687E">
        <w:rPr>
          <w:noProof/>
        </w:rPr>
        <w:t xml:space="preserve">Tan and Neal </w:t>
      </w:r>
      <w:r w:rsidR="00BE7A72">
        <w:rPr>
          <w:noProof/>
        </w:rPr>
        <w:t>(</w:t>
      </w:r>
      <w:r w:rsidR="00BE7A72" w:rsidRPr="0035687E">
        <w:rPr>
          <w:noProof/>
        </w:rPr>
        <w:t>2018)</w:t>
      </w:r>
      <w:r w:rsidR="00BE7A72">
        <w:fldChar w:fldCharType="end"/>
      </w:r>
      <w:r w:rsidR="00BE7A72">
        <w:t xml:space="preserve"> have made s</w:t>
      </w:r>
      <w:r w:rsidR="001F0FFC" w:rsidRPr="001F0FFC">
        <w:t>pe</w:t>
      </w:r>
      <w:r w:rsidR="001F0FFC">
        <w:t>cific investigations of potential changes in the rainfall</w:t>
      </w:r>
      <w:r w:rsidR="00772E00">
        <w:noBreakHyphen/>
      </w:r>
      <w:r w:rsidR="001F0FFC">
        <w:t>runoff response</w:t>
      </w:r>
      <w:r w:rsidR="00BE7A72">
        <w:t>,</w:t>
      </w:r>
      <w:r w:rsidR="00060909">
        <w:t xml:space="preserve"> </w:t>
      </w:r>
      <w:r w:rsidR="00101A67">
        <w:t>us</w:t>
      </w:r>
      <w:r w:rsidR="00BE7A72">
        <w:t>ing</w:t>
      </w:r>
      <w:r w:rsidR="00101A67">
        <w:t xml:space="preserve"> rainfall</w:t>
      </w:r>
      <w:r w:rsidR="00060909">
        <w:t xml:space="preserve"> </w:t>
      </w:r>
      <w:r w:rsidR="00101A67">
        <w:t>runoff regression modelling to examine long-term changes in the relationship between streamflow and rainfall in catchments supplying Melbourne’s four major reservoirs. Averaged across all catchments, the ratio of streamflow to rainfall was 12% lower during and after the 1997</w:t>
      </w:r>
      <w:r w:rsidR="00160BD6">
        <w:rPr>
          <w:rFonts w:cs="Arial"/>
        </w:rPr>
        <w:t>–</w:t>
      </w:r>
      <w:r w:rsidR="002F18D4">
        <w:t xml:space="preserve">2009 </w:t>
      </w:r>
      <w:r w:rsidR="00101A67">
        <w:t xml:space="preserve">drought than it was before the drought. Statistically significant changes in the streamflow to rainfall ratio occurred in the Upper Yarra and Thomson catchments but not in Maroondah or O’Shannassy. The </w:t>
      </w:r>
      <w:r w:rsidR="006B7A1C">
        <w:t xml:space="preserve">Tan and Neal </w:t>
      </w:r>
      <w:r w:rsidR="00101A67">
        <w:t xml:space="preserve">study found that, </w:t>
      </w:r>
    </w:p>
    <w:p w14:paraId="70D8D5C1" w14:textId="1D7D7DB5" w:rsidR="0056107B" w:rsidRDefault="00101A67" w:rsidP="00E709BA">
      <w:pPr>
        <w:pStyle w:val="Para0"/>
        <w:spacing w:before="60"/>
        <w:ind w:left="709"/>
      </w:pPr>
      <w:r w:rsidRPr="00E709BA">
        <w:rPr>
          <w:i/>
          <w:iCs/>
        </w:rPr>
        <w:lastRenderedPageBreak/>
        <w:t>30</w:t>
      </w:r>
      <w:r w:rsidR="00160BD6" w:rsidRPr="00E709BA">
        <w:rPr>
          <w:rFonts w:cs="Arial"/>
          <w:i/>
          <w:iCs/>
        </w:rPr>
        <w:t>–</w:t>
      </w:r>
      <w:r w:rsidRPr="00E709BA">
        <w:rPr>
          <w:i/>
          <w:iCs/>
        </w:rPr>
        <w:t>85% of the changes in annual rainfall-runoff responses post-1997 were attributed to seasonal and multi-year rainfall variance, highlighting the importance of understanding changes in serial correlation of dry years, and changes in seasonal rainfall patterns during and after drought</w:t>
      </w:r>
      <w:r>
        <w:t xml:space="preserve"> </w:t>
      </w:r>
    </w:p>
    <w:p w14:paraId="55189206" w14:textId="70E49C47" w:rsidR="00101A67" w:rsidRDefault="00101A67" w:rsidP="00101A67">
      <w:pPr>
        <w:pStyle w:val="Para0"/>
      </w:pPr>
      <w:r>
        <w:t>and that “changes in rainfall-runoff behaviour post-1997 would have been greater if the 1939 bushfires had not occurred”</w:t>
      </w:r>
      <w:r w:rsidR="00160BD6">
        <w:t>.</w:t>
      </w:r>
      <w:r>
        <w:t xml:space="preserve"> </w:t>
      </w:r>
      <w:r w:rsidRPr="0035687E">
        <w:t xml:space="preserve">This evidence of a possible change in state of the runoff response to rainfall following the Millennium drought may or may not be </w:t>
      </w:r>
      <w:r>
        <w:t xml:space="preserve">reflected by </w:t>
      </w:r>
      <w:r w:rsidR="001F0FFC">
        <w:t xml:space="preserve">lumped conceptual rainfall runoff models, such as those applied by </w:t>
      </w:r>
      <w:r w:rsidR="001F0FFC">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1F0FFC">
        <w:fldChar w:fldCharType="separate"/>
      </w:r>
      <w:r w:rsidR="001F0FFC" w:rsidRPr="00641AE1">
        <w:rPr>
          <w:noProof/>
        </w:rPr>
        <w:t xml:space="preserve">Taylor </w:t>
      </w:r>
      <w:r w:rsidR="001C1F9A" w:rsidRPr="001C1F9A">
        <w:rPr>
          <w:i/>
          <w:iCs/>
          <w:noProof/>
        </w:rPr>
        <w:t>et al.</w:t>
      </w:r>
      <w:r w:rsidR="001F0FFC" w:rsidRPr="00DF521A">
        <w:rPr>
          <w:iCs/>
          <w:noProof/>
        </w:rPr>
        <w:t xml:space="preserve"> </w:t>
      </w:r>
      <w:r w:rsidR="001F0FFC">
        <w:rPr>
          <w:noProof/>
        </w:rPr>
        <w:t>(</w:t>
      </w:r>
      <w:r w:rsidR="001F0FFC" w:rsidRPr="00641AE1">
        <w:rPr>
          <w:noProof/>
        </w:rPr>
        <w:t>2019)</w:t>
      </w:r>
      <w:r w:rsidR="001F0FFC">
        <w:fldChar w:fldCharType="end"/>
      </w:r>
      <w:r w:rsidR="001F0FFC">
        <w:t xml:space="preserve"> and </w:t>
      </w:r>
      <w:r w:rsidR="001F0FFC">
        <w:fldChar w:fldCharType="begin" w:fldLock="1"/>
      </w:r>
      <w:r w:rsidR="007416C7">
        <w:instrText>ADDIN CSL_CITATION {"citationItems":[{"id":"ITEM-1","itemData":{"DOI":"10.1080/02626667.2014.961923","ISSN":"21503435","abstract":"This paper quantifies the impacts of bushfire and climate variability on streamflow from three southeast Australian catchments where bushfires occurred in February 1983. Three hydrological models (AWRA-L, Xinanjiang and GR4J) were first calibrated against streamflow data from the pre-bushfire period and then used to simulate runoff for the post-bushfire period with the calibrated parameters. The difference in simulated streamflow between pre- and post-bushfire periods provides an estimate of the impact of climate variability on streamflow. The impact of bushfire on streamflow is quantified by removing the climate variability impact from the difference in mean annual observed streamflow between post- and pre-bushfire periods. For the first 15 years after the 1983 bushfires, the results from hydrological models for the three catchments indicate that there is a substantial increase in streamflow; this is attributed to initial decreases in evapotranspiration and soil infiltration rates resulting from the fires, followed by logging activity. After 15 years, streamflow dynamics are more heavily influenced by climate effects, although some impact from fire and logging regeneration may still occur. The results show that hydrological models provide reasonably consistent estimates of bushfire and climate impacts on streamflow for the three catchments. The models can be used to quantify relative contributions of forest disturbance (bushfire, logging and other forest management) and climate variability. The results presented can also help forest managers understand the relationship between bushfire and climate variability impacts on water yield in the context of climate variability.","author":[{"dropping-particle":"","family":"Zhou","given":"Yanchun","non-dropping-particle":"","parse-names":false,"suffix":""},{"dropping-particle":"","family":"Zhang","given":"Yongqiang","non-dropping-particle":"","parse-names":false,"suffix":""},{"dropping-particle":"","family":"Vaze","given":"Jai","non-dropping-particle":"","parse-names":false,"suffix":""},{"dropping-particle":"","family":"Lane","given":"Patrick","non-dropping-particle":"","parse-names":false,"suffix":""},{"dropping-particle":"","family":"Xu","given":"Shiguo","non-dropping-particle":"","parse-names":false,"suffix":""}],"container-title":"Hydrological Sciences Journal","id":"ITEM-1","issue":"7-8","issued":{"date-parts":[["2015"]]},"page":"1340-1360","publisher":"Taylor &amp; Francis","title":"Impact of bushfire and climate variability on streamflow from forested catchments in southeast Australia","type":"article-journal","volume":"60"},"uris":["http://www.mendeley.com/documents/?uuid=407e84ee-673b-48d1-84fd-e64f41530508"]}],"mendeley":{"formattedCitation":"(Zhou &lt;i&gt;et al.&lt;/i&gt;, 2015)","manualFormatting":"Zhou et al. (2015)","plainTextFormattedCitation":"(Zhou et al., 2015)","previouslyFormattedCitation":"(Zhou &lt;i&gt;et al.&lt;/i&gt;, 2015)"},"properties":{"noteIndex":0},"schema":"https://github.com/citation-style-language/schema/raw/master/csl-citation.json"}</w:instrText>
      </w:r>
      <w:r w:rsidR="001F0FFC">
        <w:fldChar w:fldCharType="separate"/>
      </w:r>
      <w:r w:rsidR="001F0FFC" w:rsidRPr="003349D2">
        <w:rPr>
          <w:noProof/>
        </w:rPr>
        <w:t xml:space="preserve">Zhou </w:t>
      </w:r>
      <w:r w:rsidR="001C1F9A" w:rsidRPr="001C1F9A">
        <w:rPr>
          <w:i/>
          <w:iCs/>
          <w:noProof/>
        </w:rPr>
        <w:t>et al.</w:t>
      </w:r>
      <w:r w:rsidR="001F0FFC" w:rsidRPr="003349D2">
        <w:rPr>
          <w:noProof/>
        </w:rPr>
        <w:t xml:space="preserve"> </w:t>
      </w:r>
      <w:r w:rsidR="001F0FFC">
        <w:rPr>
          <w:noProof/>
        </w:rPr>
        <w:t>(</w:t>
      </w:r>
      <w:r w:rsidR="001F0FFC" w:rsidRPr="003349D2">
        <w:rPr>
          <w:noProof/>
        </w:rPr>
        <w:t>2015)</w:t>
      </w:r>
      <w:r w:rsidR="001F0FFC">
        <w:fldChar w:fldCharType="end"/>
      </w:r>
      <w:r w:rsidR="001F0FFC">
        <w:t xml:space="preserve">, and </w:t>
      </w:r>
      <w:r>
        <w:t>the Macaque model</w:t>
      </w:r>
      <w:r w:rsidR="001F0FFC">
        <w:t xml:space="preserve"> applied in WWS2008</w:t>
      </w:r>
      <w:r>
        <w:t>.</w:t>
      </w:r>
    </w:p>
    <w:p w14:paraId="0022EB56" w14:textId="1AB3BDA7" w:rsidR="00D975E4" w:rsidRDefault="001F0FFC" w:rsidP="001F0FFC">
      <w:pPr>
        <w:pStyle w:val="Para0"/>
      </w:pPr>
      <w:r>
        <w:t xml:space="preserve">The climate change simulations undertaken with the Macaque model in WWS2008 assumed that there was no change in forest species across the catchment, as a result of climate change. Similarly, conceptual rainfall runoff models, such as those applied by </w:t>
      </w:r>
      <w:r w:rsidRPr="00DF521A">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Pr="00DF521A">
        <w:fldChar w:fldCharType="separate"/>
      </w:r>
      <w:r w:rsidRPr="00DF521A">
        <w:rPr>
          <w:noProof/>
        </w:rPr>
        <w:t xml:space="preserve">Taylor </w:t>
      </w:r>
      <w:r w:rsidR="001C1F9A" w:rsidRPr="001C1F9A">
        <w:rPr>
          <w:i/>
          <w:noProof/>
        </w:rPr>
        <w:t>et al.</w:t>
      </w:r>
      <w:r w:rsidRPr="00DF521A">
        <w:rPr>
          <w:noProof/>
        </w:rPr>
        <w:t xml:space="preserve"> </w:t>
      </w:r>
      <w:r w:rsidRPr="00D975E4">
        <w:rPr>
          <w:noProof/>
        </w:rPr>
        <w:t>(2019)</w:t>
      </w:r>
      <w:r w:rsidRPr="00DF521A">
        <w:fldChar w:fldCharType="end"/>
      </w:r>
      <w:r w:rsidR="007617CB">
        <w:t xml:space="preserve">, </w:t>
      </w:r>
      <w:r w:rsidRPr="005E3238">
        <w:fldChar w:fldCharType="begin" w:fldLock="1"/>
      </w:r>
      <w:r w:rsidR="007416C7">
        <w:instrText>ADDIN CSL_CITATION {"citationItems":[{"id":"ITEM-1","itemData":{"DOI":"10.1080/02626667.2014.961923","ISSN":"21503435","abstract":"This paper quantifies the impacts of bushfire and climate variability on streamflow from three southeast Australian catchments where bushfires occurred in February 1983. Three hydrological models (AWRA-L, Xinanjiang and GR4J) were first calibrated against streamflow data from the pre-bushfire period and then used to simulate runoff for the post-bushfire period with the calibrated parameters. The difference in simulated streamflow between pre- and post-bushfire periods provides an estimate of the impact of climate variability on streamflow. The impact of bushfire on streamflow is quantified by removing the climate variability impact from the difference in mean annual observed streamflow between post- and pre-bushfire periods. For the first 15 years after the 1983 bushfires, the results from hydrological models for the three catchments indicate that there is a substantial increase in streamflow; this is attributed to initial decreases in evapotranspiration and soil infiltration rates resulting from the fires, followed by logging activity. After 15 years, streamflow dynamics are more heavily influenced by climate effects, although some impact from fire and logging regeneration may still occur. The results show that hydrological models provide reasonably consistent estimates of bushfire and climate impacts on streamflow for the three catchments. The models can be used to quantify relative contributions of forest disturbance (bushfire, logging and other forest management) and climate variability. The results presented can also help forest managers understand the relationship between bushfire and climate variability impacts on water yield in the context of climate variability.","author":[{"dropping-particle":"","family":"Zhou","given":"Yanchun","non-dropping-particle":"","parse-names":false,"suffix":""},{"dropping-particle":"","family":"Zhang","given":"Yongqiang","non-dropping-particle":"","parse-names":false,"suffix":""},{"dropping-particle":"","family":"Vaze","given":"Jai","non-dropping-particle":"","parse-names":false,"suffix":""},{"dropping-particle":"","family":"Lane","given":"Patrick","non-dropping-particle":"","parse-names":false,"suffix":""},{"dropping-particle":"","family":"Xu","given":"Shiguo","non-dropping-particle":"","parse-names":false,"suffix":""}],"container-title":"Hydrological Sciences Journal","id":"ITEM-1","issue":"7-8","issued":{"date-parts":[["2015"]]},"page":"1340-1360","publisher":"Taylor &amp; Francis","title":"Impact of bushfire and climate variability on streamflow from forested catchments in southeast Australia","type":"article-journal","volume":"60"},"uris":["http://www.mendeley.com/documents/?uuid=407e84ee-673b-48d1-84fd-e64f41530508"]}],"mendeley":{"formattedCitation":"(Zhou &lt;i&gt;et al.&lt;/i&gt;, 2015)","manualFormatting":"Zhou et al. (2015)","plainTextFormattedCitation":"(Zhou et al., 2015)","previouslyFormattedCitation":"(Zhou &lt;i&gt;et al.&lt;/i&gt;, 2015)"},"properties":{"noteIndex":0},"schema":"https://github.com/citation-style-language/schema/raw/master/csl-citation.json"}</w:instrText>
      </w:r>
      <w:r w:rsidRPr="005E3238">
        <w:fldChar w:fldCharType="separate"/>
      </w:r>
      <w:r w:rsidRPr="00DF521A">
        <w:rPr>
          <w:noProof/>
        </w:rPr>
        <w:t xml:space="preserve">Zhou </w:t>
      </w:r>
      <w:r w:rsidR="001C1F9A" w:rsidRPr="001C1F9A">
        <w:rPr>
          <w:i/>
          <w:noProof/>
        </w:rPr>
        <w:t>et al.</w:t>
      </w:r>
      <w:r w:rsidRPr="00D975E4">
        <w:rPr>
          <w:noProof/>
        </w:rPr>
        <w:t xml:space="preserve"> (2015)</w:t>
      </w:r>
      <w:r w:rsidRPr="005E3238">
        <w:fldChar w:fldCharType="end"/>
      </w:r>
      <w:r w:rsidR="007617CB">
        <w:t xml:space="preserve"> and </w:t>
      </w:r>
      <w:r w:rsidR="007617CB">
        <w:fldChar w:fldCharType="begin" w:fldLock="1"/>
      </w:r>
      <w:r w:rsidR="00540694">
        <w:instrText>ADDIN CSL_CITATION {"citationItems":[{"id":"ITEM-1","itemData":{"DOI":"10.1088/1748-9326/ab26ef","abstract":"15 Human-induced climate change poses a major threat to reliable water supply in many highly 16 populated regions. Here we combine hydrological and climate model simulations to evaluate 17 risks to water supply under projected shifts in the climate at the Paris Agreement warming 18 levels. Modelling the primary surface water sources for Melbourne, Australia, we project that 19 the risk of severe water supply shortage to the climate-dependent portion of the system 20 increases substantially as global warming increases from 1.5°C to 2.0°C. Risks are further 21 exacerbated by increases in water demand but substantially ameliorated by supply 22 augmentation from desalination. We demonstrate that reductions in precipitation, rising 23 temperature and growth in water demand combine to substantially amplify the risk of severe 24 water supply shortage under near-term global warming in the absence of a climate-25 independent supply. This risk amplification is not as apparent in assessments based on 26 meteorological drought alone. With the diminishing opportunity of meeting the 1.5°C Paris 27 target, our study highlights the need to accelerate greenhouse gas mitigation efforts to reduce 28 risks to climate dependent water supply systems. 29","author":[{"dropping-particle":"","family":"Henley","given":"Benjamin James","non-dropping-particle":"","parse-names":false,"suffix":""},{"dropping-particle":"","family":"Peel","given":"Murray C","non-dropping-particle":"","parse-names":false,"suffix":""},{"dropping-particle":"","family":"Nathan","given":"Rory","non-dropping-particle":"","parse-names":false,"suffix":""},{"dropping-particle":"","family":"King","given":"Andrew David","non-dropping-particle":"","parse-names":false,"suffix":""},{"dropping-particle":"","family":"Ukkola","given":"Anna M","non-dropping-particle":"","parse-names":false,"suffix":""},{"dropping-particle":"","family":"Karoly","given":"David J","non-dropping-particle":"","parse-names":false,"suffix":""},{"dropping-particle":"","family":"Tan","given":"Kim Seong","non-dropping-particle":"","parse-names":false,"suffix":""}],"container-title":"Environmental Research Letters","id":"ITEM-1","issue":"8","issued":{"date-parts":[["2019"]]},"page":"1-9","publisher":"IOP Publishing","title":"Amplification of risks to water supply at 1.5 °C and 2 °C in drying climates: a case study for Melbourne, Australia","type":"article-journal","volume":"14"},"uris":["http://www.mendeley.com/documents/?uuid=1cff41d4-1e90-4d59-a5ac-403b2012c69c"]}],"mendeley":{"formattedCitation":"(Henley &lt;i&gt;et al.&lt;/i&gt;, 2019)","manualFormatting":"Henley et al. (2019)","plainTextFormattedCitation":"(Henley et al., 2019)","previouslyFormattedCitation":"(Henley &lt;i&gt;et al.&lt;/i&gt;, 2019)"},"properties":{"noteIndex":0},"schema":"https://github.com/citation-style-language/schema/raw/master/csl-citation.json"}</w:instrText>
      </w:r>
      <w:r w:rsidR="007617CB">
        <w:fldChar w:fldCharType="separate"/>
      </w:r>
      <w:r w:rsidR="007617CB" w:rsidRPr="007617CB">
        <w:rPr>
          <w:noProof/>
        </w:rPr>
        <w:t xml:space="preserve">Henley </w:t>
      </w:r>
      <w:r w:rsidR="001C1F9A" w:rsidRPr="001C1F9A">
        <w:rPr>
          <w:i/>
          <w:noProof/>
        </w:rPr>
        <w:t>et al.</w:t>
      </w:r>
      <w:r w:rsidR="007617CB" w:rsidRPr="007617CB">
        <w:rPr>
          <w:noProof/>
        </w:rPr>
        <w:t xml:space="preserve"> </w:t>
      </w:r>
      <w:r w:rsidR="007617CB">
        <w:rPr>
          <w:noProof/>
        </w:rPr>
        <w:t>(</w:t>
      </w:r>
      <w:r w:rsidR="007617CB" w:rsidRPr="007617CB">
        <w:rPr>
          <w:noProof/>
        </w:rPr>
        <w:t>2019)</w:t>
      </w:r>
      <w:r w:rsidR="007617CB">
        <w:fldChar w:fldCharType="end"/>
      </w:r>
      <w:r>
        <w:t>, assume that the AET response in the model is unchanged from how it was represented over the historical perio</w:t>
      </w:r>
      <w:r w:rsidR="0030387D">
        <w:t>d of streamflow used for calibration, which implicitly assumes no change in forest type</w:t>
      </w:r>
      <w:r w:rsidR="007617CB">
        <w:t xml:space="preserve"> or runoff response</w:t>
      </w:r>
      <w:r w:rsidR="0030387D">
        <w:t xml:space="preserve"> in the climate change simulations.</w:t>
      </w:r>
      <w:r>
        <w:t xml:space="preserve"> </w:t>
      </w:r>
    </w:p>
    <w:p w14:paraId="29A84E22" w14:textId="0BF8816E" w:rsidR="00D975E4" w:rsidRDefault="001F0FFC" w:rsidP="001F0FFC">
      <w:pPr>
        <w:pStyle w:val="Para0"/>
      </w:pPr>
      <w:r>
        <w:t xml:space="preserve">However, climate change is projected to change the potential for eucalypts to regenerate across the Central Highlands of Victoria </w:t>
      </w:r>
      <w:r>
        <w:fldChar w:fldCharType="begin" w:fldLock="1"/>
      </w:r>
      <w:r w:rsidR="007416C7">
        <w:instrText>ADDIN CSL_CITATION {"citationItems":[{"id":"ITEM-1","itemData":{"DOI":"10.1111/j.1365-2486.2011.02591.x","ISSN":"13541013","abstract":"The sensitivity of early plant regeneration to environmental change makes regeneration a critical stage for understanding species response to climate change. We investigated the spatial and temporal response of eucalypt trees in the Central Highland region of south eastern Australia to high and low climate change scenarios. We developed a novel mechanistic model incorporating germination processes, TACA-GEM, to evaluate establishment probabilities of five key eucalypt species, Eucalyptus pauciflora, Eucalyptus delegatensis, Eucalyptus regnans, Eucalyptus nitens and Eucalyptus obliqua. Changes to regeneration potential at landscape and site levels were calculated to determine climate thresholds. Model results demonstrated that climate change is likely to impact plant regeneration. We observed increases and decreases in regeneration potential depending on the ecosystem, indicating that some species will increase in abundance in some forest types, whilst other forest types will become inhabitable. In general, the dry forest ecosystems were most impacted, whilst the wet forests were least impacted. We also observed that species with seed dormancy mechanisms, like E. pauciflora and E. delegatensis, are likely to be at higher risk than those without. Landscape- and site-level analysis revealed heterogeneity in species response at different scales. On a landscape scale, a 4.3 °C mean temperature increase and 22% decline in precipitation (predicted for 2080) is predicted to be a threshold for large spatial shifts in species regeneration niches across the study region, while a 2.6 °C increase and 15% decline in precipitation (predicted for 2050) will likely result in local site-level shifts. Site-level analysis showed that considerable declines in regeneration potential for E. delegatensis, E. pauciflora and E. nitens were modelled to occur in some ecosystems by 2050. While overall model performance and accuracy was good, better understanding of effects from extreme events and other underlying processes on regeneration will improve modelling and development of species conservation strategies. © 2011 Blackwell Publishing Ltd.","author":[{"dropping-particle":"","family":"Mok","given":"Hoi Fei","non-dropping-particle":"","parse-names":false,"suffix":""},{"dropping-particle":"","family":"Arndt","given":"Stefan K.","non-dropping-particle":"","parse-names":false,"suffix":""},{"dropping-particle":"","family":"Nitschke","given":"Craig R.","non-dropping-particle":"","parse-names":false,"suffix":""}],"container-title":"Global Change Biology","id":"ITEM-1","issue":"3","issued":{"date-parts":[["2012"]]},"page":"1053-1072","title":"Modelling the potential impact of climate variability and change on species regeneration potential in the temperate forests of South-Eastern Australia","type":"article-journal","volume":"18"},"uris":["http://www.mendeley.com/documents/?uuid=12ca5ead-8add-49c3-83c0-15e9438e1a4a"]}],"mendeley":{"formattedCitation":"(Mok &lt;i&gt;et al.&lt;/i&gt;, 2012)","plainTextFormattedCitation":"(Mok et al., 2012)","previouslyFormattedCitation":"(Mok &lt;i&gt;et al.&lt;/i&gt;, 2012)"},"properties":{"noteIndex":0},"schema":"https://github.com/citation-style-language/schema/raw/master/csl-citation.json"}</w:instrText>
      </w:r>
      <w:r>
        <w:fldChar w:fldCharType="separate"/>
      </w:r>
      <w:r w:rsidR="007416C7" w:rsidRPr="007416C7">
        <w:rPr>
          <w:noProof/>
        </w:rPr>
        <w:t xml:space="preserve">(Mok </w:t>
      </w:r>
      <w:r w:rsidR="007416C7" w:rsidRPr="007416C7">
        <w:rPr>
          <w:i/>
          <w:noProof/>
        </w:rPr>
        <w:t>et al.</w:t>
      </w:r>
      <w:r w:rsidR="007416C7" w:rsidRPr="007416C7">
        <w:rPr>
          <w:noProof/>
        </w:rPr>
        <w:t>, 2012)</w:t>
      </w:r>
      <w:r>
        <w:fldChar w:fldCharType="end"/>
      </w:r>
      <w:r>
        <w:t xml:space="preserve">. </w:t>
      </w:r>
      <w:r w:rsidR="00D975E4">
        <w:t xml:space="preserve">Modelling by Mok </w:t>
      </w:r>
      <w:r w:rsidR="001C1F9A" w:rsidRPr="001C1F9A">
        <w:rPr>
          <w:i/>
        </w:rPr>
        <w:t>et al.</w:t>
      </w:r>
      <w:r>
        <w:t xml:space="preserve"> found that increases in temperature and decreases in winter and spring precipitation</w:t>
      </w:r>
      <w:r w:rsidR="006B7A1C">
        <w:t>, as</w:t>
      </w:r>
      <w:r>
        <w:t xml:space="preserve"> </w:t>
      </w:r>
      <w:r w:rsidR="006B7A1C">
        <w:t xml:space="preserve">are projected to occur </w:t>
      </w:r>
      <w:r>
        <w:t>by 2050 with climate change, decrease</w:t>
      </w:r>
      <w:r w:rsidR="00D975E4">
        <w:t>d</w:t>
      </w:r>
      <w:r>
        <w:t xml:space="preserve"> the ability of </w:t>
      </w:r>
      <w:r w:rsidRPr="002A792F">
        <w:rPr>
          <w:i/>
          <w:iCs/>
        </w:rPr>
        <w:t>E. pauciflora</w:t>
      </w:r>
      <w:r>
        <w:t xml:space="preserve"> (snow gum) and </w:t>
      </w:r>
      <w:r w:rsidRPr="002A792F">
        <w:rPr>
          <w:i/>
        </w:rPr>
        <w:t>E.</w:t>
      </w:r>
      <w:r w:rsidR="00EC623D">
        <w:rPr>
          <w:i/>
        </w:rPr>
        <w:t> </w:t>
      </w:r>
      <w:r w:rsidRPr="002A792F">
        <w:rPr>
          <w:i/>
        </w:rPr>
        <w:t>del</w:t>
      </w:r>
      <w:r w:rsidR="004D68F1" w:rsidRPr="002A792F">
        <w:rPr>
          <w:i/>
        </w:rPr>
        <w:t>e</w:t>
      </w:r>
      <w:r w:rsidRPr="002A792F">
        <w:rPr>
          <w:i/>
        </w:rPr>
        <w:t>gatensis</w:t>
      </w:r>
      <w:r>
        <w:t xml:space="preserve"> (alpine ash) to regenerate. However, for the 2050 climate change projection with 2.6°C increase in temperature and 15% decline in mean annual precipitation, they found that regeneration potential for </w:t>
      </w:r>
      <w:r w:rsidRPr="002A792F">
        <w:rPr>
          <w:i/>
        </w:rPr>
        <w:t>E. obliqua</w:t>
      </w:r>
      <w:r>
        <w:t xml:space="preserve"> </w:t>
      </w:r>
      <w:r w:rsidR="006B7A1C">
        <w:t>(messmate stringybark</w:t>
      </w:r>
      <w:r w:rsidR="00EC623D">
        <w:t>, or messmate</w:t>
      </w:r>
      <w:r w:rsidR="006B7A1C">
        <w:t xml:space="preserve">) </w:t>
      </w:r>
      <w:r w:rsidRPr="00734713">
        <w:t xml:space="preserve">and </w:t>
      </w:r>
      <w:r w:rsidRPr="002A792F">
        <w:rPr>
          <w:i/>
        </w:rPr>
        <w:t>E. regnans</w:t>
      </w:r>
      <w:r>
        <w:t xml:space="preserve"> </w:t>
      </w:r>
      <w:r w:rsidR="006B7A1C">
        <w:t xml:space="preserve">(mountain ash) </w:t>
      </w:r>
      <w:r>
        <w:t xml:space="preserve">were enhanced, on the whole, across most landscapes due to projected reductions in snow and frost. The highest climate change scenario that </w:t>
      </w:r>
      <w:r>
        <w:fldChar w:fldCharType="begin" w:fldLock="1"/>
      </w:r>
      <w:r w:rsidR="007416C7">
        <w:instrText>ADDIN CSL_CITATION {"citationItems":[{"id":"ITEM-1","itemData":{"DOI":"10.1111/j.1365-2486.2011.02591.x","ISSN":"13541013","abstract":"The sensitivity of early plant regeneration to environmental change makes regeneration a critical stage for understanding species response to climate change. We investigated the spatial and temporal response of eucalypt trees in the Central Highland region of south eastern Australia to high and low climate change scenarios. We developed a novel mechanistic model incorporating germination processes, TACA-GEM, to evaluate establishment probabilities of five key eucalypt species, Eucalyptus pauciflora, Eucalyptus delegatensis, Eucalyptus regnans, Eucalyptus nitens and Eucalyptus obliqua. Changes to regeneration potential at landscape and site levels were calculated to determine climate thresholds. Model results demonstrated that climate change is likely to impact plant regeneration. We observed increases and decreases in regeneration potential depending on the ecosystem, indicating that some species will increase in abundance in some forest types, whilst other forest types will become inhabitable. In general, the dry forest ecosystems were most impacted, whilst the wet forests were least impacted. We also observed that species with seed dormancy mechanisms, like E. pauciflora and E. delegatensis, are likely to be at higher risk than those without. Landscape- and site-level analysis revealed heterogeneity in species response at different scales. On a landscape scale, a 4.3 °C mean temperature increase and 22% decline in precipitation (predicted for 2080) is predicted to be a threshold for large spatial shifts in species regeneration niches across the study region, while a 2.6 °C increase and 15% decline in precipitation (predicted for 2050) will likely result in local site-level shifts. Site-level analysis showed that considerable declines in regeneration potential for E. delegatensis, E. pauciflora and E. nitens were modelled to occur in some ecosystems by 2050. While overall model performance and accuracy was good, better understanding of effects from extreme events and other underlying processes on regeneration will improve modelling and development of species conservation strategies. © 2011 Blackwell Publishing Ltd.","author":[{"dropping-particle":"","family":"Mok","given":"Hoi Fei","non-dropping-particle":"","parse-names":false,"suffix":""},{"dropping-particle":"","family":"Arndt","given":"Stefan K.","non-dropping-particle":"","parse-names":false,"suffix":""},{"dropping-particle":"","family":"Nitschke","given":"Craig R.","non-dropping-particle":"","parse-names":false,"suffix":""}],"container-title":"Global Change Biology","id":"ITEM-1","issue":"3","issued":{"date-parts":[["2012"]]},"page":"1053-1072","title":"Modelling the potential impact of climate variability and change on species regeneration potential in the temperate forests of South-Eastern Australia","type":"article-journal","volume":"18"},"uris":["http://www.mendeley.com/documents/?uuid=12ca5ead-8add-49c3-83c0-15e9438e1a4a"]}],"mendeley":{"formattedCitation":"(Mok &lt;i&gt;et al.&lt;/i&gt;, 2012)","manualFormatting":"Mok et al. (2012)","plainTextFormattedCitation":"(Mok et al., 2012)","previouslyFormattedCitation":"(Mok &lt;i&gt;et al.&lt;/i&gt;, 2012)"},"properties":{"noteIndex":0},"schema":"https://github.com/citation-style-language/schema/raw/master/csl-citation.json"}</w:instrText>
      </w:r>
      <w:r>
        <w:fldChar w:fldCharType="separate"/>
      </w:r>
      <w:r w:rsidRPr="009108AD">
        <w:rPr>
          <w:noProof/>
        </w:rPr>
        <w:t xml:space="preserve">Mok </w:t>
      </w:r>
      <w:r w:rsidR="001C1F9A" w:rsidRPr="001C1F9A">
        <w:rPr>
          <w:i/>
          <w:noProof/>
        </w:rPr>
        <w:t>et al.</w:t>
      </w:r>
      <w:r w:rsidRPr="009108AD">
        <w:rPr>
          <w:noProof/>
        </w:rPr>
        <w:t xml:space="preserve"> </w:t>
      </w:r>
      <w:r>
        <w:rPr>
          <w:noProof/>
        </w:rPr>
        <w:t>(</w:t>
      </w:r>
      <w:r w:rsidRPr="009108AD">
        <w:rPr>
          <w:noProof/>
        </w:rPr>
        <w:t>2012)</w:t>
      </w:r>
      <w:r>
        <w:fldChar w:fldCharType="end"/>
      </w:r>
      <w:r>
        <w:t xml:space="preserve"> modelled, the 2080 high climate change projection with 4.3°C increase in mean temperature and 22% decline in mean annual precipitation across the region, was identified as being beyond a </w:t>
      </w:r>
      <w:r w:rsidR="006B7A1C">
        <w:t>“</w:t>
      </w:r>
      <w:r>
        <w:t xml:space="preserve">tipping </w:t>
      </w:r>
      <w:r w:rsidR="006B7A1C">
        <w:t xml:space="preserve">point” </w:t>
      </w:r>
      <w:r>
        <w:t xml:space="preserve">where regeneration potential for all five eucalypt species would be negatively impacted across most landscapes. </w:t>
      </w:r>
    </w:p>
    <w:p w14:paraId="606E27CE" w14:textId="4684EBD8" w:rsidR="001F0FFC" w:rsidRDefault="001F0FFC" w:rsidP="001F0FFC">
      <w:pPr>
        <w:pStyle w:val="Para0"/>
      </w:pPr>
      <w:r>
        <w:fldChar w:fldCharType="begin" w:fldLock="1"/>
      </w:r>
      <w:r w:rsidR="007416C7">
        <w:instrText>ADDIN CSL_CITATION {"citationItems":[{"id":"ITEM-1","itemData":{"DOI":"10.1111/j.1365-2486.2011.02591.x","ISSN":"13541013","abstract":"The sensitivity of early plant regeneration to environmental change makes regeneration a critical stage for understanding species response to climate change. We investigated the spatial and temporal response of eucalypt trees in the Central Highland region of south eastern Australia to high and low climate change scenarios. We developed a novel mechanistic model incorporating germination processes, TACA-GEM, to evaluate establishment probabilities of five key eucalypt species, Eucalyptus pauciflora, Eucalyptus delegatensis, Eucalyptus regnans, Eucalyptus nitens and Eucalyptus obliqua. Changes to regeneration potential at landscape and site levels were calculated to determine climate thresholds. Model results demonstrated that climate change is likely to impact plant regeneration. We observed increases and decreases in regeneration potential depending on the ecosystem, indicating that some species will increase in abundance in some forest types, whilst other forest types will become inhabitable. In general, the dry forest ecosystems were most impacted, whilst the wet forests were least impacted. We also observed that species with seed dormancy mechanisms, like E. pauciflora and E. delegatensis, are likely to be at higher risk than those without. Landscape- and site-level analysis revealed heterogeneity in species response at different scales. On a landscape scale, a 4.3 °C mean temperature increase and 22% decline in precipitation (predicted for 2080) is predicted to be a threshold for large spatial shifts in species regeneration niches across the study region, while a 2.6 °C increase and 15% decline in precipitation (predicted for 2050) will likely result in local site-level shifts. Site-level analysis showed that considerable declines in regeneration potential for E. delegatensis, E. pauciflora and E. nitens were modelled to occur in some ecosystems by 2050. While overall model performance and accuracy was good, better understanding of effects from extreme events and other underlying processes on regeneration will improve modelling and development of species conservation strategies. © 2011 Blackwell Publishing Ltd.","author":[{"dropping-particle":"","family":"Mok","given":"Hoi Fei","non-dropping-particle":"","parse-names":false,"suffix":""},{"dropping-particle":"","family":"Arndt","given":"Stefan K.","non-dropping-particle":"","parse-names":false,"suffix":""},{"dropping-particle":"","family":"Nitschke","given":"Craig R.","non-dropping-particle":"","parse-names":false,"suffix":""}],"container-title":"Global Change Biology","id":"ITEM-1","issue":"3","issued":{"date-parts":[["2012"]]},"page":"1053-1072","title":"Modelling the potential impact of climate variability and change on species regeneration potential in the temperate forests of South-Eastern Australia","type":"article-journal","volume":"18"},"uris":["http://www.mendeley.com/documents/?uuid=12ca5ead-8add-49c3-83c0-15e9438e1a4a"]}],"mendeley":{"formattedCitation":"(Mok &lt;i&gt;et al.&lt;/i&gt;, 2012)","manualFormatting":"Mok et al. (2012)","plainTextFormattedCitation":"(Mok et al., 2012)","previouslyFormattedCitation":"(Mok &lt;i&gt;et al.&lt;/i&gt;, 2012)"},"properties":{"noteIndex":0},"schema":"https://github.com/citation-style-language/schema/raw/master/csl-citation.json"}</w:instrText>
      </w:r>
      <w:r>
        <w:fldChar w:fldCharType="separate"/>
      </w:r>
      <w:r w:rsidRPr="009108AD">
        <w:rPr>
          <w:noProof/>
        </w:rPr>
        <w:t xml:space="preserve">Mok </w:t>
      </w:r>
      <w:r w:rsidR="001C1F9A" w:rsidRPr="001C1F9A">
        <w:rPr>
          <w:i/>
          <w:noProof/>
        </w:rPr>
        <w:t>et al.</w:t>
      </w:r>
      <w:r w:rsidRPr="00DF521A">
        <w:rPr>
          <w:noProof/>
        </w:rPr>
        <w:t xml:space="preserve"> (</w:t>
      </w:r>
      <w:r w:rsidRPr="009108AD">
        <w:rPr>
          <w:noProof/>
        </w:rPr>
        <w:t>2012)</w:t>
      </w:r>
      <w:r>
        <w:fldChar w:fldCharType="end"/>
      </w:r>
      <w:r>
        <w:t xml:space="preserve"> only modelled the impacts of changes in temperature and precipitation on regeneration potential, without considering whether changes in bushfire frequency, extent and severity would influence the regeneration potential of each of the eucalypt species. From a </w:t>
      </w:r>
      <w:r w:rsidR="001834A2">
        <w:t>catchment water yield</w:t>
      </w:r>
      <w:r>
        <w:t xml:space="preserve"> perspective the implications of this modelling are that over the coming few decades </w:t>
      </w:r>
      <w:r w:rsidR="00C95629">
        <w:t>there</w:t>
      </w:r>
      <w:r>
        <w:t xml:space="preserve"> could be a transition in the distribution of dominant forest species across the catchments</w:t>
      </w:r>
      <w:r w:rsidR="006B7A1C">
        <w:t>.</w:t>
      </w:r>
      <w:r>
        <w:t xml:space="preserve"> </w:t>
      </w:r>
      <w:r w:rsidR="006B7A1C">
        <w:t>R</w:t>
      </w:r>
      <w:r>
        <w:t xml:space="preserve">egeneration potential </w:t>
      </w:r>
      <w:r w:rsidR="006B7A1C">
        <w:t xml:space="preserve">could </w:t>
      </w:r>
      <w:r>
        <w:t xml:space="preserve">decrease for </w:t>
      </w:r>
      <w:r w:rsidRPr="002A792F">
        <w:rPr>
          <w:i/>
          <w:iCs/>
        </w:rPr>
        <w:t>E. pauciflora</w:t>
      </w:r>
      <w:r>
        <w:t xml:space="preserve"> (snow gum) and </w:t>
      </w:r>
      <w:r w:rsidRPr="002A792F">
        <w:rPr>
          <w:i/>
        </w:rPr>
        <w:t>E.</w:t>
      </w:r>
      <w:r w:rsidR="006B7A1C">
        <w:rPr>
          <w:i/>
        </w:rPr>
        <w:t> </w:t>
      </w:r>
      <w:r w:rsidRPr="002A792F">
        <w:rPr>
          <w:i/>
        </w:rPr>
        <w:t>del</w:t>
      </w:r>
      <w:r w:rsidR="004D68F1">
        <w:rPr>
          <w:i/>
        </w:rPr>
        <w:t>e</w:t>
      </w:r>
      <w:r w:rsidRPr="002A792F">
        <w:rPr>
          <w:i/>
        </w:rPr>
        <w:t>gatensis</w:t>
      </w:r>
      <w:r>
        <w:t xml:space="preserve"> (alpine ash)</w:t>
      </w:r>
      <w:r w:rsidR="00D975E4">
        <w:t>,</w:t>
      </w:r>
      <w:r>
        <w:t xml:space="preserve"> and they </w:t>
      </w:r>
      <w:r w:rsidR="0030387D">
        <w:t xml:space="preserve">could be </w:t>
      </w:r>
      <w:r>
        <w:t xml:space="preserve">replaced by </w:t>
      </w:r>
      <w:r w:rsidRPr="002A792F">
        <w:rPr>
          <w:i/>
          <w:iCs/>
        </w:rPr>
        <w:t>E. obliqua</w:t>
      </w:r>
      <w:r>
        <w:t xml:space="preserve"> </w:t>
      </w:r>
      <w:r w:rsidRPr="00734713">
        <w:t xml:space="preserve">and </w:t>
      </w:r>
      <w:r w:rsidRPr="002A792F">
        <w:rPr>
          <w:i/>
        </w:rPr>
        <w:t>E. regnans</w:t>
      </w:r>
      <w:r>
        <w:t xml:space="preserve"> which will be able to regenerate across a wider range of elevations under current climate.</w:t>
      </w:r>
    </w:p>
    <w:p w14:paraId="5750399C" w14:textId="7DB6D38E" w:rsidR="0030387D" w:rsidRDefault="0030387D" w:rsidP="00022403">
      <w:pPr>
        <w:pStyle w:val="Para0"/>
      </w:pPr>
      <w:r>
        <w:t>Neither the effects of potential changes in species distribution under climate change</w:t>
      </w:r>
      <w:r w:rsidR="006B7A1C">
        <w:t>,</w:t>
      </w:r>
      <w:r>
        <w:t xml:space="preserve"> nor p</w:t>
      </w:r>
      <w:r w:rsidR="007B4E5E">
        <w:t>otential shifts in the rainfall</w:t>
      </w:r>
      <w:r w:rsidR="007B4E5E">
        <w:noBreakHyphen/>
      </w:r>
      <w:r>
        <w:t>runoff response following sustained periods of low rainfall</w:t>
      </w:r>
      <w:r w:rsidR="006B7A1C">
        <w:t>,</w:t>
      </w:r>
      <w:r>
        <w:t xml:space="preserve"> have been tested in previous modelling of </w:t>
      </w:r>
      <w:r w:rsidR="001834A2">
        <w:t>catchment water yield</w:t>
      </w:r>
      <w:r>
        <w:t xml:space="preserve"> under climate change in Melbourne’s catchments. </w:t>
      </w:r>
      <w:r>
        <w:lastRenderedPageBreak/>
        <w:t xml:space="preserve">Projections of changes in </w:t>
      </w:r>
      <w:r w:rsidR="001834A2">
        <w:t>catchment water yield</w:t>
      </w:r>
      <w:r>
        <w:t xml:space="preserve"> under climate change from previous studies should be considered in light of this caveat.</w:t>
      </w:r>
    </w:p>
    <w:p w14:paraId="61643F12" w14:textId="7B8E270F" w:rsidR="009040AD" w:rsidRDefault="009040AD" w:rsidP="009040AD">
      <w:pPr>
        <w:pStyle w:val="Para0"/>
      </w:pPr>
      <w:r>
        <w:t xml:space="preserve">WWS2008 </w:t>
      </w:r>
      <w:r w:rsidRPr="00DF521A">
        <w:fldChar w:fldCharType="begin" w:fldLock="1"/>
      </w:r>
      <w:r w:rsidR="00540694">
        <w:instrText>ADDIN CSL_CITATION {"citationItems":[{"id":"ITEM-1","itemData":{"author":[{"dropping-particle":"","family":"Feikema","given":"PM","non-dropping-particle":"","parse-names":false,"suffix":""},{"dropping-particle":"","family":"Lane","given":"PNJ","non-dropping-particle":"","parse-names":false,"suffix":""},{"dropping-particle":"","family":"Sherwin","given":"CB","non-dropping-particle":"","parse-names":false,"suffix":""}],"id":"ITEM-1","issued":{"date-parts":[["2008"]]},"title":"Hydrological studies into the impact of timber harvesting on water yield in state forests supplying water to Melbourne – Part 2 of Hydrological studies (Climate change and Bushfire)","type":"report"},"uris":["http://www.mendeley.com/documents/?uuid=c6d63285-7e7e-4e77-ae35-e785fc2967c2"]}],"mendeley":{"formattedCitation":"(Feikema &lt;i&gt;et al.&lt;/i&gt;, 2008)","plainTextFormattedCitation":"(Feikema et al., 2008)","previouslyFormattedCitation":"(Feikema &lt;i&gt;et al.&lt;/i&gt;, 2008)"},"properties":{"noteIndex":0},"schema":"https://github.com/citation-style-language/schema/raw/master/csl-citation.json"}</w:instrText>
      </w:r>
      <w:r w:rsidRPr="00DF521A">
        <w:fldChar w:fldCharType="separate"/>
      </w:r>
      <w:r w:rsidR="007416C7" w:rsidRPr="007416C7">
        <w:rPr>
          <w:noProof/>
        </w:rPr>
        <w:t xml:space="preserve">(Feikema </w:t>
      </w:r>
      <w:r w:rsidR="007416C7" w:rsidRPr="007416C7">
        <w:rPr>
          <w:i/>
          <w:noProof/>
        </w:rPr>
        <w:t>et al.</w:t>
      </w:r>
      <w:r w:rsidR="007416C7" w:rsidRPr="007416C7">
        <w:rPr>
          <w:noProof/>
        </w:rPr>
        <w:t>, 2008)</w:t>
      </w:r>
      <w:r w:rsidRPr="00DF521A">
        <w:fldChar w:fldCharType="end"/>
      </w:r>
      <w:r w:rsidRPr="00DF521A">
        <w:t xml:space="preserve"> modelled the impact of climate change on </w:t>
      </w:r>
      <w:r w:rsidR="001834A2">
        <w:t>catchment water yield</w:t>
      </w:r>
      <w:r w:rsidRPr="00DF521A">
        <w:t xml:space="preserve"> from the Thomson catchment under “slight”, “moderate” and “extreme” climate projections for 2050 </w:t>
      </w:r>
      <w:r w:rsidRPr="00DF521A">
        <w:fldChar w:fldCharType="begin" w:fldLock="1"/>
      </w:r>
      <w:r w:rsidR="002F7553">
        <w:instrText>ADDIN CSL_CITATION {"citationItems":[{"id":"ITEM-1","itemData":{"abstract":"Abstract This study investigates the implications of climate change for Melbourne Water's water , sewerage and drainage systems. It includes Melbourne area climate change scenarios for 2020 and 2050, implications of potential water demand scenarios and case ...","author":[{"dropping-particle":"","family":"Howe","given":"C","non-dropping-particle":"","parse-names":false,"suffix":""},{"dropping-particle":"","family":"Jones","given":"R N","non-dropping-particle":"","parse-names":false,"suffix":""},{"dropping-particle":"","family":"Maheepala","given":"S.","non-dropping-particle":"","parse-names":false,"suffix":""},{"dropping-particle":"","family":"Rhodes","given":"B.","non-dropping-particle":"","parse-names":false,"suffix":""}],"container-title":"Water and Climate","id":"ITEM-1","issued":{"date-parts":[["2005"]]},"publisher-place":"Melbourne, Australia","title":"Melbourne Water Climate Change Study: Implications of potential climate change for Melbourne's water resources","type":"report"},"uris":["http://www.mendeley.com/documents/?uuid=fb6733d2-c379-44dd-bb47-8b86a9f2fff8"]}],"mendeley":{"formattedCitation":"(Howe &lt;i&gt;et al.&lt;/i&gt;, 2005)","plainTextFormattedCitation":"(Howe et al., 2005)","previouslyFormattedCitation":"(Howe &lt;i&gt;et al.&lt;/i&gt;, 2005)"},"properties":{"noteIndex":0},"schema":"https://github.com/citation-style-language/schema/raw/master/csl-citation.json"}</w:instrText>
      </w:r>
      <w:r w:rsidRPr="00DF521A">
        <w:fldChar w:fldCharType="separate"/>
      </w:r>
      <w:r w:rsidR="007416C7" w:rsidRPr="007416C7">
        <w:rPr>
          <w:noProof/>
        </w:rPr>
        <w:t xml:space="preserve">(Howe </w:t>
      </w:r>
      <w:r w:rsidR="007416C7" w:rsidRPr="007416C7">
        <w:rPr>
          <w:i/>
          <w:noProof/>
        </w:rPr>
        <w:t>et al.</w:t>
      </w:r>
      <w:r w:rsidR="007416C7" w:rsidRPr="007416C7">
        <w:rPr>
          <w:noProof/>
        </w:rPr>
        <w:t>, 2005)</w:t>
      </w:r>
      <w:r w:rsidRPr="00DF521A">
        <w:fldChar w:fldCharType="end"/>
      </w:r>
      <w:r w:rsidRPr="00DF521A">
        <w:t>. T</w:t>
      </w:r>
      <w:r>
        <w:t xml:space="preserve">he projected declines in mean annual rainfall for the three scenarios modelled by WWS2008 were 1.6%, 7% and 14% respectively. </w:t>
      </w:r>
      <w:r w:rsidR="008028FE">
        <w:t>Assuming</w:t>
      </w:r>
      <w:r>
        <w:t xml:space="preserve"> no disturbance of the vegetation, the projected differences in </w:t>
      </w:r>
      <w:r w:rsidR="00C95629">
        <w:t>cumulative</w:t>
      </w:r>
      <w:r>
        <w:t xml:space="preserve"> </w:t>
      </w:r>
      <w:r w:rsidR="001834A2">
        <w:t>catchment water yield</w:t>
      </w:r>
      <w:r>
        <w:t xml:space="preserve"> from the Thomson </w:t>
      </w:r>
      <w:r w:rsidR="008028FE">
        <w:t xml:space="preserve">catchment </w:t>
      </w:r>
      <w:r>
        <w:t xml:space="preserve">over the </w:t>
      </w:r>
      <w:r w:rsidR="00633212">
        <w:t>42</w:t>
      </w:r>
      <w:r>
        <w:t xml:space="preserve"> years to 2050 (i.e. 42 years after the WWS2008 modelling) were 13%, 27% and 42% for the “slight”, “moderate” and “extreme” projections, respectively (see Figure 4.6 of </w:t>
      </w:r>
      <w:r>
        <w:fldChar w:fldCharType="begin" w:fldLock="1"/>
      </w:r>
      <w:r w:rsidR="00540694">
        <w:instrText>ADDIN CSL_CITATION {"citationItems":[{"id":"ITEM-1","itemData":{"author":[{"dropping-particle":"","family":"Feikema","given":"PM","non-dropping-particle":"","parse-names":false,"suffix":""},{"dropping-particle":"","family":"Lane","given":"PNJ","non-dropping-particle":"","parse-names":false,"suffix":""},{"dropping-particle":"","family":"Sherwin","given":"CB","non-dropping-particle":"","parse-names":false,"suffix":""}],"id":"ITEM-1","issued":{"date-parts":[["2008"]]},"title":"Hydrological studies into the impact of timber harvesting on water yield in state forests supplying water to Melbourne – Part 2 of Hydrological studies (Climate change and Bushfire)","type":"report"},"uris":["http://www.mendeley.com/documents/?uuid=c6d63285-7e7e-4e77-ae35-e785fc2967c2"]}],"mendeley":{"formattedCitation":"(Feikema &lt;i&gt;et al.&lt;/i&gt;, 2008)","manualFormatting":"Feikema et al., 2008)","plainTextFormattedCitation":"(Feikema et al., 2008)","previouslyFormattedCitation":"(Feikema &lt;i&gt;et al.&lt;/i&gt;, 2008)"},"properties":{"noteIndex":0},"schema":"https://github.com/citation-style-language/schema/raw/master/csl-citation.json"}</w:instrText>
      </w:r>
      <w:r>
        <w:fldChar w:fldCharType="separate"/>
      </w:r>
      <w:r w:rsidRPr="00641AE1">
        <w:rPr>
          <w:noProof/>
        </w:rPr>
        <w:t xml:space="preserve">Feikema </w:t>
      </w:r>
      <w:r w:rsidR="001C1F9A" w:rsidRPr="001C1F9A">
        <w:rPr>
          <w:i/>
          <w:iCs/>
          <w:noProof/>
        </w:rPr>
        <w:t>et al.</w:t>
      </w:r>
      <w:r w:rsidRPr="00DF521A">
        <w:rPr>
          <w:iCs/>
          <w:noProof/>
        </w:rPr>
        <w:t>,</w:t>
      </w:r>
      <w:r w:rsidRPr="00641AE1">
        <w:rPr>
          <w:noProof/>
        </w:rPr>
        <w:t xml:space="preserve"> 2008)</w:t>
      </w:r>
      <w:r>
        <w:fldChar w:fldCharType="end"/>
      </w:r>
      <w:r>
        <w:t xml:space="preserve">. If the percentage change due to the “moderate” projection from WWS2008 </w:t>
      </w:r>
      <w:r w:rsidR="00D975E4">
        <w:t xml:space="preserve">was to be </w:t>
      </w:r>
      <w:r>
        <w:t xml:space="preserve">applied to the long-term mean annual runoff into Thomson </w:t>
      </w:r>
      <w:r w:rsidR="00A76D01">
        <w:t xml:space="preserve">Reservoir </w:t>
      </w:r>
      <w:r>
        <w:t>of 242 GL/year</w:t>
      </w:r>
      <w:r w:rsidR="008028FE">
        <w:t xml:space="preserve"> (see Table 4, this review)</w:t>
      </w:r>
      <w:r>
        <w:t xml:space="preserve">, the reduction in mean annual </w:t>
      </w:r>
      <w:r w:rsidR="001834A2">
        <w:t>catchment water yield</w:t>
      </w:r>
      <w:r>
        <w:t xml:space="preserve"> would be 65 GL/year.</w:t>
      </w:r>
    </w:p>
    <w:p w14:paraId="25249F41" w14:textId="44813BB5" w:rsidR="002820AE" w:rsidRDefault="009040AD" w:rsidP="009040AD">
      <w:pPr>
        <w:pStyle w:val="Para0"/>
      </w:pPr>
      <w:r w:rsidRPr="005F41F0">
        <w:t>Since WWS2008</w:t>
      </w:r>
      <w:r w:rsidR="00D975E4">
        <w:t>,</w:t>
      </w:r>
      <w:r w:rsidRPr="005F41F0">
        <w:t xml:space="preserve"> updated projections for climate change are available based on revised GCM and downscaling approaches. These include the Climate Change in Australia projections </w:t>
      </w:r>
      <w:r w:rsidRPr="005F41F0">
        <w:fldChar w:fldCharType="begin" w:fldLock="1"/>
      </w:r>
      <w:r w:rsidR="00540694">
        <w:instrText>ADDIN CSL_CITATION {"citationItems":[{"id":"ITEM-1","itemData":{"ISBN":"9781921232947","abstract":"This chapter presents projected changes to Australia&amp;rsquo;s climate based on the results of the CMIP5 models and other relevant information. For changes to mean temperature, rainfall, wind speed, solar radiation, relative humidity and potential evapotranspiration (PE), ranges of regional average change are presented based on 10-90th percentiles of the empirical distribution of the CMIP5 models using the approach described in the previous chapter. Changes are presented for 20 year time slices centred on 2030 and 2090 relative to the simulated climate of 1986&amp;ndash;2005 and for selected RCPs (usually RCP2.6, RCP4.5 and RCP8.5). The changes can then be applied to observed climate data for use in impact assessments.","author":[{"dropping-particle":"","family":"CSIRO and Bureau of Meteorology","given":"","non-dropping-particle":"","parse-names":false,"suffix":""}],"container-title":"Climate Change in Australia: Projections for Australia's NRM Regions","id":"ITEM-1","issued":{"date-parts":[["2015"]]},"number-of-pages":"222","publisher-place":"Australia","title":"Climate Change in Australia: Projections for Australia's Natural Resource Management Regions, Technical Report","type":"report"},"uris":["http://www.mendeley.com/documents/?uuid=27f4109c-748d-43a3-90d1-d3b0cc145d60","http://www.mendeley.com/documents/?uuid=eae55f8c-8d70-4007-9e6e-6b76182f937c","http://www.mendeley.com/documents/?uuid=175a7a54-3339-4bab-908a-cfe58bb7de92"]}],"mendeley":{"formattedCitation":"(CSIRO and Bureau of Meteorology, 2015)","plainTextFormattedCitation":"(CSIRO and Bureau of Meteorology, 2015)","previouslyFormattedCitation":"(CSIRO and Bureau of Meteorology, 2015)"},"properties":{"noteIndex":0},"schema":"https://github.com/citation-style-language/schema/raw/master/csl-citation.json"}</w:instrText>
      </w:r>
      <w:r w:rsidRPr="005F41F0">
        <w:fldChar w:fldCharType="separate"/>
      </w:r>
      <w:r w:rsidR="00540694" w:rsidRPr="00540694">
        <w:rPr>
          <w:noProof/>
        </w:rPr>
        <w:t>(CSIRO and Bureau of Meteorology, 2015)</w:t>
      </w:r>
      <w:r w:rsidRPr="005F41F0">
        <w:fldChar w:fldCharType="end"/>
      </w:r>
      <w:r w:rsidR="00735B67">
        <w:t xml:space="preserve">. The current </w:t>
      </w:r>
      <w:r w:rsidR="00735B67" w:rsidRPr="00B6358F">
        <w:t xml:space="preserve">‘Guidelines for Assessing the Impact of Climate Change on Water Supplies in Victoria’ </w:t>
      </w:r>
      <w:r w:rsidR="0010108C">
        <w:fldChar w:fldCharType="begin" w:fldLock="1"/>
      </w:r>
      <w:r w:rsidR="0010108C">
        <w:instrText>ADDIN CSL_CITATION {"citationItems":[{"id":"ITEM-1","itemData":{"ISBN":"978-1-76047-346-4","author":[{"dropping-particle":"","family":"Department of Environment Land Water and Planning","given":"","non-dropping-particle":"","parse-names":false,"suffix":""}],"id":"ITEM-1","issued":{"date-parts":[["2016"]]},"number-of-pages":"1--83","publisher-place":"Melbourne, Australia","title":"Guidelines for Assessing the Impact of Climate Change on Water Supplies in Victoria","type":"report"},"uris":["http://www.mendeley.com/documents/?uuid=9d471c89-e8d8-4822-806f-193f999a88bc"]}],"mendeley":{"formattedCitation":"(Department of Environment Land Water and Planning, 2016)","plainTextFormattedCitation":"(Department of Environment Land Water and Planning, 2016)","previouslyFormattedCitation":"(Department of Environment Land Water and Planning, 2016)"},"properties":{"noteIndex":0},"schema":"https://github.com/citation-style-language/schema/raw/master/csl-citation.json"}</w:instrText>
      </w:r>
      <w:r w:rsidR="0010108C">
        <w:fldChar w:fldCharType="separate"/>
      </w:r>
      <w:r w:rsidR="0010108C" w:rsidRPr="0010108C">
        <w:rPr>
          <w:noProof/>
        </w:rPr>
        <w:t>(Department of Environment Land Water and Planning, 2016)</w:t>
      </w:r>
      <w:r w:rsidR="0010108C">
        <w:fldChar w:fldCharType="end"/>
      </w:r>
      <w:r w:rsidR="0010108C">
        <w:t xml:space="preserve"> </w:t>
      </w:r>
      <w:r w:rsidR="00735B67">
        <w:t>use the projected changes in streamflow developed during the VicCI</w:t>
      </w:r>
      <w:r w:rsidR="0010108C">
        <w:t xml:space="preserve"> </w:t>
      </w:r>
      <w:r w:rsidR="0010108C">
        <w:fldChar w:fldCharType="begin" w:fldLock="1"/>
      </w:r>
      <w:r w:rsidR="002B3B3C">
        <w:instrText>ADDIN CSL_CITATION {"citationItems":[{"id":"ITEM-1","itemData":{"URL":"https://data.csiro.au/collections/#collection/CIcsiro:18071v1","author":[{"dropping-particle":"","family":"Potter","given":"Nick","non-dropping-particle":"","parse-names":false,"suffix":""},{"dropping-particle":"","family":"Chiew","given":"Francis","non-dropping-particle":"","parse-names":false,"suffix":""},{"dropping-particle":"","family":"Zheng","given":"Hingxing","non-dropping-particle":"","parse-names":false,"suffix":""},{"dropping-particle":"","family":"Ekstrom","given":"Marie","non-dropping-particle":"","parse-names":false,"suffix":""},{"dropping-particle":"","family":"Zhang","given":"Lu","non-dropping-particle":"","parse-names":false,"suffix":""}],"id":"ITEM-1","issued":{"date-parts":[["2016"]]},"title":"Future hydroclimate projections for Victorian river basins","type":"webpage"},"uris":["http://www.mendeley.com/documents/?uuid=2fdbc3c7-194a-4f5c-9a28-0e5bc3717ef8"]}],"mendeley":{"formattedCitation":"(Potter &lt;i&gt;et al.&lt;/i&gt;, 2016)","plainTextFormattedCitation":"(Potter et al., 2016)","previouslyFormattedCitation":"(Potter &lt;i&gt;et al.&lt;/i&gt;, 2016)"},"properties":{"noteIndex":0},"schema":"https://github.com/citation-style-language/schema/raw/master/csl-citation.json"}</w:instrText>
      </w:r>
      <w:r w:rsidR="0010108C">
        <w:fldChar w:fldCharType="separate"/>
      </w:r>
      <w:r w:rsidR="0010108C" w:rsidRPr="0010108C">
        <w:rPr>
          <w:noProof/>
        </w:rPr>
        <w:t xml:space="preserve">(Potter </w:t>
      </w:r>
      <w:r w:rsidR="0010108C" w:rsidRPr="0010108C">
        <w:rPr>
          <w:i/>
          <w:noProof/>
        </w:rPr>
        <w:t>et al.</w:t>
      </w:r>
      <w:r w:rsidR="0010108C" w:rsidRPr="0010108C">
        <w:rPr>
          <w:noProof/>
        </w:rPr>
        <w:t>, 2016)</w:t>
      </w:r>
      <w:r w:rsidR="0010108C">
        <w:fldChar w:fldCharType="end"/>
      </w:r>
      <w:r w:rsidR="00735B67">
        <w:t xml:space="preserve">. Hope </w:t>
      </w:r>
      <w:r w:rsidR="00735B67" w:rsidRPr="00C97B25">
        <w:rPr>
          <w:i/>
          <w:iCs/>
        </w:rPr>
        <w:t>et al</w:t>
      </w:r>
      <w:r w:rsidR="00735B67">
        <w:t xml:space="preserve">. </w:t>
      </w:r>
      <w:r w:rsidR="0010108C">
        <w:t>(</w:t>
      </w:r>
      <w:r w:rsidR="00735B67">
        <w:t>2017) concluded that</w:t>
      </w:r>
      <w:r w:rsidR="0010108C">
        <w:t>,</w:t>
      </w:r>
      <w:r w:rsidR="00735B67">
        <w:t xml:space="preserve"> </w:t>
      </w:r>
    </w:p>
    <w:p w14:paraId="3ECBFCEC" w14:textId="2103E59B" w:rsidR="00735B67" w:rsidRDefault="00735B67" w:rsidP="00E709BA">
      <w:pPr>
        <w:pStyle w:val="Para0"/>
        <w:spacing w:before="60"/>
        <w:ind w:left="709"/>
      </w:pPr>
      <w:r w:rsidRPr="00E709BA">
        <w:rPr>
          <w:i/>
          <w:iCs/>
        </w:rPr>
        <w:t>This [cool season rainfall] decline is likely to persist and possibly intensify in the longer term, and will occur more evenly across the whole cool season rather than primarily in the early part, as was the case during the Millennium Drought. This change is associated with changes in the global-scale circulation, which are at least partly attributable to anthropogenic influences.</w:t>
      </w:r>
    </w:p>
    <w:p w14:paraId="48084D12" w14:textId="417592F2" w:rsidR="0056107B" w:rsidRDefault="00735B67" w:rsidP="009040AD">
      <w:pPr>
        <w:pStyle w:val="Para0"/>
      </w:pPr>
      <w:r>
        <w:t>T</w:t>
      </w:r>
      <w:r w:rsidR="009040AD">
        <w:t>he Victorian Climate Projections 2019</w:t>
      </w:r>
      <w:r w:rsidR="00C01986">
        <w:t xml:space="preserve"> </w:t>
      </w:r>
      <w:r w:rsidR="009040AD">
        <w:t>include high resolution dynamical downscaling at 5</w:t>
      </w:r>
      <w:r w:rsidR="00FB33DE">
        <w:t> </w:t>
      </w:r>
      <w:r w:rsidR="009040AD">
        <w:t>km resolution</w:t>
      </w:r>
      <w:r w:rsidR="009040AD" w:rsidRPr="005F41F0">
        <w:t xml:space="preserve"> </w:t>
      </w:r>
      <w:r w:rsidR="009040AD">
        <w:fldChar w:fldCharType="begin" w:fldLock="1"/>
      </w:r>
      <w:r w:rsidR="0005134E">
        <w:instrText>ADDIN CSL_CITATION {"citationItems":[{"id":"ITEM-1","itemData":{"ISBN":"9781760777357","author":[{"dropping-particle":"","family":"Clarke","given":"J.M.","non-dropping-particle":"","parse-names":false,"suffix":""},{"dropping-particle":"","family":"Grose","given":"M.","non-dropping-particle":"","parse-names":false,"suffix":""},{"dropping-particle":"","family":"Thatcher","given":"M.","non-dropping-particle":"","parse-names":false,"suffix":""},{"dropping-particle":"","family":"Hernaman","given":"V.","non-dropping-particle":"","parse-names":false,"suffix":""},{"dropping-particle":"","family":"Heady","given":"C.","non-dropping-particle":"","parse-names":false,"suffix":""},{"dropping-particle":"","family":"Round","given":"V.","non-dropping-particle":"","parse-names":false,"suffix":""},{"dropping-particle":"","family":"Rafter","given":"T.","non-dropping-particle":"","parse-names":false,"suffix":""},{"dropping-particle":"","family":"Trenham","given":"C.","non-dropping-particle":"","parse-names":false,"suffix":""},{"dropping-particle":"","family":"Wilson","given":"L.","non-dropping-particle":"","parse-names":false,"suffix":""}],"id":"ITEM-1","issued":{"date-parts":[["2019"]]},"publisher":"CSIRO","publisher-place":"Melbourne, Australia","title":"Victorian Climate Projections 2019 Technical Report","type":"book"},"uris":["http://www.mendeley.com/documents/?uuid=1c49ed8b-2584-44b9-aed5-f9de09bdfe40","http://www.mendeley.com/documents/?uuid=aea905ba-ce2a-4892-84b3-ada1ea5cc41a","http://www.mendeley.com/documents/?uuid=ab98756a-ba6f-466c-a2cf-4cf2df6e573d"]}],"mendeley":{"formattedCitation":"(Clarke &lt;i&gt;et al.&lt;/i&gt;, 2019)","plainTextFormattedCitation":"(Clarke et al., 2019)","previouslyFormattedCitation":"(Clarke &lt;i&gt;et al.&lt;/i&gt;, 2019)"},"properties":{"noteIndex":0},"schema":"https://github.com/citation-style-language/schema/raw/master/csl-citation.json"}</w:instrText>
      </w:r>
      <w:r w:rsidR="009040AD">
        <w:fldChar w:fldCharType="separate"/>
      </w:r>
      <w:r w:rsidR="007416C7" w:rsidRPr="007416C7">
        <w:rPr>
          <w:noProof/>
        </w:rPr>
        <w:t xml:space="preserve">(Clarke </w:t>
      </w:r>
      <w:r w:rsidR="007416C7" w:rsidRPr="007416C7">
        <w:rPr>
          <w:i/>
          <w:noProof/>
        </w:rPr>
        <w:t>et al.</w:t>
      </w:r>
      <w:r w:rsidR="007416C7" w:rsidRPr="007416C7">
        <w:rPr>
          <w:noProof/>
        </w:rPr>
        <w:t>, 2019)</w:t>
      </w:r>
      <w:r w:rsidR="009040AD">
        <w:fldChar w:fldCharType="end"/>
      </w:r>
      <w:r w:rsidR="009040AD">
        <w:t>. Updated projections agree in broad terms with previous projections, stating</w:t>
      </w:r>
      <w:r w:rsidR="0056107B">
        <w:t>,</w:t>
      </w:r>
      <w:r w:rsidR="009040AD">
        <w:t xml:space="preserve"> </w:t>
      </w:r>
    </w:p>
    <w:p w14:paraId="5F208058" w14:textId="7560215A" w:rsidR="0056107B" w:rsidRDefault="009040AD" w:rsidP="00E709BA">
      <w:pPr>
        <w:pStyle w:val="Para0"/>
        <w:spacing w:before="60"/>
        <w:ind w:left="709"/>
      </w:pPr>
      <w:r w:rsidRPr="00E709BA">
        <w:rPr>
          <w:i/>
          <w:iCs/>
        </w:rPr>
        <w:t>Victoria is projected to continue becoming drier in the long term in all seasons except summer, for which models indicate that both increases and decreases in average rainfall are possible. In a multi-model analysis, it has been found that models that better capture the synoptic-scale weather patterns also project drier future in some seasons</w:t>
      </w:r>
      <w:r w:rsidR="00BC36A5">
        <w:t xml:space="preserve"> </w:t>
      </w:r>
      <w:r w:rsidR="00BC36A5">
        <w:fldChar w:fldCharType="begin" w:fldLock="1"/>
      </w:r>
      <w:r w:rsidR="00D11C5B">
        <w:instrText>ADDIN CSL_CITATION {"citationItems":[{"id":"ITEM-1","itemData":{"DOI":"10.1175/JCLI-D-16-0142.1","author":[{"dropping-particle":"","family":"Grose","given":"Michael R","non-dropping-particle":"","parse-names":false,"suffix":""},{"dropping-particle":"","family":"Risbey","given":"James S","non-dropping-particle":"","parse-names":false,"suffix":""},{"dropping-particle":"","family":"Moise","given":"Aurel F","non-dropping-particle":"","parse-names":false,"suffix":""},{"dropping-particle":"","family":"Osbrough","given":"Stacey","non-dropping-particle":"","parse-names":false,"suffix":""},{"dropping-particle":"","family":"Heady","given":"Craig","non-dropping-particle":"","parse-names":false,"suffix":""},{"dropping-particle":"","family":"Wilson","given":"Louise","non-dropping-particle":"","parse-names":false,"suffix":""},{"dropping-particle":"","family":"Erwin","given":"Tim","non-dropping-particle":"","parse-names":false,"suffix":""}],"container-title":"Journal of Climate","id":"ITEM-1","issue":"1","issued":{"date-parts":[["2017"]]},"page":"225-242","title":"Constraints on Southern Australian rainfall change based on atmospheric circulation in CMIP5 simulations","type":"article-journal","volume":"30"},"uris":["http://www.mendeley.com/documents/?uuid=efa64c83-8a29-41e7-b314-8e1940e00b20"]}],"mendeley":{"formattedCitation":"(Grose &lt;i&gt;et al.&lt;/i&gt;, 2017)","plainTextFormattedCitation":"(Grose et al., 2017)","previouslyFormattedCitation":"(Grose &lt;i&gt;et al.&lt;/i&gt;, 2017)"},"properties":{"noteIndex":0},"schema":"https://github.com/citation-style-language/schema/raw/master/csl-citation.json"}</w:instrText>
      </w:r>
      <w:r w:rsidR="00BC36A5">
        <w:fldChar w:fldCharType="separate"/>
      </w:r>
      <w:r w:rsidR="007416C7" w:rsidRPr="007416C7">
        <w:rPr>
          <w:noProof/>
        </w:rPr>
        <w:t xml:space="preserve">(Grose </w:t>
      </w:r>
      <w:r w:rsidR="007416C7" w:rsidRPr="007416C7">
        <w:rPr>
          <w:i/>
          <w:noProof/>
        </w:rPr>
        <w:t>et al.</w:t>
      </w:r>
      <w:r w:rsidR="007416C7" w:rsidRPr="007416C7">
        <w:rPr>
          <w:noProof/>
        </w:rPr>
        <w:t>, 2017)</w:t>
      </w:r>
      <w:r w:rsidR="00BC36A5">
        <w:fldChar w:fldCharType="end"/>
      </w:r>
      <w:r w:rsidRPr="007617CB">
        <w:t xml:space="preserve">. </w:t>
      </w:r>
    </w:p>
    <w:p w14:paraId="4FC7D387" w14:textId="0181798B" w:rsidR="009040AD" w:rsidRPr="00131DB2" w:rsidRDefault="00735B67" w:rsidP="009040AD">
      <w:pPr>
        <w:pStyle w:val="Para0"/>
        <w:rPr>
          <w:highlight w:val="yellow"/>
        </w:rPr>
      </w:pPr>
      <w:r>
        <w:t>Since climate models are designed and expected to simulate long-term trends but not the precise sequence of variability on daily to decadal timescales, it is possible</w:t>
      </w:r>
      <w:r w:rsidRPr="00005043">
        <w:t xml:space="preserve"> that </w:t>
      </w:r>
      <w:r>
        <w:t>a s</w:t>
      </w:r>
      <w:r w:rsidRPr="00005043">
        <w:t>tep change in climate</w:t>
      </w:r>
      <w:r>
        <w:t xml:space="preserve"> has already occurred in recent decades that is n</w:t>
      </w:r>
      <w:r w:rsidRPr="00005043">
        <w:t xml:space="preserve">ot </w:t>
      </w:r>
      <w:r>
        <w:t>evident in</w:t>
      </w:r>
      <w:r w:rsidRPr="00005043">
        <w:t xml:space="preserve"> </w:t>
      </w:r>
      <w:r>
        <w:t>climate model simulations. It is also possible that more severe declines in rainfall and streamflow will occur than are projected by most models.</w:t>
      </w:r>
    </w:p>
    <w:p w14:paraId="64D1DA2E" w14:textId="7CEAD3C3" w:rsidR="00F46522" w:rsidRDefault="00A70DC2" w:rsidP="000428C9">
      <w:pPr>
        <w:pStyle w:val="Para0"/>
      </w:pPr>
      <w:r>
        <w:lastRenderedPageBreak/>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fldChar w:fldCharType="separate"/>
      </w:r>
      <w:r w:rsidRPr="00A70DC2">
        <w:rPr>
          <w:noProof/>
        </w:rPr>
        <w:t xml:space="preserve">Taylor </w:t>
      </w:r>
      <w:r w:rsidR="001C1F9A" w:rsidRPr="001C1F9A">
        <w:rPr>
          <w:i/>
          <w:noProof/>
        </w:rPr>
        <w:t>et al.</w:t>
      </w:r>
      <w:r>
        <w:rPr>
          <w:noProof/>
        </w:rPr>
        <w:t xml:space="preserve"> (</w:t>
      </w:r>
      <w:r w:rsidRPr="00A70DC2">
        <w:rPr>
          <w:noProof/>
        </w:rPr>
        <w:t>2019)</w:t>
      </w:r>
      <w:r>
        <w:fldChar w:fldCharType="end"/>
      </w:r>
      <w:r>
        <w:t xml:space="preserve"> </w:t>
      </w:r>
      <w:r w:rsidR="000F7EDF">
        <w:t xml:space="preserve">modelled declines in mean annual </w:t>
      </w:r>
      <w:r w:rsidR="001834A2">
        <w:t>catchment water yield</w:t>
      </w:r>
      <w:r w:rsidR="000F7EDF">
        <w:t xml:space="preserve"> for the ash</w:t>
      </w:r>
      <w:r w:rsidR="00525D1C">
        <w:t>-</w:t>
      </w:r>
      <w:r w:rsidR="002E782C">
        <w:t>type forest</w:t>
      </w:r>
      <w:r w:rsidR="000F7EDF">
        <w:t xml:space="preserve"> portion of the Thomson catchment</w:t>
      </w:r>
      <w:r w:rsidR="00FD4123">
        <w:t xml:space="preserve">, applying representative climate futures for projected climate change for 2030, 2060 and 2090. </w:t>
      </w:r>
      <w:r w:rsidR="00F46522">
        <w:t>F</w:t>
      </w:r>
      <w:r w:rsidR="00FD4123">
        <w:t>or the “consensus” and “driest” GCM projections</w:t>
      </w:r>
      <w:r w:rsidR="00F46522">
        <w:t>,</w:t>
      </w:r>
      <w:r w:rsidR="00FD4123">
        <w:t xml:space="preserve"> </w:t>
      </w:r>
      <w:r w:rsidR="00F46522">
        <w:t xml:space="preserve">they found that mean annual runoff </w:t>
      </w:r>
      <w:r w:rsidR="00FD4123">
        <w:t xml:space="preserve">declined appreciably by 2090, with more variable results for 2030 and 2060. </w:t>
      </w:r>
      <w:r w:rsidR="00F46522">
        <w:t>Under the “wettest” GCM projections, t</w:t>
      </w:r>
      <w:r w:rsidR="00FD4123">
        <w:t xml:space="preserve">hey projected little change in mean annual </w:t>
      </w:r>
      <w:r w:rsidR="001834A2">
        <w:t>catchment water yield</w:t>
      </w:r>
      <w:r w:rsidR="00FD4123">
        <w:t xml:space="preserve"> (</w:t>
      </w:r>
      <w:r w:rsidR="00F46522">
        <w:t xml:space="preserve">in their </w:t>
      </w:r>
      <w:r w:rsidR="00FD4123">
        <w:t>RCP4.5</w:t>
      </w:r>
      <w:r w:rsidR="00F46522">
        <w:t xml:space="preserve"> scenario</w:t>
      </w:r>
      <w:r w:rsidR="00FD4123">
        <w:t>) or</w:t>
      </w:r>
      <w:r w:rsidR="00F46522">
        <w:t>,</w:t>
      </w:r>
      <w:r w:rsidR="00FD4123">
        <w:t xml:space="preserve"> </w:t>
      </w:r>
      <w:r w:rsidR="00F46522">
        <w:t xml:space="preserve">conversely, </w:t>
      </w:r>
      <w:r w:rsidR="00FD4123">
        <w:t xml:space="preserve">increases in </w:t>
      </w:r>
      <w:r w:rsidR="001834A2">
        <w:t>catchment water yield</w:t>
      </w:r>
      <w:r w:rsidR="00FD4123">
        <w:t xml:space="preserve"> (</w:t>
      </w:r>
      <w:r w:rsidR="00F46522">
        <w:t xml:space="preserve">in their </w:t>
      </w:r>
      <w:r w:rsidR="00FD4123">
        <w:t>RCP8.5</w:t>
      </w:r>
      <w:r w:rsidR="00F46522">
        <w:t xml:space="preserve"> scenario</w:t>
      </w:r>
      <w:r w:rsidR="00FD4123">
        <w:t xml:space="preserve">) for 2060 and 2090. </w:t>
      </w:r>
    </w:p>
    <w:p w14:paraId="402BA7C4" w14:textId="45AE668D" w:rsidR="00BD1C97" w:rsidRDefault="00F46522" w:rsidP="000428C9">
      <w:pPr>
        <w:pStyle w:val="Para0"/>
      </w:pPr>
      <w:r>
        <w:t xml:space="preserve">For year 2090, Taylor </w:t>
      </w:r>
      <w:r w:rsidRPr="00E709BA">
        <w:rPr>
          <w:i/>
        </w:rPr>
        <w:t>et al</w:t>
      </w:r>
      <w:r>
        <w:t xml:space="preserve">. </w:t>
      </w:r>
      <w:r w:rsidR="0073420D">
        <w:t xml:space="preserve">modelled declines </w:t>
      </w:r>
      <w:r>
        <w:t xml:space="preserve">of between 0.4% and 39% </w:t>
      </w:r>
      <w:r w:rsidR="0073420D">
        <w:t xml:space="preserve">in mean annual </w:t>
      </w:r>
      <w:r w:rsidR="001834A2">
        <w:t>catchment water yield</w:t>
      </w:r>
      <w:r w:rsidR="0073420D">
        <w:t xml:space="preserve"> for the Thomson catchment under the RCP4.5 scenario, produced by projected declines in rainfall of between 1% and 22% across the </w:t>
      </w:r>
      <w:r w:rsidR="00FD4123">
        <w:t xml:space="preserve">three </w:t>
      </w:r>
      <w:r w:rsidR="0073420D">
        <w:t>representative climate futures.</w:t>
      </w:r>
      <w:r w:rsidR="000F7EDF">
        <w:t xml:space="preserve"> For the RCP8.5 scenario at 2090, they modelled changes in runoff varying between an increase of 15% and a decline of 55%, produced by projected changes in mean annual rainfall between +21% and </w:t>
      </w:r>
      <w:r w:rsidR="008744C3">
        <w:rPr>
          <w:rFonts w:cs="Arial"/>
        </w:rPr>
        <w:t>–</w:t>
      </w:r>
      <w:r w:rsidR="000F7EDF">
        <w:t>26%.</w:t>
      </w:r>
      <w:r w:rsidR="007D6DFE">
        <w:t xml:space="preserve"> The projected declines in mean annual </w:t>
      </w:r>
      <w:r w:rsidR="001834A2">
        <w:t>catchment water yield</w:t>
      </w:r>
      <w:r w:rsidR="007D6DFE">
        <w:t xml:space="preserve"> for the </w:t>
      </w:r>
      <w:r w:rsidR="002E782C">
        <w:t>ash</w:t>
      </w:r>
      <w:r w:rsidR="00525D1C">
        <w:t>-</w:t>
      </w:r>
      <w:r w:rsidR="002E782C">
        <w:t>type</w:t>
      </w:r>
      <w:r w:rsidR="007D6DFE">
        <w:t xml:space="preserve"> forest portions of the Thomson catchment under the “consensus” projection for 2090 were 20% and 18% for RCP4.5 and </w:t>
      </w:r>
      <w:r>
        <w:t>RCP</w:t>
      </w:r>
      <w:r w:rsidR="007D6DFE">
        <w:t xml:space="preserve">8.5 respectively. Changes in rainfall and </w:t>
      </w:r>
      <w:r w:rsidR="007D6DFE" w:rsidRPr="001B7033">
        <w:t>PET due to climate change would influence the other parts of the Thomson catchment</w:t>
      </w:r>
      <w:r w:rsidR="00517AA5" w:rsidRPr="001B7033">
        <w:t xml:space="preserve"> as well as the </w:t>
      </w:r>
      <w:r w:rsidR="00517AA5">
        <w:t>ash</w:t>
      </w:r>
      <w:r w:rsidR="00525D1C">
        <w:t>-</w:t>
      </w:r>
      <w:r w:rsidR="002E782C">
        <w:t>type forest</w:t>
      </w:r>
      <w:r w:rsidR="00517AA5">
        <w:t xml:space="preserve">, so </w:t>
      </w:r>
      <w:r w:rsidR="007D6DFE">
        <w:t xml:space="preserve">if the same percentage declines </w:t>
      </w:r>
      <w:r w:rsidR="00517AA5">
        <w:t xml:space="preserve">were projected for the whole catchment and applied to the mean annual runoff into Thomson </w:t>
      </w:r>
      <w:r w:rsidR="00245955">
        <w:t xml:space="preserve">Reservoir </w:t>
      </w:r>
      <w:r w:rsidR="00517AA5">
        <w:t xml:space="preserve">of </w:t>
      </w:r>
      <w:r w:rsidR="00440F4C">
        <w:t>204 </w:t>
      </w:r>
      <w:r w:rsidR="00517AA5">
        <w:t>GL/year</w:t>
      </w:r>
      <w:r w:rsidR="00440F4C">
        <w:t xml:space="preserve"> (based upon 1975 to 2018)</w:t>
      </w:r>
      <w:r w:rsidR="00517AA5">
        <w:t xml:space="preserve">, the consensus climate change projection for 2090 for </w:t>
      </w:r>
      <w:r w:rsidR="001834A2">
        <w:t>catchment water yield</w:t>
      </w:r>
      <w:r w:rsidR="00517AA5">
        <w:t xml:space="preserve"> would be </w:t>
      </w:r>
      <w:r w:rsidR="00440F4C">
        <w:t>37 </w:t>
      </w:r>
      <w:r w:rsidR="00517AA5">
        <w:t>G</w:t>
      </w:r>
      <w:r w:rsidR="00245955">
        <w:t>L</w:t>
      </w:r>
      <w:r w:rsidR="00517AA5">
        <w:t xml:space="preserve">/year (RCP8.5) or </w:t>
      </w:r>
      <w:r w:rsidR="00440F4C">
        <w:t>41 </w:t>
      </w:r>
      <w:r w:rsidR="00517AA5">
        <w:t>GL/year (RCP4.5).</w:t>
      </w:r>
    </w:p>
    <w:p w14:paraId="3C8C0C6E" w14:textId="38DFA36C" w:rsidR="005D33A6" w:rsidRDefault="00174C08" w:rsidP="000428C9">
      <w:pPr>
        <w:pStyle w:val="Para0"/>
      </w:pPr>
      <w:r>
        <w:fldChar w:fldCharType="begin" w:fldLock="1"/>
      </w:r>
      <w:r w:rsidR="00D11C5B">
        <w:instrText>ADDIN CSL_CITATION {"citationItems":[{"id":"ITEM-1","itemData":{"author":[{"dropping-particle":"","family":"Mein","given":"Russell","non-dropping-particle":"","parse-names":false,"suffix":""}],"id":"ITEM-1","issue":"May","issued":{"date-parts":[["2008"]]},"number-of-pages":"24","title":"Potential impacts of forest management on streamflow in Melbourne’s water supply catchments Summary report","type":"report"},"uris":["http://www.mendeley.com/documents/?uuid=8b5f64af-8bc5-46a2-bf12-c3f57288c5f8"]}],"mendeley":{"formattedCitation":"(Mein, 2008)","manualFormatting":"Mein (2008)","plainTextFormattedCitation":"(Mein, 2008)","previouslyFormattedCitation":"(Mein, 2008)"},"properties":{"noteIndex":0},"schema":"https://github.com/citation-style-language/schema/raw/master/csl-citation.json"}</w:instrText>
      </w:r>
      <w:r>
        <w:fldChar w:fldCharType="separate"/>
      </w:r>
      <w:r>
        <w:rPr>
          <w:noProof/>
        </w:rPr>
        <w:t>Mein (</w:t>
      </w:r>
      <w:r w:rsidRPr="00174C08">
        <w:rPr>
          <w:noProof/>
        </w:rPr>
        <w:t>2008)</w:t>
      </w:r>
      <w:r>
        <w:fldChar w:fldCharType="end"/>
      </w:r>
      <w:r>
        <w:t xml:space="preserve"> and </w:t>
      </w:r>
      <w:r w:rsidR="00A70DC2">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fldChar w:fldCharType="end"/>
      </w:r>
      <w:r>
        <w:t xml:space="preserve"> provided different interpretations of the relative impact</w:t>
      </w:r>
      <w:r w:rsidR="005D33A6">
        <w:t>s</w:t>
      </w:r>
      <w:r>
        <w:t xml:space="preserve"> of timber harvesting and projected climate change because (a) the WWS2008 estimate of timber harvesting impact was roughly one</w:t>
      </w:r>
      <w:r w:rsidR="00DF521A">
        <w:t>-</w:t>
      </w:r>
      <w:r>
        <w:t xml:space="preserve">third of the estimate in </w:t>
      </w:r>
      <w:r w:rsidR="00A70DC2">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fldChar w:fldCharType="end"/>
      </w:r>
      <w:r w:rsidRPr="00DF521A">
        <w:t xml:space="preserve"> (see Section </w:t>
      </w:r>
      <w:r w:rsidRPr="00DF521A">
        <w:fldChar w:fldCharType="begin"/>
      </w:r>
      <w:r w:rsidRPr="00DF521A">
        <w:instrText xml:space="preserve"> REF _Ref24621410 \r \h </w:instrText>
      </w:r>
      <w:r w:rsidR="00DF521A" w:rsidRPr="002A792F">
        <w:instrText xml:space="preserve"> \* MERGEFORMAT </w:instrText>
      </w:r>
      <w:r w:rsidRPr="00DF521A">
        <w:fldChar w:fldCharType="separate"/>
      </w:r>
      <w:r w:rsidR="00062E08">
        <w:t>5.3</w:t>
      </w:r>
      <w:r w:rsidRPr="00DF521A">
        <w:fldChar w:fldCharType="end"/>
      </w:r>
      <w:r w:rsidRPr="00DF521A">
        <w:t>)</w:t>
      </w:r>
      <w:r w:rsidR="005D33A6">
        <w:t>;</w:t>
      </w:r>
      <w:r w:rsidRPr="00DF521A">
        <w:t xml:space="preserve"> </w:t>
      </w:r>
      <w:r w:rsidR="005D33A6">
        <w:br/>
      </w:r>
      <w:r w:rsidRPr="00DF521A">
        <w:t xml:space="preserve">(b) </w:t>
      </w:r>
      <w:r w:rsidR="00A70DC2">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fldChar w:fldCharType="end"/>
      </w:r>
      <w:r w:rsidR="00A70DC2">
        <w:t xml:space="preserve"> </w:t>
      </w:r>
      <w:r w:rsidRPr="00DF521A">
        <w:t xml:space="preserve">used more recent projections for changes in rainfall and PET than WWS2008, which may have been a little less severe than those used in WWS2008 </w:t>
      </w:r>
      <w:r w:rsidRPr="00DF521A">
        <w:fldChar w:fldCharType="begin" w:fldLock="1"/>
      </w:r>
      <w:r w:rsidR="002F7553">
        <w:instrText>ADDIN CSL_CITATION {"citationItems":[{"id":"ITEM-1","itemData":{"abstract":"Abstract This study investigates the implications of climate change for Melbourne Water's water , sewerage and drainage systems. It includes Melbourne area climate change scenarios for 2020 and 2050, implications of potential water demand scenarios and case ...","author":[{"dropping-particle":"","family":"Howe","given":"C","non-dropping-particle":"","parse-names":false,"suffix":""},{"dropping-particle":"","family":"Jones","given":"R N","non-dropping-particle":"","parse-names":false,"suffix":""},{"dropping-particle":"","family":"Maheepala","given":"S.","non-dropping-particle":"","parse-names":false,"suffix":""},{"dropping-particle":"","family":"Rhodes","given":"B.","non-dropping-particle":"","parse-names":false,"suffix":""}],"container-title":"Water and Climate","id":"ITEM-1","issued":{"date-parts":[["2005"]]},"publisher-place":"Melbourne, Australia","title":"Melbourne Water Climate Change Study: Implications of potential climate change for Melbourne's water resources","type":"report"},"uris":["http://www.mendeley.com/documents/?uuid=fb6733d2-c379-44dd-bb47-8b86a9f2fff8"]}],"mendeley":{"formattedCitation":"(Howe &lt;i&gt;et al.&lt;/i&gt;, 2005)","plainTextFormattedCitation":"(Howe et al., 2005)","previouslyFormattedCitation":"(Howe &lt;i&gt;et al.&lt;/i&gt;, 2005)"},"properties":{"noteIndex":0},"schema":"https://github.com/citation-style-language/schema/raw/master/csl-citation.json"}</w:instrText>
      </w:r>
      <w:r w:rsidRPr="00DF521A">
        <w:fldChar w:fldCharType="separate"/>
      </w:r>
      <w:r w:rsidR="007416C7" w:rsidRPr="007416C7">
        <w:rPr>
          <w:noProof/>
        </w:rPr>
        <w:t xml:space="preserve">(Howe </w:t>
      </w:r>
      <w:r w:rsidR="007416C7" w:rsidRPr="007416C7">
        <w:rPr>
          <w:i/>
          <w:noProof/>
        </w:rPr>
        <w:t>et al.</w:t>
      </w:r>
      <w:r w:rsidR="007416C7" w:rsidRPr="007416C7">
        <w:rPr>
          <w:noProof/>
        </w:rPr>
        <w:t>, 2005)</w:t>
      </w:r>
      <w:r w:rsidRPr="00DF521A">
        <w:fldChar w:fldCharType="end"/>
      </w:r>
      <w:r w:rsidR="005D33A6">
        <w:t>;</w:t>
      </w:r>
      <w:r w:rsidRPr="00DF521A">
        <w:t xml:space="preserve"> and (c) </w:t>
      </w:r>
      <w:r w:rsidRPr="00DF521A">
        <w:fldChar w:fldCharType="begin" w:fldLock="1"/>
      </w:r>
      <w:r w:rsidR="0005134E">
        <w:instrText>ADDIN CSL_CITATION {"citationItems":[{"id":"ITEM-1","itemData":{"author":[{"dropping-particle":"","family":"Mein","given":"Russell","non-dropping-particle":"","parse-names":false,"suffix":""}],"id":"ITEM-1","issue":"May","issued":{"date-parts":[["2008"]]},"number-of-pages":"24","title":"Potential impacts of forest management on streamflow in Melbourne’s water supply catchments Summary report","type":"report"},"uris":["http://www.mendeley.com/documents/?uuid=8b5f64af-8bc5-46a2-bf12-c3f57288c5f8"]}],"mendeley":{"formattedCitation":"(Mein, 2008)","manualFormatting":"Mein (2008, p. ii)","plainTextFormattedCitation":"(Mein, 2008)","previouslyFormattedCitation":"(Mein, 2008)"},"properties":{"noteIndex":0},"schema":"https://github.com/citation-style-language/schema/raw/master/csl-citation.json"}</w:instrText>
      </w:r>
      <w:r w:rsidRPr="00DF521A">
        <w:fldChar w:fldCharType="separate"/>
      </w:r>
      <w:r w:rsidRPr="00DF521A">
        <w:rPr>
          <w:noProof/>
        </w:rPr>
        <w:t>Mein (2008</w:t>
      </w:r>
      <w:r w:rsidR="00B47ACA" w:rsidRPr="00DF521A">
        <w:rPr>
          <w:noProof/>
        </w:rPr>
        <w:t>, p.</w:t>
      </w:r>
      <w:r w:rsidR="005D33A6">
        <w:rPr>
          <w:noProof/>
        </w:rPr>
        <w:t> </w:t>
      </w:r>
      <w:r w:rsidR="00B47ACA" w:rsidRPr="00DF521A">
        <w:rPr>
          <w:noProof/>
        </w:rPr>
        <w:t>ii</w:t>
      </w:r>
      <w:r w:rsidRPr="00DF521A">
        <w:rPr>
          <w:noProof/>
        </w:rPr>
        <w:t>)</w:t>
      </w:r>
      <w:r w:rsidRPr="00DF521A">
        <w:fldChar w:fldCharType="end"/>
      </w:r>
      <w:r w:rsidRPr="00DF521A">
        <w:t xml:space="preserve"> compared the impacts of timber harvesting and climate change across all catchments, whereas </w:t>
      </w:r>
      <w:r w:rsidR="00A70DC2">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fldChar w:fldCharType="end"/>
      </w:r>
      <w:r w:rsidRPr="00DF521A">
        <w:t xml:space="preserve"> compared the timber harvesting and climate change impacts </w:t>
      </w:r>
      <w:r w:rsidR="00A22F1F">
        <w:t>for the estimated yield from</w:t>
      </w:r>
      <w:r w:rsidR="00A22F1F" w:rsidRPr="00DF521A">
        <w:t xml:space="preserve"> </w:t>
      </w:r>
      <w:r w:rsidR="00B47ACA" w:rsidRPr="001B7033">
        <w:t>only</w:t>
      </w:r>
      <w:r w:rsidRPr="001B7033">
        <w:t xml:space="preserve"> the </w:t>
      </w:r>
      <w:r w:rsidR="002E782C">
        <w:t>ash</w:t>
      </w:r>
      <w:r w:rsidR="00525D1C">
        <w:t>-</w:t>
      </w:r>
      <w:r w:rsidR="002E782C">
        <w:t>type forest</w:t>
      </w:r>
      <w:r w:rsidRPr="00DF521A">
        <w:t xml:space="preserve"> portion of the Thomson catchment. </w:t>
      </w:r>
    </w:p>
    <w:p w14:paraId="2C5A23AD" w14:textId="191778E5" w:rsidR="006156B7" w:rsidRDefault="00B47ACA" w:rsidP="000428C9">
      <w:pPr>
        <w:pStyle w:val="Para0"/>
      </w:pPr>
      <w:r w:rsidRPr="00DF521A">
        <w:t xml:space="preserve">With regard to (a), as discussed in Section </w:t>
      </w:r>
      <w:r w:rsidRPr="00DF521A">
        <w:fldChar w:fldCharType="begin"/>
      </w:r>
      <w:r w:rsidRPr="00DF521A">
        <w:instrText xml:space="preserve"> REF _Ref24621410 \r \h </w:instrText>
      </w:r>
      <w:r w:rsidR="00DF521A" w:rsidRPr="002A792F">
        <w:instrText xml:space="preserve"> \* MERGEFORMAT </w:instrText>
      </w:r>
      <w:r w:rsidRPr="00DF521A">
        <w:fldChar w:fldCharType="separate"/>
      </w:r>
      <w:r w:rsidR="00062E08">
        <w:t>5.3</w:t>
      </w:r>
      <w:r w:rsidRPr="00DF521A">
        <w:fldChar w:fldCharType="end"/>
      </w:r>
      <w:r w:rsidRPr="00DF521A">
        <w:t xml:space="preserve">, it is possible that simplifying assumptions made by </w:t>
      </w:r>
      <w:r w:rsidR="00A70DC2">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fldChar w:fldCharType="end"/>
      </w:r>
      <w:r w:rsidRPr="00DF521A">
        <w:t xml:space="preserve"> </w:t>
      </w:r>
      <w:r w:rsidR="005D33A6" w:rsidRPr="00DF521A">
        <w:t xml:space="preserve">in the timber harvesting scenarios </w:t>
      </w:r>
      <w:r w:rsidRPr="00DF521A">
        <w:t xml:space="preserve">have </w:t>
      </w:r>
      <w:r w:rsidR="00C95629" w:rsidRPr="00DF521A">
        <w:t>systematically</w:t>
      </w:r>
      <w:r w:rsidRPr="00DF521A">
        <w:t xml:space="preserve"> over-estimated its impact, although it is difficult to be definitive about this without access to their model. With regard to (b), the representative climate futures adopted by </w:t>
      </w:r>
      <w:r w:rsidR="00A70DC2">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fldChar w:fldCharType="end"/>
      </w:r>
      <w:r w:rsidRPr="00DF521A">
        <w:t xml:space="preserve"> are likely to better represent</w:t>
      </w:r>
      <w:r w:rsidR="004E3508">
        <w:t xml:space="preserve"> changes in rainfall and evapotranspiration projections due to</w:t>
      </w:r>
      <w:r w:rsidRPr="00DF521A">
        <w:t xml:space="preserve"> climate change projections</w:t>
      </w:r>
      <w:r w:rsidR="004E3508">
        <w:t>,</w:t>
      </w:r>
      <w:r w:rsidRPr="00DF521A">
        <w:t xml:space="preserve"> as currently understood</w:t>
      </w:r>
      <w:r w:rsidR="004E3508">
        <w:t>,</w:t>
      </w:r>
      <w:r w:rsidRPr="00DF521A">
        <w:t xml:space="preserve"> than the older climate projections adopted for WWS2008</w:t>
      </w:r>
      <w:r w:rsidR="00DF521A">
        <w:t>.</w:t>
      </w:r>
      <w:r w:rsidRPr="00DF521A">
        <w:t xml:space="preserve"> </w:t>
      </w:r>
      <w:r w:rsidR="004E3508">
        <w:t xml:space="preserve">However, </w:t>
      </w:r>
      <w:r w:rsidRPr="00DF521A">
        <w:t xml:space="preserve">the lumped conceptual rainfall runoff model structure adopted by </w:t>
      </w:r>
      <w:r w:rsidR="00A70DC2">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fldChar w:fldCharType="end"/>
      </w:r>
      <w:r w:rsidR="00A70DC2">
        <w:t xml:space="preserve"> </w:t>
      </w:r>
      <w:r w:rsidRPr="00DF521A">
        <w:t>probably does</w:t>
      </w:r>
      <w:r w:rsidR="00DF521A">
        <w:t xml:space="preserve"> </w:t>
      </w:r>
      <w:r w:rsidRPr="00DF521A">
        <w:t>n</w:t>
      </w:r>
      <w:r w:rsidR="00DF521A">
        <w:t>o</w:t>
      </w:r>
      <w:r w:rsidRPr="00DF521A">
        <w:t>t adequately represent spatial variations in AET and the relationsh</w:t>
      </w:r>
      <w:r>
        <w:t>ip with forest age</w:t>
      </w:r>
      <w:r w:rsidR="00DF521A">
        <w:t xml:space="preserve">. It </w:t>
      </w:r>
      <w:r>
        <w:t xml:space="preserve">therefore should be considered </w:t>
      </w:r>
      <w:r w:rsidR="009040AD">
        <w:t xml:space="preserve">as providing context to the simulations of logging impact, which were the main focus of their paper. </w:t>
      </w:r>
      <w:r w:rsidR="00A55D05" w:rsidRPr="00843FEE">
        <w:t>With regard to (c), WWS2008 considers total catchment water yield from the Thomson and all the study catchment</w:t>
      </w:r>
      <w:r w:rsidR="00D47872">
        <w:t>s</w:t>
      </w:r>
      <w:r w:rsidR="00A55D05" w:rsidRPr="00843FEE">
        <w:t xml:space="preserve"> because water yield from all parts of the catchment(s) </w:t>
      </w:r>
      <w:r w:rsidR="00A55D05" w:rsidRPr="00843FEE">
        <w:lastRenderedPageBreak/>
        <w:t>will be impacted by climate change and total catchment water yield can be verified using gauged streamflow data and water volume balances. By comparison, estimates of runoff from AWRA-L can be poor, when validated against gauged flows</w:t>
      </w:r>
      <w:r w:rsidR="00D47872">
        <w:t>,</w:t>
      </w:r>
      <w:r w:rsidR="00A55D05" w:rsidRPr="00843FEE">
        <w:t xml:space="preserve"> because AWRA-L adopts the same set of parameters across the whole of Australia, ignoring the particular vegetation and hydrological characteristics of the Thomson catchment. The uncertainty in AWRA-L modelled estimates of runoff for part of the catchment should be acknowledged when applying these as a basis for</w:t>
      </w:r>
      <w:r w:rsidR="00A55D05">
        <w:t xml:space="preserve"> comparison</w:t>
      </w:r>
      <w:r w:rsidR="00A55D05" w:rsidRPr="00843FEE">
        <w:t>.</w:t>
      </w:r>
    </w:p>
    <w:p w14:paraId="3A18E290" w14:textId="191778E5" w:rsidR="00022403" w:rsidRPr="00C6529B" w:rsidRDefault="002366B5" w:rsidP="005A188C">
      <w:pPr>
        <w:pStyle w:val="Para0"/>
        <w:pBdr>
          <w:top w:val="single" w:sz="4" w:space="1" w:color="auto"/>
          <w:left w:val="single" w:sz="4" w:space="4" w:color="auto"/>
          <w:bottom w:val="single" w:sz="4" w:space="1" w:color="auto"/>
          <w:right w:val="single" w:sz="4" w:space="4" w:color="auto"/>
        </w:pBdr>
      </w:pPr>
      <w:r>
        <w:rPr>
          <w:b/>
          <w:bCs/>
        </w:rPr>
        <w:t>In summary,</w:t>
      </w:r>
      <w:r w:rsidR="00022403" w:rsidRPr="00BE591E">
        <w:t xml:space="preserve"> Melbourne’s catchments experience a high degree of year to year variability, and are influenced by </w:t>
      </w:r>
      <w:r w:rsidR="00022403">
        <w:t>numerous ocean</w:t>
      </w:r>
      <w:r w:rsidR="00B54F0C">
        <w:rPr>
          <w:rFonts w:cs="Arial"/>
        </w:rPr>
        <w:t>–</w:t>
      </w:r>
      <w:r w:rsidR="00022403">
        <w:t xml:space="preserve">atmosphere mechanisms. </w:t>
      </w:r>
      <w:r w:rsidR="00022403" w:rsidRPr="00BE591E">
        <w:t xml:space="preserve">Observed trends in rainfall, temperature, </w:t>
      </w:r>
      <w:r w:rsidR="00022403">
        <w:t>CO</w:t>
      </w:r>
      <w:r w:rsidR="00022403" w:rsidRPr="00437C73">
        <w:rPr>
          <w:vertAlign w:val="subscript"/>
        </w:rPr>
        <w:t>2</w:t>
      </w:r>
      <w:r w:rsidR="00022403" w:rsidRPr="00BE591E">
        <w:t xml:space="preserve">, Hadley cell expansion, </w:t>
      </w:r>
      <w:r w:rsidR="00022403">
        <w:t xml:space="preserve">subtropical ridge, </w:t>
      </w:r>
      <w:r w:rsidR="00022403" w:rsidRPr="00BE591E">
        <w:t>storm track</w:t>
      </w:r>
      <w:r w:rsidR="00022403">
        <w:t xml:space="preserve"> and the Southern Annular Mode have significant impact</w:t>
      </w:r>
      <w:r w:rsidR="00447B78">
        <w:t>s</w:t>
      </w:r>
      <w:r w:rsidR="00022403">
        <w:t xml:space="preserve"> on the meteorology of Victoria</w:t>
      </w:r>
      <w:r w:rsidR="009040AD">
        <w:t xml:space="preserve">. </w:t>
      </w:r>
      <w:r w:rsidR="00022403">
        <w:t>K</w:t>
      </w:r>
      <w:r w:rsidR="00022403" w:rsidRPr="00BE591E">
        <w:t>ey areas of uncertainty are dec</w:t>
      </w:r>
      <w:r w:rsidR="00022403">
        <w:t>a</w:t>
      </w:r>
      <w:r w:rsidR="00022403" w:rsidRPr="00BE591E">
        <w:t xml:space="preserve">dal and lower frequency variability, and the strength </w:t>
      </w:r>
      <w:r w:rsidR="00022403">
        <w:t xml:space="preserve">and seasonality </w:t>
      </w:r>
      <w:r w:rsidR="00022403" w:rsidRPr="00BE591E">
        <w:t>of the future drying trend</w:t>
      </w:r>
      <w:r w:rsidR="00022403">
        <w:t>. O</w:t>
      </w:r>
      <w:r w:rsidR="00022403" w:rsidRPr="00BE591E">
        <w:t>bservations are currently tracking on the drier end of the projected distributi</w:t>
      </w:r>
      <w:r w:rsidR="00022403">
        <w:t>on</w:t>
      </w:r>
      <w:r w:rsidR="00022403" w:rsidRPr="00BE591E">
        <w:t xml:space="preserve">s </w:t>
      </w:r>
      <w:r w:rsidR="00022403">
        <w:t>of</w:t>
      </w:r>
      <w:r w:rsidR="00022403" w:rsidRPr="00BE591E">
        <w:t xml:space="preserve"> cool season rainfall</w:t>
      </w:r>
      <w:r w:rsidR="00022403">
        <w:t>. B</w:t>
      </w:r>
      <w:r w:rsidR="00022403" w:rsidRPr="00C6529B">
        <w:t xml:space="preserve">etter performing climate models project a drier future than the full ensemble of models. </w:t>
      </w:r>
    </w:p>
    <w:p w14:paraId="27F30F1C" w14:textId="32977100" w:rsidR="006156B7" w:rsidRDefault="00022403" w:rsidP="005A188C">
      <w:pPr>
        <w:pStyle w:val="Para0"/>
        <w:pBdr>
          <w:top w:val="single" w:sz="4" w:space="1" w:color="auto"/>
          <w:left w:val="single" w:sz="4" w:space="4" w:color="auto"/>
          <w:bottom w:val="single" w:sz="4" w:space="1" w:color="auto"/>
          <w:right w:val="single" w:sz="4" w:space="4" w:color="auto"/>
        </w:pBdr>
      </w:pPr>
      <w:r w:rsidRPr="00BE591E">
        <w:t xml:space="preserve">In a multidecadal context, there is a high degree of uncertainty about global </w:t>
      </w:r>
      <w:r w:rsidR="00447B78">
        <w:t xml:space="preserve">Greenhouse Gas </w:t>
      </w:r>
      <w:r w:rsidRPr="00BE591E">
        <w:t xml:space="preserve">mitigation and therefore future climate change, </w:t>
      </w:r>
      <w:r w:rsidR="00B54F0C">
        <w:t xml:space="preserve">and </w:t>
      </w:r>
      <w:r w:rsidRPr="00BE591E">
        <w:t xml:space="preserve">this is a substantial component of uncertainty </w:t>
      </w:r>
      <w:r w:rsidRPr="00BE591E">
        <w:fldChar w:fldCharType="begin" w:fldLock="1"/>
      </w:r>
      <w:r w:rsidR="00544257">
        <w:instrText>ADDIN CSL_CITATION {"citationItems":[{"id":"ITEM-1","itemData":{"DOI":"10.1175/2009BAMS2607.1","abstract":"Faced by the realities of a changing climate, decision makers in a wide variety of organizations are increasingly seeking quantitative predictions of regional and local climate. An important issue for these decision makers, and for organizations that fund climate research, is what is the potential for climate science to deliver improvements-especially reductions in uncertainty-in such predictions? Uncertainty in climate predictions arises from three distinct sources: internal variability, model uncertainty, and scenario uncertainty. Using data from a suite of climate models, we separate and quantify these sources. For predictions of changes in surface air temperature on decadal timescales and regional spatial scales, we show that uncertainty for the next few decades is dominated by sources (model uncertainty and internal variability) that are potentially reducible through progress in climate science. Furthermore, we find that model uncertainty is of greater importance than internal variability. Our findings have implications for managing adaptation to a changing climate. Because the costs of adaptation are very large, and greater uncertainty about future climate is likely to be associated with more expensive adaptation, reducing uncertainty in climate predictions is potentially of enormous economic value. We highlight the need for much more work to compare (a) the cost of various degrees of adaptation, given current levels of uncertainty and (b) the cost of new investments in climate science to reduce current levels of uncertainty. Our study also highlights the importance of targeting climate science investments on the most promising opportunities to reduce prediction uncertainty.","author":[{"dropping-particle":"","family":"Hawkins","given":"E","non-dropping-particle":"","parse-names":false,"suffix":""},{"dropping-particle":"","family":"Sutton","given":"R","non-dropping-particle":"","parse-names":false,"suffix":""}],"container-title":"Bulletin of the American Meteorological Society","id":"ITEM-1","issue":"8","issued":{"date-parts":[["2009","8"]]},"page":"1095-1107","publisher":"Amer Meteorological Soc","title":"The Potential To Narrow Uncertainty In Regional Climate Predictions","type":"article-journal","volume":"90"},"uris":["http://www.mendeley.com/documents/?uuid=b6339f7d-d8d2-48a2-b1fe-bfc5b082d6ec","http://www.mendeley.com/documents/?uuid=14163687-e1ba-466c-acf6-29bbfaf17abd","http://www.mendeley.com/documents/?uuid=5808896c-be8b-4b4a-a3a2-4709eb632793"]}],"mendeley":{"formattedCitation":"(Hawkins and Sutton, 2009)","plainTextFormattedCitation":"(Hawkins and Sutton, 2009)","previouslyFormattedCitation":"(Hawkins and Sutton, 2009)"},"properties":{"noteIndex":0},"schema":"https://github.com/citation-style-language/schema/raw/master/csl-citation.json"}</w:instrText>
      </w:r>
      <w:r w:rsidRPr="00BE591E">
        <w:fldChar w:fldCharType="separate"/>
      </w:r>
      <w:r w:rsidR="007416C7" w:rsidRPr="007416C7">
        <w:rPr>
          <w:noProof/>
        </w:rPr>
        <w:t>(Hawkins and Sutton, 2009)</w:t>
      </w:r>
      <w:r w:rsidRPr="00BE591E">
        <w:fldChar w:fldCharType="end"/>
      </w:r>
      <w:r>
        <w:t xml:space="preserve">. There also remains </w:t>
      </w:r>
      <w:r w:rsidRPr="00BE591E">
        <w:t xml:space="preserve">uncertainty </w:t>
      </w:r>
      <w:r w:rsidR="00761F48">
        <w:t>in</w:t>
      </w:r>
      <w:r w:rsidR="00761F48" w:rsidRPr="00BE591E">
        <w:t xml:space="preserve"> </w:t>
      </w:r>
      <w:r w:rsidRPr="00BE591E">
        <w:t xml:space="preserve">how vegetation and catchments respond to higher </w:t>
      </w:r>
      <w:r>
        <w:t>CO</w:t>
      </w:r>
      <w:r w:rsidRPr="00437C73">
        <w:rPr>
          <w:vertAlign w:val="subscript"/>
        </w:rPr>
        <w:t>2</w:t>
      </w:r>
      <w:r w:rsidRPr="00BE591E">
        <w:t xml:space="preserve">, changing rainfall, increasing temperatures, changing </w:t>
      </w:r>
      <w:r w:rsidR="00761F48">
        <w:t>potential evapotranspiration</w:t>
      </w:r>
      <w:r w:rsidRPr="00BE591E">
        <w:t xml:space="preserve">, and </w:t>
      </w:r>
      <w:r>
        <w:t xml:space="preserve">changes to the spatio-temporal patterns of </w:t>
      </w:r>
      <w:r w:rsidRPr="00BE591E">
        <w:t xml:space="preserve">meteorological </w:t>
      </w:r>
      <w:r>
        <w:t>variables</w:t>
      </w:r>
      <w:r w:rsidRPr="00BE591E">
        <w:t xml:space="preserve">. </w:t>
      </w:r>
      <w:r w:rsidR="00761F48">
        <w:t xml:space="preserve">However, declining rainfall and runoff are evident in observations and climate model simulations. </w:t>
      </w:r>
      <w:r w:rsidRPr="004E1BDA">
        <w:t>Although there remains a large degree of uncertainty</w:t>
      </w:r>
      <w:r w:rsidR="00761F48">
        <w:t xml:space="preserve"> in future projections</w:t>
      </w:r>
      <w:r w:rsidRPr="004E1BDA">
        <w:t xml:space="preserve">, </w:t>
      </w:r>
      <w:r>
        <w:t xml:space="preserve">further declines in </w:t>
      </w:r>
      <w:r w:rsidR="001834A2">
        <w:t>catchment water yield</w:t>
      </w:r>
      <w:r>
        <w:t xml:space="preserve"> </w:t>
      </w:r>
      <w:r w:rsidR="00761F48">
        <w:t xml:space="preserve">from </w:t>
      </w:r>
      <w:r>
        <w:t>Melbourne’s catchments are likely, due to climate change.</w:t>
      </w:r>
      <w:r w:rsidR="004F7267">
        <w:t xml:space="preserve"> </w:t>
      </w:r>
    </w:p>
    <w:p w14:paraId="010F0A06" w14:textId="77777777" w:rsidR="006156B7" w:rsidRDefault="006156B7" w:rsidP="006156B7">
      <w:pPr>
        <w:pStyle w:val="Para0"/>
      </w:pPr>
      <w:bookmarkStart w:id="51" w:name="_Toc36033095"/>
    </w:p>
    <w:p w14:paraId="29179AAE" w14:textId="4B727569" w:rsidR="00FD023D" w:rsidRDefault="00FD023D" w:rsidP="006156B7">
      <w:pPr>
        <w:pStyle w:val="Heading2"/>
      </w:pPr>
      <w:r>
        <w:t>Reassessment of model calibration with additional data</w:t>
      </w:r>
      <w:bookmarkEnd w:id="51"/>
    </w:p>
    <w:p w14:paraId="19AA99C4" w14:textId="6DF6A805" w:rsidR="00066AA1" w:rsidRDefault="00066AA1" w:rsidP="00066AA1">
      <w:pPr>
        <w:pStyle w:val="Para0"/>
      </w:pPr>
      <w:r>
        <w:t xml:space="preserve">The Macaque model calibrations employed split-sample fitting and validation, which demonstrated that the calibrations were relatively robust to variations in climatic conditions across the calibration periods that were available at the time of </w:t>
      </w:r>
      <w:r w:rsidR="00E80142" w:rsidRPr="00E80142">
        <w:t>WWS2008</w:t>
      </w:r>
      <w:r>
        <w:t xml:space="preserve">. “Satisfactory”, “Good” or “Very Good” calibrations were achieved for most of the other catchments for the calibration and validation periods, when assessed against the </w:t>
      </w:r>
      <w:r>
        <w:fldChar w:fldCharType="begin" w:fldLock="1"/>
      </w:r>
      <w:r w:rsidR="007416C7">
        <w:instrText>ADDIN CSL_CITATION {"citationItems":[{"id":"ITEM-1","itemData":{"author":[{"dropping-particle":"","family":"Moriasi","given":"D. N.","non-dropping-particle":"","parse-names":false,"suffix":""},{"dropping-particle":"","family":"Arnold","given":"J. G.","non-dropping-particle":"","parse-names":false,"suffix":""},{"dropping-particle":"","family":"Liew","given":"M. W.","non-dropping-particle":"Van","parse-names":false,"suffix":""},{"dropping-particle":"","family":"Bingner","given":"R. L.","non-dropping-particle":"","parse-names":false,"suffix":""},{"dropping-particle":"","family":"Harmel","given":"R. D.","non-dropping-particle":"","parse-names":false,"suffix":""},{"dropping-particle":"","family":"Veith","given":"T. L.","non-dropping-particle":"","parse-names":false,"suffix":""}],"container-title":"American Society of Agricultural and Biological Engineers","id":"ITEM-1","issue":"3","issued":{"date-parts":[["2007"]]},"page":"885-900","title":"Model evaluation guidelines for systematic quantification of accuracy in watershed simulations","type":"article-journal","volume":"50"},"uris":["http://www.mendeley.com/documents/?uuid=2d4b2f63-caa3-444c-a7ff-b4d5cc2c6543"]}],"mendeley":{"formattedCitation":"(Moriasi &lt;i&gt;et al.&lt;/i&gt;, 2007)","manualFormatting":"Moriasi et al. (2007)","plainTextFormattedCitation":"(Moriasi et al., 2007)","previouslyFormattedCitation":"(Moriasi &lt;i&gt;et al.&lt;/i&gt;, 2007)"},"properties":{"noteIndex":0},"schema":"https://github.com/citation-style-language/schema/raw/master/csl-citation.json"}</w:instrText>
      </w:r>
      <w:r>
        <w:fldChar w:fldCharType="separate"/>
      </w:r>
      <w:r w:rsidRPr="00066AA1">
        <w:rPr>
          <w:noProof/>
        </w:rPr>
        <w:t xml:space="preserve">Moriasi </w:t>
      </w:r>
      <w:r w:rsidR="001C1F9A" w:rsidRPr="001C1F9A">
        <w:rPr>
          <w:i/>
          <w:iCs/>
          <w:noProof/>
        </w:rPr>
        <w:t>et al.</w:t>
      </w:r>
      <w:r w:rsidRPr="005E3238">
        <w:rPr>
          <w:iCs/>
          <w:noProof/>
        </w:rPr>
        <w:t xml:space="preserve"> (</w:t>
      </w:r>
      <w:r w:rsidRPr="00066AA1">
        <w:rPr>
          <w:noProof/>
        </w:rPr>
        <w:t>2007)</w:t>
      </w:r>
      <w:r>
        <w:fldChar w:fldCharType="end"/>
      </w:r>
      <w:r>
        <w:t xml:space="preserve"> criteria</w:t>
      </w:r>
      <w:r w:rsidR="00CE1D6F">
        <w:t xml:space="preserve"> (refer to Table 6, this review)</w:t>
      </w:r>
      <w:r>
        <w:t>. Model calibration was “Unsatisfactory” on some of the performance stati</w:t>
      </w:r>
      <w:r w:rsidR="00B5767D">
        <w:t>stics, for the Bunyip catchment, as the Macaque model under-estimated flows prior to about 1968 and then over-estimated flows for 1969</w:t>
      </w:r>
      <w:r w:rsidR="006666A3">
        <w:rPr>
          <w:rFonts w:cs="Arial"/>
        </w:rPr>
        <w:t>–</w:t>
      </w:r>
      <w:r w:rsidR="00B5767D">
        <w:t>1987.</w:t>
      </w:r>
    </w:p>
    <w:p w14:paraId="7756EC2C" w14:textId="0EE61B9D" w:rsidR="00066AA1" w:rsidRDefault="00B5767D" w:rsidP="00FD023D">
      <w:pPr>
        <w:pStyle w:val="Para0"/>
      </w:pPr>
      <w:r>
        <w:t xml:space="preserve">As shown in </w:t>
      </w:r>
      <w:r>
        <w:fldChar w:fldCharType="begin"/>
      </w:r>
      <w:r>
        <w:instrText xml:space="preserve"> REF _Ref24478097 \h </w:instrText>
      </w:r>
      <w:r>
        <w:fldChar w:fldCharType="separate"/>
      </w:r>
      <w:r w:rsidR="00062E08">
        <w:t xml:space="preserve">Figure </w:t>
      </w:r>
      <w:r w:rsidR="00062E08">
        <w:rPr>
          <w:noProof/>
        </w:rPr>
        <w:t>12</w:t>
      </w:r>
      <w:r>
        <w:fldChar w:fldCharType="end"/>
      </w:r>
      <w:r>
        <w:t xml:space="preserve">, </w:t>
      </w:r>
      <w:r w:rsidR="00CC1D7A">
        <w:t xml:space="preserve">by now </w:t>
      </w:r>
      <w:r>
        <w:t>considerabl</w:t>
      </w:r>
      <w:r w:rsidR="00CC1D7A">
        <w:t xml:space="preserve">y more years </w:t>
      </w:r>
      <w:r>
        <w:t>of gauged flow record</w:t>
      </w:r>
      <w:r w:rsidR="00CC1D7A">
        <w:t>s are</w:t>
      </w:r>
      <w:r>
        <w:t xml:space="preserve"> likely to be available for calibrating future models than </w:t>
      </w:r>
      <w:r w:rsidR="00CC1D7A">
        <w:t xml:space="preserve">were </w:t>
      </w:r>
      <w:r>
        <w:t xml:space="preserve">available to </w:t>
      </w:r>
      <w:r>
        <w:fldChar w:fldCharType="begin" w:fldLock="1"/>
      </w:r>
      <w:r w:rsidR="00544257">
        <w:instrText>ADDIN CSL_CITATION {"citationItems":[{"id":"ITEM-1","itemData":{"author":[{"dropping-particle":"","family":"Feikema","given":"Paul","non-dropping-particle":"","parse-names":false,"suffix":""},{"dropping-particle":"","family":"Lane","given":"Patrick","non-dropping-particle":"","parse-names":false,"suffix":""},{"dropping-particle":"","family":"Peel","given":"Murray","non-dropping-particle":"","parse-names":false,"suffix":""},{"dropping-particle":"","family":"Sherwin","given":"Chris","non-dropping-particle":"","parse-names":false,"suffix":""},{"dropping-particle":"","family":"Freebairn","given":"Andrew","non-dropping-particle":"","parse-names":false,"suffix":""},{"dropping-particle":"","family":"Salkin","given":"Owen","non-dropping-particle":"","parse-names":false,"suffix":""}],"id":"ITEM-1","issued":{"date-parts":[["2006"]]},"number-of-pages":"119","title":"Hydrological studies into the impact of timber harvesting on water yield in state forests supplying water to Melbourne – Part 1 of Hydrological studies","type":"report"},"uris":["http://www.mendeley.com/documents/?uuid=185559a6-5efc-4614-b9f8-1a239b325832"]}],"mendeley":{"formattedCitation":"(Feikema &lt;i&gt;et al.&lt;/i&gt;, 2006)","manualFormatting":"Feikema et al. (2006)","plainTextFormattedCitation":"(Feikema et al., 2006)","previouslyFormattedCitation":"(Feikema &lt;i&gt;et al.&lt;/i&gt;, 2006)"},"properties":{"noteIndex":0},"schema":"https://github.com/citation-style-language/schema/raw/master/csl-citation.json"}</w:instrText>
      </w:r>
      <w:r>
        <w:fldChar w:fldCharType="separate"/>
      </w:r>
      <w:r w:rsidRPr="00B5767D">
        <w:rPr>
          <w:noProof/>
        </w:rPr>
        <w:t xml:space="preserve">Feikema </w:t>
      </w:r>
      <w:r w:rsidR="001C1F9A" w:rsidRPr="001C1F9A">
        <w:rPr>
          <w:i/>
          <w:iCs/>
          <w:noProof/>
        </w:rPr>
        <w:t>et al.</w:t>
      </w:r>
      <w:r w:rsidRPr="005E3238">
        <w:rPr>
          <w:iCs/>
          <w:noProof/>
        </w:rPr>
        <w:t xml:space="preserve"> </w:t>
      </w:r>
      <w:r>
        <w:rPr>
          <w:noProof/>
        </w:rPr>
        <w:t>(</w:t>
      </w:r>
      <w:r w:rsidRPr="00B5767D">
        <w:rPr>
          <w:noProof/>
        </w:rPr>
        <w:t>2006)</w:t>
      </w:r>
      <w:r>
        <w:fldChar w:fldCharType="end"/>
      </w:r>
      <w:r>
        <w:t xml:space="preserve">. Water resources system models for the Thomson, Tarago and Bunyip systems should have monthly inflow time series, based upon volume balances for the reservoirs, which would allow for considerably longer periods for calibration. Extending the period available for calibration and validation of the catchment models should provide increased confidence in the robustness of the </w:t>
      </w:r>
      <w:r>
        <w:lastRenderedPageBreak/>
        <w:t>model calibration</w:t>
      </w:r>
      <w:r w:rsidR="00E90074">
        <w:t>,</w:t>
      </w:r>
      <w:r>
        <w:t xml:space="preserve"> and allow for more accurately defined assessments of uncertainty of the model predictions.</w:t>
      </w:r>
    </w:p>
    <w:p w14:paraId="30695791" w14:textId="17E2DFED" w:rsidR="00B5767D" w:rsidRDefault="00B5767D" w:rsidP="00FD023D">
      <w:pPr>
        <w:pStyle w:val="Para0"/>
      </w:pPr>
      <w:r>
        <w:t xml:space="preserve">Analysis of streamflows from several catchments after </w:t>
      </w:r>
      <w:r w:rsidR="00E90074">
        <w:t xml:space="preserve">the </w:t>
      </w:r>
      <w:r>
        <w:t>Millennium drought has revealed variations in catchment response across Victoria. Several Victorian catchments have shown e</w:t>
      </w:r>
      <w:r w:rsidR="001245B3">
        <w:t>vidence of a change in rainfall</w:t>
      </w:r>
      <w:r w:rsidR="001245B3">
        <w:noBreakHyphen/>
      </w:r>
      <w:r>
        <w:t>runoff response, with streamflows not recover</w:t>
      </w:r>
      <w:r w:rsidR="00CC1D7A">
        <w:t>ing</w:t>
      </w:r>
      <w:r>
        <w:t xml:space="preserve"> as much as would have been expected given rainfalls recorded since 2009</w:t>
      </w:r>
      <w:r w:rsidR="0060516B">
        <w:t xml:space="preserve"> </w:t>
      </w:r>
      <w:r w:rsidR="0060516B">
        <w:fldChar w:fldCharType="begin" w:fldLock="1"/>
      </w:r>
      <w:r w:rsidR="00544257">
        <w:instrText>ADDIN CSL_CITATION {"citationItems":[{"id":"ITEM-1","itemData":{"DOI":"10.1002/2015GL067326","ISSN":"19448007","abstract":"Demand for quantitative assessments of likely climate change impact on runoff is increasing and conceptual rainfall-runoff models are essential tools for this task. However, the capacity of these models to extrapolate under changing climatic conditions is questionable. A number of studies have found that model predictive skill decreases with changed climatic conditions, especially when predicting drier climates. We found that model skill only declines under certain circumstances, in particular, when a catchment's rainfall-runoff processes change due to changed climatic drivers. In catchments where the rainfall-runoff relationship changed significantly in response to prolonged dry conditions, runoff was consistently overestimated. In contrast, modeled runoff was unbiased in catchments where the rainfall-runoff relationship remained unchanged during the dry period. These conclusions were not model dependent. Our results suggest that current projections of runoff under climate change may provide overly optimistic assessments of future water availability in some regions expecting rainfall reductions.","author":[{"dropping-particle":"","family":"Saft","given":"Margarita","non-dropping-particle":"","parse-names":false,"suffix":""},{"dropping-particle":"","family":"Peel","given":"Murray C.","non-dropping-particle":"","parse-names":false,"suffix":""},{"dropping-particle":"","family":"Western","given":"Andrew W.","non-dropping-particle":"","parse-names":false,"suffix":""},{"dropping-particle":"","family":"Perraud","given":"Jean Michel","non-dropping-particle":"","parse-names":false,"suffix":""},{"dropping-particle":"","family":"Zhang","given":"Lu","non-dropping-particle":"","parse-names":false,"suffix":""}],"container-title":"Geophysical Research Letters","id":"ITEM-1","issue":"4","issued":{"date-parts":[["2016"]]},"page":"1574-1581","title":"Bias in streamflow projections due to climate-induced shifts in catchment response","type":"article-journal","volume":"43"},"uris":["http://www.mendeley.com/documents/?uuid=d233a3c0-fbba-49ec-a9c1-51515edadbec"]},{"id":"ITEM-2","itemData":{"author":[{"dropping-particle":"","family":"Tan","given":"KS","non-dropping-particle":"","parse-names":false,"suffix":""},{"dropping-particle":"","family":"Neal","given":"Brad","non-dropping-particle":"","parse-names":false,"suffix":""}],"container-title":"Hydrology and Water Resources Symposium (HWRS 2018): Water and Communities","id":"ITEM-2","issued":{"date-parts":[["2018"]]},"title":"Changes in annual rainfall-runoff responses in Melbourne's major water supply catchments","type":"paper-conference"},"uris":["http://www.mendeley.com/documents/?uuid=8a8e744e-89e8-4b16-b973-d99387860a76","http://www.mendeley.com/documents/?uuid=f74b449b-4bd5-42b8-aa66-fae79eb112b5","http://www.mendeley.com/documents/?uuid=c425cb81-91e1-4af8-8072-05d7d989ed67"]}],"mendeley":{"formattedCitation":"(Saft &lt;i&gt;et al.&lt;/i&gt;, 2016a; Tan and Neal, 2018)","plainTextFormattedCitation":"(Saft et al., 2016a; Tan and Neal, 2018)","previouslyFormattedCitation":"(Saft &lt;i&gt;et al.&lt;/i&gt;, 2016a; Tan and Neal, 2018)"},"properties":{"noteIndex":0},"schema":"https://github.com/citation-style-language/schema/raw/master/csl-citation.json"}</w:instrText>
      </w:r>
      <w:r w:rsidR="0060516B">
        <w:fldChar w:fldCharType="separate"/>
      </w:r>
      <w:r w:rsidR="007416C7" w:rsidRPr="007416C7">
        <w:rPr>
          <w:noProof/>
        </w:rPr>
        <w:t xml:space="preserve">(Saft </w:t>
      </w:r>
      <w:r w:rsidR="007416C7" w:rsidRPr="007416C7">
        <w:rPr>
          <w:i/>
          <w:noProof/>
        </w:rPr>
        <w:t>et al.</w:t>
      </w:r>
      <w:r w:rsidR="007416C7" w:rsidRPr="007416C7">
        <w:rPr>
          <w:noProof/>
        </w:rPr>
        <w:t>, 2016a; Tan and Neal, 2018)</w:t>
      </w:r>
      <w:r w:rsidR="0060516B">
        <w:fldChar w:fldCharType="end"/>
      </w:r>
      <w:r>
        <w:t xml:space="preserve">. </w:t>
      </w:r>
      <w:r w:rsidR="00277880">
        <w:t>F</w:t>
      </w:r>
      <w:r>
        <w:t xml:space="preserve">uture modelling </w:t>
      </w:r>
      <w:r w:rsidR="00277880">
        <w:t xml:space="preserve">should </w:t>
      </w:r>
      <w:r w:rsidR="00D07294">
        <w:t>make use of</w:t>
      </w:r>
      <w:r>
        <w:t xml:space="preserve"> </w:t>
      </w:r>
      <w:r w:rsidR="00D07294">
        <w:t xml:space="preserve">additional streamflow </w:t>
      </w:r>
      <w:r w:rsidR="001245B3">
        <w:t>data sets</w:t>
      </w:r>
      <w:r w:rsidR="00CC1D7A">
        <w:t xml:space="preserve"> </w:t>
      </w:r>
      <w:r w:rsidR="00D07294">
        <w:t>a</w:t>
      </w:r>
      <w:r w:rsidR="00090FFF">
        <w:t>vailable</w:t>
      </w:r>
      <w:r w:rsidR="00D07294">
        <w:t xml:space="preserve"> for </w:t>
      </w:r>
      <w:r>
        <w:t xml:space="preserve">calibration </w:t>
      </w:r>
      <w:r w:rsidR="00D07294">
        <w:t>and evaluation. In</w:t>
      </w:r>
      <w:r>
        <w:t xml:space="preserve"> </w:t>
      </w:r>
      <w:r w:rsidR="00D07294">
        <w:t xml:space="preserve">particular, it may be important </w:t>
      </w:r>
      <w:r>
        <w:t xml:space="preserve">to </w:t>
      </w:r>
      <w:r w:rsidR="00D07294">
        <w:t xml:space="preserve">evaluate </w:t>
      </w:r>
      <w:r>
        <w:t>the models</w:t>
      </w:r>
      <w:r w:rsidR="00D07294">
        <w:t>’ capability in</w:t>
      </w:r>
      <w:r>
        <w:t xml:space="preserve"> adequately captur</w:t>
      </w:r>
      <w:r w:rsidR="00D07294">
        <w:t>ing</w:t>
      </w:r>
      <w:r w:rsidR="001245B3">
        <w:t xml:space="preserve"> changes in the rainfall</w:t>
      </w:r>
      <w:r w:rsidR="001245B3">
        <w:noBreakHyphen/>
      </w:r>
      <w:r>
        <w:t xml:space="preserve">runoff generation response under long-term </w:t>
      </w:r>
      <w:r w:rsidR="000D3664">
        <w:t>climatic variations and change.</w:t>
      </w:r>
    </w:p>
    <w:p w14:paraId="58ED9594" w14:textId="75B5450F" w:rsidR="00A10554" w:rsidRDefault="00A10554" w:rsidP="00A10554">
      <w:pPr>
        <w:pStyle w:val="Para0"/>
        <w:pBdr>
          <w:top w:val="single" w:sz="4" w:space="1" w:color="auto"/>
          <w:left w:val="single" w:sz="4" w:space="4" w:color="auto"/>
          <w:bottom w:val="single" w:sz="4" w:space="1" w:color="auto"/>
          <w:right w:val="single" w:sz="4" w:space="4" w:color="auto"/>
        </w:pBdr>
        <w:spacing w:after="360"/>
      </w:pPr>
      <w:r w:rsidRPr="000A6466">
        <w:rPr>
          <w:b/>
          <w:bCs/>
        </w:rPr>
        <w:t>In summary</w:t>
      </w:r>
      <w:r w:rsidRPr="001245B3">
        <w:rPr>
          <w:b/>
          <w:bCs/>
        </w:rPr>
        <w:t>,</w:t>
      </w:r>
      <w:r>
        <w:t xml:space="preserve"> any new modelling of </w:t>
      </w:r>
      <w:r w:rsidR="001834A2">
        <w:t>catchment water yield</w:t>
      </w:r>
      <w:r>
        <w:t xml:space="preserve"> from Melbourne’s catchments </w:t>
      </w:r>
      <w:r w:rsidRPr="00A10554">
        <w:t xml:space="preserve">should include re-calibration to the longer streamflow data sets that are now available, particularly to confirm that the models can adequately </w:t>
      </w:r>
      <w:r w:rsidR="001245B3">
        <w:t>capture changes in the rainfall</w:t>
      </w:r>
      <w:r w:rsidR="001245B3">
        <w:noBreakHyphen/>
      </w:r>
      <w:r w:rsidRPr="00A10554">
        <w:t>runoff generation response under long-term climatic variations and climate change</w:t>
      </w:r>
      <w:r>
        <w:t>.</w:t>
      </w:r>
    </w:p>
    <w:p w14:paraId="6A9094E0" w14:textId="77777777" w:rsidR="00FD023D" w:rsidRDefault="00FD023D" w:rsidP="00FD023D">
      <w:pPr>
        <w:pStyle w:val="Para0"/>
        <w:keepNext/>
      </w:pPr>
      <w:r>
        <w:rPr>
          <w:noProof/>
          <w:lang w:val="en-AU" w:eastAsia="en-AU"/>
        </w:rPr>
        <w:drawing>
          <wp:inline distT="0" distB="0" distL="0" distR="0" wp14:anchorId="5BAED7B1" wp14:editId="5D958FE5">
            <wp:extent cx="5579836" cy="182859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nt_Chart_WWS2008_03.wmf"/>
                    <pic:cNvPicPr/>
                  </pic:nvPicPr>
                  <pic:blipFill rotWithShape="1">
                    <a:blip r:embed="rId50" cstate="print">
                      <a:extLst>
                        <a:ext uri="{28A0092B-C50C-407E-A947-70E740481C1C}">
                          <a14:useLocalDpi xmlns:a14="http://schemas.microsoft.com/office/drawing/2010/main" val="0"/>
                        </a:ext>
                      </a:extLst>
                    </a:blip>
                    <a:srcRect t="7876" b="46243"/>
                    <a:stretch/>
                  </pic:blipFill>
                  <pic:spPr bwMode="auto">
                    <a:xfrm>
                      <a:off x="0" y="0"/>
                      <a:ext cx="5580380" cy="1828769"/>
                    </a:xfrm>
                    <a:prstGeom prst="rect">
                      <a:avLst/>
                    </a:prstGeom>
                    <a:ln>
                      <a:noFill/>
                    </a:ln>
                    <a:extLst>
                      <a:ext uri="{53640926-AAD7-44D8-BBD7-CCE9431645EC}">
                        <a14:shadowObscured xmlns:a14="http://schemas.microsoft.com/office/drawing/2010/main"/>
                      </a:ext>
                    </a:extLst>
                  </pic:spPr>
                </pic:pic>
              </a:graphicData>
            </a:graphic>
          </wp:inline>
        </w:drawing>
      </w:r>
    </w:p>
    <w:p w14:paraId="47AC55A7" w14:textId="77777777" w:rsidR="00FD023D" w:rsidRDefault="00FD023D" w:rsidP="00FD023D">
      <w:pPr>
        <w:pStyle w:val="Para0"/>
        <w:keepNext/>
      </w:pPr>
      <w:r>
        <w:rPr>
          <w:noProof/>
          <w:lang w:val="en-AU" w:eastAsia="en-AU"/>
        </w:rPr>
        <w:drawing>
          <wp:inline distT="0" distB="0" distL="0" distR="0" wp14:anchorId="4DBE38EE" wp14:editId="159ADC27">
            <wp:extent cx="5580208" cy="1842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nt_Chart_WWSreview2019_03.wmf"/>
                    <pic:cNvPicPr/>
                  </pic:nvPicPr>
                  <pic:blipFill rotWithShape="1">
                    <a:blip r:embed="rId51" cstate="print">
                      <a:extLst>
                        <a:ext uri="{28A0092B-C50C-407E-A947-70E740481C1C}">
                          <a14:useLocalDpi xmlns:a14="http://schemas.microsoft.com/office/drawing/2010/main" val="0"/>
                        </a:ext>
                      </a:extLst>
                    </a:blip>
                    <a:srcRect t="8218" b="45556"/>
                    <a:stretch/>
                  </pic:blipFill>
                  <pic:spPr bwMode="auto">
                    <a:xfrm>
                      <a:off x="0" y="0"/>
                      <a:ext cx="5580380" cy="1842505"/>
                    </a:xfrm>
                    <a:prstGeom prst="rect">
                      <a:avLst/>
                    </a:prstGeom>
                    <a:ln>
                      <a:noFill/>
                    </a:ln>
                    <a:extLst>
                      <a:ext uri="{53640926-AAD7-44D8-BBD7-CCE9431645EC}">
                        <a14:shadowObscured xmlns:a14="http://schemas.microsoft.com/office/drawing/2010/main"/>
                      </a:ext>
                    </a:extLst>
                  </pic:spPr>
                </pic:pic>
              </a:graphicData>
            </a:graphic>
          </wp:inline>
        </w:drawing>
      </w:r>
    </w:p>
    <w:p w14:paraId="395EC04F" w14:textId="3164D49A" w:rsidR="00FD023D" w:rsidRDefault="00FD023D" w:rsidP="00FD023D">
      <w:pPr>
        <w:pStyle w:val="Caption"/>
        <w:keepNext w:val="0"/>
      </w:pPr>
      <w:bookmarkStart w:id="52" w:name="_Ref24478097"/>
      <w:r>
        <w:t xml:space="preserve">Figure </w:t>
      </w:r>
      <w:r>
        <w:fldChar w:fldCharType="begin"/>
      </w:r>
      <w:r>
        <w:instrText xml:space="preserve"> SEQ Figure \* ARABIC </w:instrText>
      </w:r>
      <w:r>
        <w:fldChar w:fldCharType="separate"/>
      </w:r>
      <w:r w:rsidR="00062E08">
        <w:rPr>
          <w:noProof/>
        </w:rPr>
        <w:t>12</w:t>
      </w:r>
      <w:r>
        <w:fldChar w:fldCharType="end"/>
      </w:r>
      <w:bookmarkEnd w:id="52"/>
      <w:r>
        <w:t xml:space="preserve"> Gantt chart showing periods of observed streamflow (top) that were used in WWS2008 (Feikema </w:t>
      </w:r>
      <w:r w:rsidR="001C1F9A" w:rsidRPr="001C1F9A">
        <w:rPr>
          <w:i/>
        </w:rPr>
        <w:t>et al.</w:t>
      </w:r>
      <w:r>
        <w:t>, 2006) to calibrate the Macaque models</w:t>
      </w:r>
      <w:r w:rsidR="00980C6E">
        <w:t>,</w:t>
      </w:r>
      <w:r>
        <w:t xml:space="preserve"> and (bottom) that should now be available for calibration of future models</w:t>
      </w:r>
    </w:p>
    <w:p w14:paraId="2A7FCD85" w14:textId="15030996" w:rsidR="00190D36" w:rsidRDefault="00F61666" w:rsidP="00A911ED">
      <w:pPr>
        <w:pStyle w:val="Heading2"/>
      </w:pPr>
      <w:bookmarkStart w:id="53" w:name="_Ref24445415"/>
      <w:bookmarkStart w:id="54" w:name="_Toc36033096"/>
      <w:r>
        <w:lastRenderedPageBreak/>
        <w:t>Development of improved modelling approaches</w:t>
      </w:r>
      <w:bookmarkEnd w:id="53"/>
      <w:bookmarkEnd w:id="54"/>
    </w:p>
    <w:p w14:paraId="13262330" w14:textId="2E9C1A25" w:rsidR="00D556E8" w:rsidRDefault="00D556E8" w:rsidP="00FA1F1A">
      <w:pPr>
        <w:pStyle w:val="Para0"/>
      </w:pPr>
      <w:r>
        <w:t>Future studies should quantify how climate variability and climate change, timber harvesting and bushfires combine to influence the</w:t>
      </w:r>
      <w:r w:rsidR="00DF614F">
        <w:t xml:space="preserve"> runoff from catchments and hence the</w:t>
      </w:r>
      <w:r>
        <w:t xml:space="preserve"> volumes of water that </w:t>
      </w:r>
      <w:r w:rsidR="00DD5F47">
        <w:t xml:space="preserve">need to be </w:t>
      </w:r>
      <w:r w:rsidR="005170AC">
        <w:t>supplied from other sources</w:t>
      </w:r>
      <w:r>
        <w:t xml:space="preserve">. </w:t>
      </w:r>
      <w:r w:rsidR="008D6E6A">
        <w:t>Such</w:t>
      </w:r>
      <w:r>
        <w:t xml:space="preserve"> modelling </w:t>
      </w:r>
      <w:r w:rsidR="00DD5F47">
        <w:t xml:space="preserve">should </w:t>
      </w:r>
      <w:r w:rsidR="008D6E6A">
        <w:t xml:space="preserve">be able to </w:t>
      </w:r>
      <w:r>
        <w:t xml:space="preserve">produce projections of </w:t>
      </w:r>
      <w:r w:rsidR="001834A2">
        <w:t>catchment water yield</w:t>
      </w:r>
      <w:r>
        <w:t>, for a range of scenarios, for 250 years, in order to capture the time for ash-type forests to reach full maturity.</w:t>
      </w:r>
    </w:p>
    <w:p w14:paraId="3920A86D" w14:textId="0515A433" w:rsidR="00D556E8" w:rsidRDefault="008D6E6A" w:rsidP="00D556E8">
      <w:pPr>
        <w:pStyle w:val="Para0"/>
      </w:pPr>
      <w:r>
        <w:t xml:space="preserve">A revised </w:t>
      </w:r>
      <w:r w:rsidR="00D556E8">
        <w:t xml:space="preserve">modelling approach </w:t>
      </w:r>
      <w:r>
        <w:t>could consider</w:t>
      </w:r>
      <w:r w:rsidR="00D556E8">
        <w:t>:</w:t>
      </w:r>
    </w:p>
    <w:p w14:paraId="34EA3C15" w14:textId="62A30D77" w:rsidR="00D556E8" w:rsidRDefault="00D556E8" w:rsidP="00C95629">
      <w:pPr>
        <w:pStyle w:val="Para0bullet"/>
        <w:numPr>
          <w:ilvl w:val="0"/>
          <w:numId w:val="22"/>
        </w:numPr>
      </w:pPr>
      <w:r>
        <w:t>spatial variation in terrain, species type, forest age, soils, geology and climate across the forested catchments</w:t>
      </w:r>
      <w:r w:rsidR="00980C6E">
        <w:t>,</w:t>
      </w:r>
    </w:p>
    <w:p w14:paraId="244883F2" w14:textId="35A3C8BF" w:rsidR="00D02F54" w:rsidRDefault="00D02F54" w:rsidP="00C95629">
      <w:pPr>
        <w:pStyle w:val="Para0bullet"/>
        <w:numPr>
          <w:ilvl w:val="0"/>
          <w:numId w:val="22"/>
        </w:numPr>
      </w:pPr>
      <w:r>
        <w:t>revision to the algorithms used to spatially interpolate climate</w:t>
      </w:r>
      <w:r w:rsidR="00DD5F47">
        <w:t>-</w:t>
      </w:r>
      <w:r>
        <w:t>forcing data, including precipitation, temperature, solar radiation, wind speed and relative humidity, across the forested catchments,</w:t>
      </w:r>
    </w:p>
    <w:p w14:paraId="190FCD58" w14:textId="641FFEF6" w:rsidR="00D556E8" w:rsidRDefault="00D556E8" w:rsidP="00C95629">
      <w:pPr>
        <w:pStyle w:val="Para0bullet"/>
        <w:numPr>
          <w:ilvl w:val="0"/>
          <w:numId w:val="22"/>
        </w:numPr>
      </w:pPr>
      <w:r>
        <w:t>the natural climate variability using a sufficiently large number of randomly generated climate sequences that accurately characterise the scale of observed natural climate variability</w:t>
      </w:r>
      <w:r w:rsidR="00980C6E">
        <w:t>,</w:t>
      </w:r>
    </w:p>
    <w:p w14:paraId="0E456909" w14:textId="3A851E7A" w:rsidR="00D556E8" w:rsidRDefault="00D556E8" w:rsidP="00C95629">
      <w:pPr>
        <w:pStyle w:val="Para0bullet"/>
        <w:numPr>
          <w:ilvl w:val="0"/>
          <w:numId w:val="22"/>
        </w:numPr>
      </w:pPr>
      <w:r>
        <w:t>the projected influence of climate change on the randomly generated future climate sequences, using approaches that are consistent with the latest projections from the Intergovernmental Panel on Climate Change (IPCC) and the Victorian Water and Climate Initiative (VicWaCI)</w:t>
      </w:r>
      <w:r w:rsidR="00980C6E">
        <w:t>,</w:t>
      </w:r>
    </w:p>
    <w:p w14:paraId="17DB3D5D" w14:textId="1FEEF282" w:rsidR="00D556E8" w:rsidRDefault="00D556E8" w:rsidP="00C95629">
      <w:pPr>
        <w:pStyle w:val="Para0bullet"/>
        <w:numPr>
          <w:ilvl w:val="0"/>
          <w:numId w:val="22"/>
        </w:numPr>
      </w:pPr>
      <w:r>
        <w:t>the range of possible future bushfires across the catchments, by representing a range of randomly generated bushfires that vary in spatial extent and severity, whose frequency is dependent on stochastic climate factors</w:t>
      </w:r>
      <w:r w:rsidR="00980C6E">
        <w:t>,</w:t>
      </w:r>
      <w:r>
        <w:t xml:space="preserve"> </w:t>
      </w:r>
    </w:p>
    <w:p w14:paraId="50CDCA03" w14:textId="2CDA23F1" w:rsidR="00D556E8" w:rsidRDefault="00D556E8" w:rsidP="00C95629">
      <w:pPr>
        <w:pStyle w:val="Para0bullet"/>
        <w:numPr>
          <w:ilvl w:val="0"/>
          <w:numId w:val="22"/>
        </w:numPr>
      </w:pPr>
      <w:r>
        <w:t>various scenarios for timber harvesting regimes (including cessation of timber harvesting in some or all catchments)</w:t>
      </w:r>
      <w:r w:rsidR="00980C6E">
        <w:t>.</w:t>
      </w:r>
    </w:p>
    <w:p w14:paraId="01CBBBE5" w14:textId="77777777" w:rsidR="00D556E8" w:rsidRDefault="00D556E8" w:rsidP="00D556E8">
      <w:pPr>
        <w:pStyle w:val="Para0"/>
      </w:pPr>
      <w:r>
        <w:t>In addition, the analysis and overall modelling approach could also consider, to the extent that they are relevant to the key outcomes from the study:</w:t>
      </w:r>
    </w:p>
    <w:p w14:paraId="7FF3FBC1" w14:textId="47A1AFAA" w:rsidR="00D556E8" w:rsidRDefault="00D556E8" w:rsidP="00C95629">
      <w:pPr>
        <w:pStyle w:val="Para0bullet"/>
        <w:numPr>
          <w:ilvl w:val="0"/>
          <w:numId w:val="23"/>
        </w:numPr>
      </w:pPr>
      <w:r>
        <w:t>how climate change and sequences of timber harvesting and bushfire would interact to influence the spatial extent of different forest types</w:t>
      </w:r>
      <w:r w:rsidR="00980C6E">
        <w:t>,</w:t>
      </w:r>
    </w:p>
    <w:p w14:paraId="1F4A6250" w14:textId="5EC47D9D" w:rsidR="00D556E8" w:rsidRDefault="00D556E8" w:rsidP="00C95629">
      <w:pPr>
        <w:pStyle w:val="Para0bullet"/>
        <w:numPr>
          <w:ilvl w:val="0"/>
          <w:numId w:val="23"/>
        </w:numPr>
      </w:pPr>
      <w:r>
        <w:t xml:space="preserve">changes in </w:t>
      </w:r>
      <w:r w:rsidR="00DD5F47">
        <w:t xml:space="preserve">the way catchment </w:t>
      </w:r>
      <w:r>
        <w:t>runoff generation respon</w:t>
      </w:r>
      <w:r w:rsidR="00DD5F47">
        <w:t>ds</w:t>
      </w:r>
      <w:r>
        <w:t xml:space="preserve"> to decadal or multi-decadal shifts in climate</w:t>
      </w:r>
      <w:r w:rsidR="00980C6E">
        <w:t>,</w:t>
      </w:r>
    </w:p>
    <w:p w14:paraId="03AA6CB6" w14:textId="77777777" w:rsidR="00D556E8" w:rsidRDefault="00D556E8" w:rsidP="00C95629">
      <w:pPr>
        <w:pStyle w:val="Para0bullet"/>
        <w:numPr>
          <w:ilvl w:val="0"/>
          <w:numId w:val="23"/>
        </w:numPr>
      </w:pPr>
      <w:r>
        <w:t>an assessment of the uncertainty of the model assumptions, structure and parameters on the model outcomes, using at least a sensitivity analysis, and preferably a formal uncertainty analysis.</w:t>
      </w:r>
    </w:p>
    <w:p w14:paraId="3C1926D5" w14:textId="15946ED0" w:rsidR="00D556E8" w:rsidRDefault="00D556E8" w:rsidP="00D556E8">
      <w:pPr>
        <w:pStyle w:val="Para0"/>
      </w:pPr>
      <w:r>
        <w:t xml:space="preserve">Some other </w:t>
      </w:r>
      <w:r w:rsidR="008D6E6A">
        <w:t xml:space="preserve">improvements </w:t>
      </w:r>
      <w:r w:rsidR="00DD5F47">
        <w:t xml:space="preserve">that </w:t>
      </w:r>
      <w:r w:rsidR="008D6E6A">
        <w:t xml:space="preserve">could be incorporated in </w:t>
      </w:r>
      <w:r>
        <w:t>future modelling</w:t>
      </w:r>
      <w:r w:rsidR="00DD5F47">
        <w:t>, include</w:t>
      </w:r>
      <w:r>
        <w:t>:</w:t>
      </w:r>
    </w:p>
    <w:p w14:paraId="2BF3935F" w14:textId="62290525" w:rsidR="00D556E8" w:rsidRDefault="008D6E6A" w:rsidP="00C95629">
      <w:pPr>
        <w:pStyle w:val="Para0bullet"/>
        <w:numPr>
          <w:ilvl w:val="0"/>
          <w:numId w:val="24"/>
        </w:numPr>
      </w:pPr>
      <w:r>
        <w:t xml:space="preserve">a </w:t>
      </w:r>
      <w:r w:rsidR="00D556E8" w:rsidRPr="00BD7A25">
        <w:t xml:space="preserve">systematic and objective </w:t>
      </w:r>
      <w:r>
        <w:t xml:space="preserve">linkage between model uncertainty and </w:t>
      </w:r>
      <w:r w:rsidR="00D556E8" w:rsidRPr="00BD7A25">
        <w:t>conclusions</w:t>
      </w:r>
      <w:r w:rsidR="00766FA6">
        <w:t>,</w:t>
      </w:r>
    </w:p>
    <w:p w14:paraId="3A695CC2" w14:textId="60B18A4F" w:rsidR="00D556E8" w:rsidRDefault="00D556E8" w:rsidP="00C95629">
      <w:pPr>
        <w:pStyle w:val="Para0bullet"/>
        <w:numPr>
          <w:ilvl w:val="0"/>
          <w:numId w:val="24"/>
        </w:numPr>
      </w:pPr>
      <w:r>
        <w:lastRenderedPageBreak/>
        <w:t>calibrat</w:t>
      </w:r>
      <w:r w:rsidR="00D5699A">
        <w:t xml:space="preserve">ion </w:t>
      </w:r>
      <w:r w:rsidR="00A55D05">
        <w:t xml:space="preserve">using </w:t>
      </w:r>
      <w:r>
        <w:t>up</w:t>
      </w:r>
      <w:r w:rsidR="00766FA6">
        <w:t>-</w:t>
      </w:r>
      <w:r>
        <w:t>to</w:t>
      </w:r>
      <w:r w:rsidR="00766FA6">
        <w:t>-</w:t>
      </w:r>
      <w:r>
        <w:t>date records of monthly gauged flows and reconstructed inflows to reservoirs, using split</w:t>
      </w:r>
      <w:r w:rsidR="00766FA6">
        <w:t>-</w:t>
      </w:r>
      <w:r>
        <w:t>sample calibration and evaluation periods, over the full period of record that is now available</w:t>
      </w:r>
      <w:r w:rsidR="00766FA6">
        <w:t>,</w:t>
      </w:r>
    </w:p>
    <w:p w14:paraId="77184F9F" w14:textId="015BC415" w:rsidR="00D556E8" w:rsidRPr="007B791C" w:rsidRDefault="00D5699A" w:rsidP="00C95629">
      <w:pPr>
        <w:pStyle w:val="Para0bullet"/>
        <w:numPr>
          <w:ilvl w:val="0"/>
          <w:numId w:val="24"/>
        </w:numPr>
      </w:pPr>
      <w:r>
        <w:t xml:space="preserve">adoption of </w:t>
      </w:r>
      <w:r w:rsidR="00D556E8">
        <w:t xml:space="preserve">contemporary software engineering practices, that </w:t>
      </w:r>
      <w:r w:rsidR="00DD5F47">
        <w:t xml:space="preserve">are </w:t>
      </w:r>
      <w:r w:rsidR="00D556E8">
        <w:t>able to leverage high performance and/or cloud computing resources, in order to facilitate the large number of simulations that are likely to be required</w:t>
      </w:r>
      <w:r w:rsidR="00766FA6">
        <w:t>,</w:t>
      </w:r>
    </w:p>
    <w:p w14:paraId="7AB37C19" w14:textId="387DFE58" w:rsidR="00D556E8" w:rsidRDefault="00D556E8" w:rsidP="00C95629">
      <w:pPr>
        <w:pStyle w:val="Para0bullet"/>
        <w:numPr>
          <w:ilvl w:val="0"/>
          <w:numId w:val="24"/>
        </w:numPr>
      </w:pPr>
      <w:r>
        <w:t>a</w:t>
      </w:r>
      <w:r w:rsidR="00D5699A">
        <w:t>n initial</w:t>
      </w:r>
      <w:r w:rsidR="00DD5F47">
        <w:t xml:space="preserve"> </w:t>
      </w:r>
      <w:r>
        <w:t>model design phase, to set out the relative levels of emphasis and focus that should be given to each of the modelling tasks, as set out in the bullet point list</w:t>
      </w:r>
      <w:r w:rsidR="000B438C">
        <w:t>s</w:t>
      </w:r>
      <w:r>
        <w:t xml:space="preserve"> above. The model design phase </w:t>
      </w:r>
      <w:r w:rsidR="008823BB">
        <w:t xml:space="preserve">could </w:t>
      </w:r>
      <w:r>
        <w:t>include some initial runs of all or part of the modelling system, to provide initial guidance on those factors in the modelling that will make a material difference to the key outcomes of the study.</w:t>
      </w:r>
    </w:p>
    <w:p w14:paraId="353D4CF8" w14:textId="53825BDD" w:rsidR="00FA1F1A" w:rsidRDefault="00544DC7" w:rsidP="00D556E8">
      <w:pPr>
        <w:pStyle w:val="Para0"/>
      </w:pPr>
      <w:r>
        <w:t xml:space="preserve">Design of future models may be informed by the considerations set out in the remainder of this section. </w:t>
      </w:r>
      <w:r w:rsidR="00FA1F1A">
        <w:t xml:space="preserve">Macaque is a very detailed process-based model, which was designed to represent much of the spatial and temporal variability in </w:t>
      </w:r>
      <w:r w:rsidR="00D5699A">
        <w:t xml:space="preserve">evapotranspiration </w:t>
      </w:r>
      <w:r w:rsidR="00FA1F1A">
        <w:t xml:space="preserve">response from vegetation. Some of the disadvantages of applying Macaque </w:t>
      </w:r>
      <w:r w:rsidR="00D5699A">
        <w:t xml:space="preserve">are </w:t>
      </w:r>
      <w:r w:rsidR="00FA1F1A">
        <w:t xml:space="preserve">relatively long run-times, </w:t>
      </w:r>
      <w:r w:rsidR="00766FA6">
        <w:t xml:space="preserve">the </w:t>
      </w:r>
      <w:r w:rsidR="00FA1F1A">
        <w:t>very large number of parameters for which values had to be selected or calibrated</w:t>
      </w:r>
      <w:r w:rsidR="00766FA6">
        <w:t>,</w:t>
      </w:r>
      <w:r w:rsidR="00FA1F1A">
        <w:t xml:space="preserve"> and uncertainty introduced in attempting to project how some or all of those parameters would respond to climate change.</w:t>
      </w:r>
    </w:p>
    <w:p w14:paraId="76FFFC5F" w14:textId="63A7982C" w:rsidR="00FA1F1A" w:rsidRDefault="00FA1F1A" w:rsidP="00D556E8">
      <w:pPr>
        <w:pStyle w:val="Para0"/>
      </w:pPr>
      <w:r>
        <w:t xml:space="preserve">Simpler models, which include </w:t>
      </w:r>
      <w:r w:rsidR="00B6056E">
        <w:t xml:space="preserve">curves of </w:t>
      </w:r>
      <w:r w:rsidR="00D5699A" w:rsidRPr="00D5699A">
        <w:t xml:space="preserve">evapotranspiration </w:t>
      </w:r>
      <w:r>
        <w:t xml:space="preserve">response </w:t>
      </w:r>
      <w:r w:rsidR="00B6056E">
        <w:t xml:space="preserve">to </w:t>
      </w:r>
      <w:r>
        <w:t xml:space="preserve">vegetation age, have been applied to estimate changes in annual </w:t>
      </w:r>
      <w:r w:rsidR="001834A2">
        <w:t>catchment water yield</w:t>
      </w:r>
      <w:r>
        <w:t xml:space="preserve"> </w:t>
      </w:r>
      <w:r w:rsidR="00B6056E">
        <w:t xml:space="preserve">in response </w:t>
      </w:r>
      <w:r>
        <w:t xml:space="preserve">to </w:t>
      </w:r>
      <w:r w:rsidR="00B6056E">
        <w:t xml:space="preserve">aging </w:t>
      </w:r>
      <w:r>
        <w:t>vegetation. Such models have the advantage of being considerably faster to run than Macaque</w:t>
      </w:r>
      <w:r w:rsidR="00544DC7">
        <w:t xml:space="preserve"> </w:t>
      </w:r>
      <w:r w:rsidR="00544DC7" w:rsidRPr="002A792F">
        <w:fldChar w:fldCharType="begin" w:fldLock="1"/>
      </w:r>
      <w:r w:rsidR="00544257">
        <w:instrText>ADDIN CSL_CITATION {"citationItems":[{"id":"ITEM-1","itemData":{"author":[{"dropping-particle":"","family":"Mannik","given":"Rose","non-dropping-particle":"","parse-names":false,"suffix":""},{"dropping-particle":"","family":"Murphy","given":"Rachel","non-dropping-particle":"","parse-names":false,"suffix":""},{"dropping-particle":"","family":"Herron","given":"Andrew","non-dropping-particle":"","parse-names":false,"suffix":""}],"id":"ITEM-1","issue":"July","issued":{"date-parts":[["2009"]]},"title":"Combined impact of the 2003 and 2006/07 bushfires on streamflow","type":"report"},"uris":["http://www.mendeley.com/documents/?uuid=2f672efe-43fe-464e-aa7f-e6ec81ed3c5c"]}],"mendeley":{"formattedCitation":"(Mannik &lt;i&gt;et al.&lt;/i&gt;, 2009)","manualFormatting":"(Mannik et al., 2009","plainTextFormattedCitation":"(Mannik et al., 2009)","previouslyFormattedCitation":"(Mannik &lt;i&gt;et al.&lt;/i&gt;, 2009)"},"properties":{"noteIndex":0},"schema":"https://github.com/citation-style-language/schema/raw/master/csl-citation.json"}</w:instrText>
      </w:r>
      <w:r w:rsidR="00544DC7" w:rsidRPr="002A792F">
        <w:fldChar w:fldCharType="separate"/>
      </w:r>
      <w:r w:rsidR="00544DC7" w:rsidRPr="00766FA6">
        <w:rPr>
          <w:noProof/>
        </w:rPr>
        <w:t xml:space="preserve">(Mannik </w:t>
      </w:r>
      <w:r w:rsidR="001C1F9A" w:rsidRPr="001C1F9A">
        <w:rPr>
          <w:i/>
          <w:noProof/>
        </w:rPr>
        <w:t>et al.</w:t>
      </w:r>
      <w:r w:rsidR="00544DC7" w:rsidRPr="00766FA6">
        <w:rPr>
          <w:noProof/>
        </w:rPr>
        <w:t>, 2009</w:t>
      </w:r>
      <w:r w:rsidR="00544DC7" w:rsidRPr="002A792F">
        <w:fldChar w:fldCharType="end"/>
      </w:r>
      <w:r w:rsidR="00A4354B" w:rsidRPr="00766FA6">
        <w:t>;</w:t>
      </w:r>
      <w:r w:rsidR="00544DC7" w:rsidRPr="00766FA6">
        <w:t xml:space="preserve"> </w:t>
      </w:r>
      <w:r w:rsidR="00544DC7" w:rsidRPr="002A792F">
        <w:fldChar w:fldCharType="begin" w:fldLock="1"/>
      </w:r>
      <w:r w:rsidR="00544257">
        <w:instrText>ADDIN CSL_CITATION {"citationItems":[{"id":"ITEM-1","itemData":{"DOI":"10.7158/w10-830.2013.16.2","ISSN":"13241583","abstract":"Significant bushfires occurred around the Great Dividing Range in south eastern Australia in the summers of 2003 and 2006/2007. The combined scale of these bushfires presents important hydrological implications for the region in the coming decades. This paper reports on results of a project funded by the Victorian Department of Sustainability and Environment to perform a broad-scale assessment of the total water yield impact resulting from the two bushfires. Impacts are estimated in terms of annual changes in stream flow compared to conditions immediately prior to the 2003 bushfire. The modelling approach used to estimate the impacts on stream flow was the Bushfire Impact on Stream flow Yield model. Annual stream flow response curves were produced at each study catchment outlet, as well as spatially explicit datasets showing change in stream flow across the study catchment. Impacts from the two fires were then aggregated to estimate the total change in stream flow yield relative to flows into the River Murray, Eildon Reservoir and the Gippsland Lakes. © Institution of Engineers Australia, 2013.","author":[{"dropping-particle":"","family":"Mannik","given":"R. D.","non-dropping-particle":"","parse-names":false,"suffix":""},{"dropping-particle":"","family":"Herron","given":"A.","non-dropping-particle":"","parse-names":false,"suffix":""},{"dropping-particle":"","family":"Hill","given":"P. I.","non-dropping-particle":"","parse-names":false,"suffix":""},{"dropping-particle":"","family":"Brown","given":"R. E.","non-dropping-particle":"","parse-names":false,"suffix":""},{"dropping-particle":"","family":"Moran","given":"R.","non-dropping-particle":"","parse-names":false,"suffix":""}],"container-title":"Australian Journal of Water Resources","id":"ITEM-1","issue":"2","issued":{"date-parts":[["2013"]]},"page":"107-120","title":"Estimating the change in streamflow resulting from the 2003 and 2006/2007 bushfires in southeastern Australia","type":"article-journal","volume":"16"},"uris":["http://www.mendeley.com/documents/?uuid=b4868db4-c2b9-4c96-b6d7-011e970759e0"]}],"mendeley":{"formattedCitation":"(Mannik &lt;i&gt;et al.&lt;/i&gt;, 2013)","manualFormatting":"Mannik et al., 2013","plainTextFormattedCitation":"(Mannik et al., 2013)","previouslyFormattedCitation":"(Mannik &lt;i&gt;et al.&lt;/i&gt;, 2013)"},"properties":{"noteIndex":0},"schema":"https://github.com/citation-style-language/schema/raw/master/csl-citation.json"}</w:instrText>
      </w:r>
      <w:r w:rsidR="00544DC7" w:rsidRPr="002A792F">
        <w:fldChar w:fldCharType="separate"/>
      </w:r>
      <w:r w:rsidR="00544DC7" w:rsidRPr="00766FA6">
        <w:rPr>
          <w:noProof/>
        </w:rPr>
        <w:t xml:space="preserve">Mannik </w:t>
      </w:r>
      <w:r w:rsidR="001C1F9A" w:rsidRPr="001C1F9A">
        <w:rPr>
          <w:i/>
          <w:noProof/>
        </w:rPr>
        <w:t>et al.</w:t>
      </w:r>
      <w:r w:rsidR="00544DC7" w:rsidRPr="00766FA6">
        <w:rPr>
          <w:noProof/>
        </w:rPr>
        <w:t>, 2013</w:t>
      </w:r>
      <w:r w:rsidR="00544DC7" w:rsidRPr="002A792F">
        <w:fldChar w:fldCharType="end"/>
      </w:r>
      <w:r w:rsidR="00766FA6">
        <w:t>;</w:t>
      </w:r>
      <w:r w:rsidR="00544DC7" w:rsidRPr="00766FA6">
        <w:t xml:space="preserve"> </w:t>
      </w:r>
      <w:r w:rsidR="00544DC7" w:rsidRPr="002A792F">
        <w:fldChar w:fldCharType="begin" w:fldLock="1"/>
      </w:r>
      <w:r w:rsidR="00544257">
        <w:instrText>ADDIN CSL_CITATION {"citationItems":[{"id":"ITEM-1","itemData":{"abstract":"The February 2009 Victorian bushfires affected about 30% of Melbourne's water supply catchments. Previous bushfire experience and research for Melbourne's water supply catchments and southeastern Australia indicates forest regrowth following fires can reduce long-term streamflow due to increase water use of some tree species. The impacts will depend on the spatial distribution of fire extent and severity, vegetation type, age and mortality. Being able to estimate the likely impacts is of great benefit to water managers. This paper describes development and application of a spatial tool for Rapid Assessment of Forest Impacts on Streamflow (RAFIS) (Jacobs, 2014). The tool was developed by adapting an existing modelling framework based on streamflow response functions (BISY, Hill et al. 2008; Mannik et al. 2013) into a user-friendly product to assess the fire impacts. RAFIS was applied to Melbourne's four major water supply catchments to assess broad scale relative changes in annual streamflow resulting from the 2009 fires. Outputs were compared with a physically-based Macaque modelling for Melbourne (Feikema et al. 2011, 2013). Despite the two different approaches, results were found to be reasonably consistent when the post-fire regrowth/recovery assumptions in RAFIS and Macaque were reconciled. Given trade-off between complexity and simplicity, RAFIS is a practically useful rapid assessment tool with adequate empirical representation of forest impacts on streamflow by scaling the standard response functions derived from the more complex Macaque model. This project demonstrated several unique features from a practical hydrology perspective. First, the RAFIS tool was developed by leveraging off an existing modelling framework and specialist knowledge. Second, its application to Melbourne's water supply catchments was undertaken jointly with the consultant to build in-house technical capability. Third, the tool allows for multiple future forest disturbance scenarios to be simulated, providing continuity in impact assessment given future fire regimes. Finally, flexibilities have been built-in to enable ongoing forest regrowth research outcomes to be incorporated. The tool enhances Melbourne Water capacity for fire season preparedness, emergency response, catchment management and long-term water planning.","author":[{"dropping-particle":"","family":"Tan","given":"Kim Seong","non-dropping-particle":"","parse-names":false,"suffix":""},{"dropping-particle":"","family":"Nathan","given":"Rory","non-dropping-particle":"","parse-names":false,"suffix":""},{"dropping-particle":"","family":"Brown","given":"Rachel","non-dropping-particle":"","parse-names":false,"suffix":""},{"dropping-particle":"","family":"Chan","given":"Helena","non-dropping-particle":"","parse-names":false,"suffix":""},{"dropping-particle":"","family":"Rhodes","given":"Bruce","non-dropping-particle":"","parse-names":false,"suffix":""},{"dropping-particle":"","family":"Haydon","given":"Shane","non-dropping-particle":"","parse-names":false,"suffix":""}],"container-title":"The Art and Science of Water - 36th Hydrology and Water Resources Symposium, HWRS 2015","id":"ITEM-1","issued":{"date-parts":[["2015"]]},"page":"478-485","title":"Rapid assessment of forest fire impacts on streamflow for Melbourne","type":"article-journal"},"uris":["http://www.mendeley.com/documents/?uuid=fe924aab-e177-483d-a3a3-3c00cd3be277"]}],"mendeley":{"formattedCitation":"(Tan &lt;i&gt;et al.&lt;/i&gt;, 2015)","manualFormatting":"Tan et al., 2015;","plainTextFormattedCitation":"(Tan et al., 2015)","previouslyFormattedCitation":"(Tan &lt;i&gt;et al.&lt;/i&gt;, 2015)"},"properties":{"noteIndex":0},"schema":"https://github.com/citation-style-language/schema/raw/master/csl-citation.json"}</w:instrText>
      </w:r>
      <w:r w:rsidR="00544DC7" w:rsidRPr="002A792F">
        <w:fldChar w:fldCharType="separate"/>
      </w:r>
      <w:r w:rsidR="00544DC7" w:rsidRPr="00766FA6">
        <w:rPr>
          <w:noProof/>
        </w:rPr>
        <w:t xml:space="preserve">Tan </w:t>
      </w:r>
      <w:r w:rsidR="001C1F9A" w:rsidRPr="001C1F9A">
        <w:rPr>
          <w:i/>
          <w:noProof/>
        </w:rPr>
        <w:t>et al.</w:t>
      </w:r>
      <w:r w:rsidR="00544DC7" w:rsidRPr="00766FA6">
        <w:rPr>
          <w:noProof/>
        </w:rPr>
        <w:t>, 2015</w:t>
      </w:r>
      <w:r w:rsidR="00A4354B" w:rsidRPr="00766FA6">
        <w:rPr>
          <w:noProof/>
        </w:rPr>
        <w:t>;</w:t>
      </w:r>
      <w:r w:rsidR="00544DC7" w:rsidRPr="002A792F">
        <w:fldChar w:fldCharType="end"/>
      </w:r>
      <w:r w:rsidR="00544DC7" w:rsidRPr="00766FA6">
        <w:t xml:space="preserve"> </w:t>
      </w:r>
      <w:r w:rsidR="00544DC7" w:rsidRPr="002A792F">
        <w:fldChar w:fldCharType="begin" w:fldLock="1"/>
      </w:r>
      <w:r w:rsidR="0005134E">
        <w:instrText>ADDIN CSL_CITATION {"citationItems":[{"id":"ITEM-1","itemData":{"author":[{"dropping-particle":"","family":"Taylor","given":"Chris","non-dropping-particle":"","parse-names":false,"suffix":""},{"dropping-particle":"","family":"Blair","given":"David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B","non-dropping-particle":"","parse-names":false,"suffix":""}],"id":"ITEM-1","issue":"November","issued":{"date-parts":[["2018"]]},"publisher-place":"Canberra, Australia","title":"Resource Conflict Across Melbourne’s Largest Domestic Water Supply Catchment","type":"report"},"uris":["http://www.mendeley.com/documents/?uuid=64fbe6cf-c8aa-4d91-b97a-576d192b2d57"]}],"mendeley":{"formattedCitation":"(Taylor &lt;i&gt;et al.&lt;/i&gt;, 2018)","manualFormatting":"Taylor et al., 2018","plainTextFormattedCitation":"(Taylor et al., 2018)","previouslyFormattedCitation":"(Taylor &lt;i&gt;et al.&lt;/i&gt;, 2018)"},"properties":{"noteIndex":0},"schema":"https://github.com/citation-style-language/schema/raw/master/csl-citation.json"}</w:instrText>
      </w:r>
      <w:r w:rsidR="00544DC7" w:rsidRPr="002A792F">
        <w:fldChar w:fldCharType="separate"/>
      </w:r>
      <w:r w:rsidR="00544DC7" w:rsidRPr="00766FA6">
        <w:rPr>
          <w:noProof/>
        </w:rPr>
        <w:t xml:space="preserve">Taylor </w:t>
      </w:r>
      <w:r w:rsidR="001C1F9A" w:rsidRPr="001C1F9A">
        <w:rPr>
          <w:i/>
          <w:noProof/>
        </w:rPr>
        <w:t>et al.</w:t>
      </w:r>
      <w:r w:rsidR="00544DC7" w:rsidRPr="00766FA6">
        <w:rPr>
          <w:noProof/>
        </w:rPr>
        <w:t>, 2018</w:t>
      </w:r>
      <w:r w:rsidR="00544DC7" w:rsidRPr="002A792F">
        <w:fldChar w:fldCharType="end"/>
      </w:r>
      <w:r w:rsidR="00A4354B" w:rsidRPr="00766FA6">
        <w:t>;</w:t>
      </w:r>
      <w:r w:rsidR="00544DC7" w:rsidRPr="00766FA6">
        <w:t xml:space="preserve"> </w:t>
      </w:r>
      <w:r w:rsidR="00544DC7" w:rsidRPr="002A792F">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544DC7" w:rsidRPr="002A792F">
        <w:fldChar w:fldCharType="separate"/>
      </w:r>
      <w:r w:rsidR="00A70DC2">
        <w:rPr>
          <w:noProof/>
        </w:rPr>
        <w:fldChar w:fldCharType="begin" w:fldLock="1"/>
      </w:r>
      <w:r w:rsidR="007416C7">
        <w:rPr>
          <w:noProof/>
        </w:rPr>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rPr>
          <w:noProof/>
        </w:rPr>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rPr>
          <w:noProof/>
        </w:rPr>
        <w:fldChar w:fldCharType="end"/>
      </w:r>
      <w:r w:rsidR="00544DC7" w:rsidRPr="002A792F">
        <w:fldChar w:fldCharType="end"/>
      </w:r>
      <w:r w:rsidRPr="00766FA6">
        <w:t>. However</w:t>
      </w:r>
      <w:r>
        <w:t xml:space="preserve">, as they lack some of the connections to physical processes </w:t>
      </w:r>
      <w:r w:rsidR="003F2833">
        <w:t xml:space="preserve">possessed by models like Macaque, they may be less accurate </w:t>
      </w:r>
      <w:r w:rsidR="007A4327">
        <w:t>in</w:t>
      </w:r>
      <w:r w:rsidR="003F2833">
        <w:t xml:space="preserve"> representing some catchment responses. In particular, care </w:t>
      </w:r>
      <w:r w:rsidR="00D5699A">
        <w:t xml:space="preserve">is needed when </w:t>
      </w:r>
      <w:r w:rsidR="003F2833">
        <w:t xml:space="preserve">deriving appropriate </w:t>
      </w:r>
      <w:r w:rsidR="00B6056E">
        <w:t xml:space="preserve">curves of </w:t>
      </w:r>
      <w:r w:rsidR="00D5699A" w:rsidRPr="00D5699A">
        <w:t xml:space="preserve">evapotranspiration </w:t>
      </w:r>
      <w:r w:rsidR="003F2833">
        <w:t xml:space="preserve">versus age for different forest types (notably </w:t>
      </w:r>
      <w:r w:rsidR="005A53E6">
        <w:t>mixed-species</w:t>
      </w:r>
      <w:r w:rsidR="00805139">
        <w:t xml:space="preserve"> eucalypt forest</w:t>
      </w:r>
      <w:r w:rsidR="003F2833">
        <w:t>) and climatic zones</w:t>
      </w:r>
      <w:r w:rsidR="00B6056E">
        <w:t xml:space="preserve"> (</w:t>
      </w:r>
      <w:r w:rsidR="003F2833">
        <w:t>particularly lower rainfall areas</w:t>
      </w:r>
      <w:r w:rsidR="00B6056E">
        <w:t>)</w:t>
      </w:r>
      <w:r w:rsidR="003F2833">
        <w:t>.</w:t>
      </w:r>
    </w:p>
    <w:p w14:paraId="52099D30" w14:textId="653F85F5" w:rsidR="00544DC7" w:rsidRDefault="00306097" w:rsidP="00D556E8">
      <w:pPr>
        <w:pStyle w:val="Para0"/>
      </w:pPr>
      <w:r>
        <w:t>As outlined earlier</w:t>
      </w:r>
      <w:r w:rsidR="00B55242">
        <w:t xml:space="preserve"> (section 5.4)</w:t>
      </w:r>
      <w:r>
        <w:t>, l</w:t>
      </w:r>
      <w:r w:rsidR="003F2833">
        <w:t xml:space="preserve">umped conceptual rainfall runoff models have been applied to investigate impacts of bushfires and climate change on </w:t>
      </w:r>
      <w:r w:rsidR="001834A2">
        <w:t>catchment water yield</w:t>
      </w:r>
      <w:r w:rsidR="003F2833">
        <w:t xml:space="preserve">s </w:t>
      </w:r>
      <w:r w:rsidR="003F2833" w:rsidRPr="002A792F">
        <w:fldChar w:fldCharType="begin" w:fldLock="1"/>
      </w:r>
      <w:r w:rsidR="007416C7">
        <w:instrText>ADDIN CSL_CITATION {"citationItems":[{"id":"ITEM-1","itemData":{"DOI":"10.1080/02626667.2014.961923","ISSN":"21503435","abstract":"This paper quantifies the impacts of bushfire and climate variability on streamflow from three southeast Australian catchments where bushfires occurred in February 1983. Three hydrological models (AWRA-L, Xinanjiang and GR4J) were first calibrated against streamflow data from the pre-bushfire period and then used to simulate runoff for the post-bushfire period with the calibrated parameters. The difference in simulated streamflow between pre- and post-bushfire periods provides an estimate of the impact of climate variability on streamflow. The impact of bushfire on streamflow is quantified by removing the climate variability impact from the difference in mean annual observed streamflow between post- and pre-bushfire periods. For the first 15 years after the 1983 bushfires, the results from hydrological models for the three catchments indicate that there is a substantial increase in streamflow; this is attributed to initial decreases in evapotranspiration and soil infiltration rates resulting from the fires, followed by logging activity. After 15 years, streamflow dynamics are more heavily influenced by climate effects, although some impact from fire and logging regeneration may still occur. The results show that hydrological models provide reasonably consistent estimates of bushfire and climate impacts on streamflow for the three catchments. The models can be used to quantify relative contributions of forest disturbance (bushfire, logging and other forest management) and climate variability. The results presented can also help forest managers understand the relationship between bushfire and climate variability impacts on water yield in the context of climate variability.","author":[{"dropping-particle":"","family":"Zhou","given":"Yanchun","non-dropping-particle":"","parse-names":false,"suffix":""},{"dropping-particle":"","family":"Zhang","given":"Yongqiang","non-dropping-particle":"","parse-names":false,"suffix":""},{"dropping-particle":"","family":"Vaze","given":"Jai","non-dropping-particle":"","parse-names":false,"suffix":""},{"dropping-particle":"","family":"Lane","given":"Patrick","non-dropping-particle":"","parse-names":false,"suffix":""},{"dropping-particle":"","family":"Xu","given":"Shiguo","non-dropping-particle":"","parse-names":false,"suffix":""}],"container-title":"Hydrological Sciences Journal","id":"ITEM-1","issue":"7-8","issued":{"date-parts":[["2015"]]},"page":"1340-1360","publisher":"Taylor &amp; Francis","title":"Impact of bushfire and climate variability on streamflow from forested catchments in southeast Australia","type":"article-journal","volume":"60"},"uris":["http://www.mendeley.com/documents/?uuid=407e84ee-673b-48d1-84fd-e64f41530508"]}],"mendeley":{"formattedCitation":"(Zhou &lt;i&gt;et al.&lt;/i&gt;, 2015)","manualFormatting":"(Zhou et al., 2015","plainTextFormattedCitation":"(Zhou et al., 2015)","previouslyFormattedCitation":"(Zhou &lt;i&gt;et al.&lt;/i&gt;, 2015)"},"properties":{"noteIndex":0},"schema":"https://github.com/citation-style-language/schema/raw/master/csl-citation.json"}</w:instrText>
      </w:r>
      <w:r w:rsidR="003F2833" w:rsidRPr="002A792F">
        <w:fldChar w:fldCharType="separate"/>
      </w:r>
      <w:r w:rsidR="003F2833" w:rsidRPr="00766FA6">
        <w:rPr>
          <w:noProof/>
        </w:rPr>
        <w:t xml:space="preserve">(Zhou </w:t>
      </w:r>
      <w:r w:rsidR="001C1F9A" w:rsidRPr="001C1F9A">
        <w:rPr>
          <w:i/>
          <w:noProof/>
        </w:rPr>
        <w:t>et al.</w:t>
      </w:r>
      <w:r w:rsidR="003F2833" w:rsidRPr="00766FA6">
        <w:rPr>
          <w:noProof/>
        </w:rPr>
        <w:t>, 2015</w:t>
      </w:r>
      <w:r w:rsidR="003F2833" w:rsidRPr="002A792F">
        <w:fldChar w:fldCharType="end"/>
      </w:r>
      <w:r w:rsidR="003F2833" w:rsidRPr="00766FA6">
        <w:t xml:space="preserve">; </w:t>
      </w:r>
      <w:r w:rsidR="003F2833" w:rsidRPr="002A792F">
        <w:fldChar w:fldCharType="begin" w:fldLock="1"/>
      </w:r>
      <w:r w:rsidR="007416C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3F2833" w:rsidRPr="002A792F">
        <w:fldChar w:fldCharType="separate"/>
      </w:r>
      <w:r w:rsidR="00A70DC2">
        <w:rPr>
          <w:noProof/>
        </w:rPr>
        <w:fldChar w:fldCharType="begin" w:fldLock="1"/>
      </w:r>
      <w:r w:rsidR="007416C7">
        <w:rPr>
          <w:noProof/>
        </w:rPr>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Futures","type":"article-journal","volume":"688"},"uris":["http://www.mendeley.com/documents/?uuid=1cdcec29-bfbb-4f36-a7e1-a05c284b4dc6"]}],"mendeley":{"formattedCitation":"(Taylor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sidR="00A70DC2">
        <w:rPr>
          <w:noProof/>
        </w:rPr>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2019)</w:t>
      </w:r>
      <w:r w:rsidR="00A70DC2">
        <w:rPr>
          <w:noProof/>
        </w:rPr>
        <w:fldChar w:fldCharType="end"/>
      </w:r>
      <w:r w:rsidR="003F2833" w:rsidRPr="00766FA6">
        <w:rPr>
          <w:noProof/>
        </w:rPr>
        <w:t>)</w:t>
      </w:r>
      <w:r w:rsidR="003F2833" w:rsidRPr="002A792F">
        <w:fldChar w:fldCharType="end"/>
      </w:r>
      <w:r w:rsidR="003F2833" w:rsidRPr="00766FA6">
        <w:t xml:space="preserve">. </w:t>
      </w:r>
      <w:r w:rsidR="00D5699A">
        <w:t>Being</w:t>
      </w:r>
      <w:r w:rsidR="00D5699A" w:rsidRPr="00766FA6">
        <w:t xml:space="preserve"> </w:t>
      </w:r>
      <w:r w:rsidR="003F2833" w:rsidRPr="00766FA6">
        <w:t xml:space="preserve">lumped models, they have not incorporated spatial variations in </w:t>
      </w:r>
      <w:r w:rsidR="00D5699A" w:rsidRPr="00D5699A">
        <w:t xml:space="preserve">evapotranspiration </w:t>
      </w:r>
      <w:r w:rsidR="003F2833" w:rsidRPr="00766FA6">
        <w:t>across catchments</w:t>
      </w:r>
      <w:r>
        <w:t>,</w:t>
      </w:r>
      <w:r w:rsidR="003F2833" w:rsidRPr="00766FA6">
        <w:t xml:space="preserve"> nor temporal variations in </w:t>
      </w:r>
      <w:r w:rsidR="00D5699A" w:rsidRPr="00D5699A">
        <w:t xml:space="preserve">evapotranspiration </w:t>
      </w:r>
      <w:r w:rsidR="003F2833" w:rsidRPr="00766FA6">
        <w:t>with forest age.</w:t>
      </w:r>
      <w:r w:rsidR="00544DC7" w:rsidRPr="00766FA6">
        <w:t xml:space="preserve"> For forested catchments, where appreciable spatial variations in </w:t>
      </w:r>
      <w:r w:rsidR="00D5699A" w:rsidRPr="00D5699A">
        <w:t xml:space="preserve">evapotranspiration </w:t>
      </w:r>
      <w:r w:rsidR="00544DC7" w:rsidRPr="00766FA6">
        <w:t xml:space="preserve">with forest type and appreciable temporal variations in </w:t>
      </w:r>
      <w:r w:rsidR="00D5699A" w:rsidRPr="00D5699A">
        <w:t xml:space="preserve">evapotranspiration </w:t>
      </w:r>
      <w:r w:rsidR="00544DC7" w:rsidRPr="00766FA6">
        <w:t xml:space="preserve">with forest age and type have been demonstrated, it would appear to be difficult to </w:t>
      </w:r>
      <w:r w:rsidR="00544DC7">
        <w:t xml:space="preserve">demonstrate that robust projections of </w:t>
      </w:r>
      <w:r w:rsidR="001834A2">
        <w:t>catchment water yield</w:t>
      </w:r>
      <w:r w:rsidR="00544DC7">
        <w:t xml:space="preserve"> can be consistently attained. Future application of conceptual models for forested catchments should therefore consider implement</w:t>
      </w:r>
      <w:r>
        <w:t>ing</w:t>
      </w:r>
      <w:r w:rsidR="00544DC7">
        <w:t xml:space="preserve"> a semi-distributed or distributed spatial framework, in order to capture at least some of the spatial and temporal variations in </w:t>
      </w:r>
      <w:r w:rsidR="00D5699A" w:rsidRPr="00D5699A">
        <w:t xml:space="preserve">evapotranspiration </w:t>
      </w:r>
      <w:r w:rsidR="00544DC7">
        <w:t>that have been identified by field data.</w:t>
      </w:r>
    </w:p>
    <w:p w14:paraId="5BECE9ED" w14:textId="58328B12" w:rsidR="00F61666" w:rsidRDefault="00747098" w:rsidP="00F61666">
      <w:pPr>
        <w:pStyle w:val="Para0"/>
      </w:pPr>
      <w:r>
        <w:t>As noted in section 4.2.1, t</w:t>
      </w:r>
      <w:r w:rsidR="00A4354B">
        <w:t xml:space="preserve">he Macaque model used in WWS2008 requires two inputs to determine </w:t>
      </w:r>
      <w:r w:rsidR="00C95629">
        <w:t>evapotranspiration (</w:t>
      </w:r>
      <w:r w:rsidR="00A4354B">
        <w:t xml:space="preserve">leaf area index </w:t>
      </w:r>
      <w:r w:rsidR="00766FA6">
        <w:t xml:space="preserve">(LAI) </w:t>
      </w:r>
      <w:r w:rsidR="00A4354B">
        <w:t xml:space="preserve">and leaf conductance) and the model simulates the changing influence of forest age on these inputs over time. However, more recent approaches </w:t>
      </w:r>
      <w:r w:rsidR="00A4354B">
        <w:lastRenderedPageBreak/>
        <w:t xml:space="preserve">have shown that a single variable, sapwood area index, can be used to predict annual AET </w:t>
      </w:r>
      <w:r w:rsidR="00A4354B" w:rsidRPr="005E3238">
        <w:fldChar w:fldCharType="begin" w:fldLock="1"/>
      </w:r>
      <w:r w:rsidR="00D11C5B">
        <w:instrText>ADDIN CSL_CITATION {"citationItems":[{"id":"ITEM-1","itemData":{"DOI":"10.1002/ 2015WR017321","author":[{"dropping-particle":"","family":"Benyon","given":"Richard G","non-dropping-particle":"","parse-names":false,"suffix":""},{"dropping-particle":"","family":"Lane","given":"Patrick N J","non-dropping-particle":"","parse-names":false,"suffix":""},{"dropping-particle":"","family":"Jaskierniak","given":"Dominik","non-dropping-particle":"","parse-names":false,"suffix":""},{"dropping-particle":"","family":"Kuczera","given":"George","non-dropping-particle":"","parse-names":false,"suffix":""},{"dropping-particle":"","family":"Haydon","given":"Shane R","non-dropping-particle":"","parse-names":false,"suffix":""}],"container-title":"Water Resources Research","id":"ITEM-1","issue":"7","issued":{"date-parts":[["2015"]]},"page":"5318-5331","title":"Use of a forest sapwood area index to explain long-term variability in mean annual evapotranspiration and streamflow in Moist Eucalypt Forests","type":"article-journal","volume":"51"},"uris":["http://www.mendeley.com/documents/?uuid=60c8d14d-da03-45b6-a90a-2c55e2919403"]},{"id":"ITEM-2","itemData":{"DOI":"10.1016/j.jhydrol.2018.10.075","ISSN":"00221694","abstract":"Forest growth dynamics affect streamflow with changes in actual evapotranspiration (AET) during forest regeneration. Using a “top-down” model approach, we present a seasonal forest hydrology model that estimates streamflow in forested catchments containing sparse soil and climate data. Across a 1423 km2 remote study area, a rainfall interpolation procedure using available rainfall data and information on terrain was integrated into a new seasonal streamflow model, called ABCF, which uses catchment sapwood area (SA) as the emergent property that equilibrates with potential evapotranspiration (PET), and a soil storage threshold that reduces AET below PET when soil water is limiting. We produce seasonal estimates of streamflow with Nash Sutcliffe efficiencies of 0.85, 0.87, and 0.91 for three major catchments within the study area. A fundamental feature of the “top-down” model approach is the use of LiDAR data and forest inventory data to model forest structural properties that relate strongly with SA. Building on our previous work with this modelling framework, our representation of eco-hydrological properties of the forest has been refined with a more accurate procedure for estimating stand mean sapwood thickness, and hence SA, and a remotely sensed tree stocking density (N) of old-growth forests to correct the temporal evolution of N as a means to improve SA estimates. Regional consistency of model parameters shows that the “top-down” modelling framework may be used to estimate streamflow in ungauged catchments using a forest growth model. The seasonal model generalised for both water-limited and water-unlimited forest conditions has significant potential for application in water supply planning and drought security.","author":[{"dropping-particle":"","family":"Jaskierniak","given":"Dominik","non-dropping-particle":"","parse-names":false,"suffix":""},{"dropping-particle":"","family":"Kuczera","given":"George","non-dropping-particle":"","parse-names":false,"suffix":""},{"dropping-particle":"","family":"Benyon","given":"Richard G.","non-dropping-particle":"","parse-names":false,"suffix":""},{"dropping-particle":"","family":"Haydon","given":"Shane","non-dropping-particle":"","parse-names":false,"suffix":""},{"dropping-particle":"","family":"Lane","given":"Patrick N.J.","non-dropping-particle":"","parse-names":false,"suffix":""}],"container-title":"Journal of Hydrology","id":"ITEM-2","issued":{"date-parts":[["2019"]]},"page":"372-384","publisher":"Elsevier","title":"Top-down seasonal streamflow model with spatiotemporal forest sapwood area","type":"article-journal","volume":"568"},"uris":["http://www.mendeley.com/documents/?uuid=3db71e78-c7e6-42d8-8ac4-ad75e69dbb80"]}],"mendeley":{"formattedCitation":"(Benyon &lt;i&gt;et al.&lt;/i&gt;, 2015; Jaskierniak &lt;i&gt;et al.&lt;/i&gt;, 2019)","plainTextFormattedCitation":"(Benyon et al., 2015; Jaskierniak et al., 2019)","previouslyFormattedCitation":"(Benyon &lt;i&gt;et al.&lt;/i&gt;, 2015; Jaskierniak &lt;i&gt;et al.&lt;/i&gt;, 2019)"},"properties":{"noteIndex":0},"schema":"https://github.com/citation-style-language/schema/raw/master/csl-citation.json"}</w:instrText>
      </w:r>
      <w:r w:rsidR="00A4354B" w:rsidRPr="005E3238">
        <w:fldChar w:fldCharType="separate"/>
      </w:r>
      <w:r w:rsidR="007416C7" w:rsidRPr="007416C7">
        <w:rPr>
          <w:noProof/>
        </w:rPr>
        <w:t xml:space="preserve">(Benyon </w:t>
      </w:r>
      <w:r w:rsidR="007416C7" w:rsidRPr="007416C7">
        <w:rPr>
          <w:i/>
          <w:noProof/>
        </w:rPr>
        <w:t>et al.</w:t>
      </w:r>
      <w:r w:rsidR="007416C7" w:rsidRPr="007416C7">
        <w:rPr>
          <w:noProof/>
        </w:rPr>
        <w:t xml:space="preserve">, 2015; Jaskierniak </w:t>
      </w:r>
      <w:r w:rsidR="007416C7" w:rsidRPr="007416C7">
        <w:rPr>
          <w:i/>
          <w:noProof/>
        </w:rPr>
        <w:t>et al.</w:t>
      </w:r>
      <w:r w:rsidR="007416C7" w:rsidRPr="007416C7">
        <w:rPr>
          <w:noProof/>
        </w:rPr>
        <w:t>, 2019)</w:t>
      </w:r>
      <w:r w:rsidR="00A4354B" w:rsidRPr="005E3238">
        <w:fldChar w:fldCharType="end"/>
      </w:r>
      <w:r w:rsidR="00A4354B" w:rsidRPr="00766FA6">
        <w:t xml:space="preserve"> and that this property can be mapped spatially and temporally using commonly collected forest inventory data and LiDAR. </w:t>
      </w:r>
      <w:r w:rsidR="00F61666" w:rsidRPr="00766FA6">
        <w:t xml:space="preserve">A new modelling </w:t>
      </w:r>
      <w:r w:rsidR="00C95629" w:rsidRPr="00766FA6">
        <w:t>approach</w:t>
      </w:r>
      <w:r w:rsidR="00B55242">
        <w:t>,</w:t>
      </w:r>
      <w:r w:rsidR="00C95629" w:rsidRPr="00766FA6">
        <w:t xml:space="preserve"> currently</w:t>
      </w:r>
      <w:r w:rsidR="00333E3A">
        <w:t xml:space="preserve"> being</w:t>
      </w:r>
      <w:r w:rsidR="00C95629" w:rsidRPr="00766FA6">
        <w:t xml:space="preserve"> developed</w:t>
      </w:r>
      <w:r w:rsidR="00F61666" w:rsidRPr="00766FA6">
        <w:t xml:space="preserve"> at the University of Melbourne</w:t>
      </w:r>
      <w:r w:rsidR="00B55242">
        <w:t>,</w:t>
      </w:r>
      <w:r w:rsidR="00F61666" w:rsidRPr="00766FA6">
        <w:t xml:space="preserve"> uses the “self-thinning line” (</w:t>
      </w:r>
      <w:r w:rsidR="00B55242">
        <w:t>that is,</w:t>
      </w:r>
      <w:r w:rsidR="00F61666" w:rsidRPr="00766FA6">
        <w:t xml:space="preserve"> a re</w:t>
      </w:r>
      <w:r w:rsidR="00F61666">
        <w:t>lationship that defines plant mortality as a result of competition in crowded stand</w:t>
      </w:r>
      <w:r w:rsidR="00B55242">
        <w:t>s</w:t>
      </w:r>
      <w:r w:rsidR="00F61666">
        <w:t>;</w:t>
      </w:r>
      <w:r w:rsidR="0084030F">
        <w:t xml:space="preserve"> </w:t>
      </w:r>
      <w:r w:rsidR="0084030F">
        <w:fldChar w:fldCharType="begin" w:fldLock="1"/>
      </w:r>
      <w:r w:rsidR="007416C7">
        <w:instrText>ADDIN CSL_CITATION {"citationItems":[{"id":"ITEM-1","itemData":{"DOI":"10.1016/j.foreco.2017.07.027","ISSN":"03781127","abstract":"Context Self-thinning is fundamental to modern density-based forest management. The process of self-thinning arises from the dynamic interaction of stand growth and mortality at equilibrium conditions. However, despite the dynamic basis for the self-thinning process, it is typically modeled using static size-density data. Material and methods We tested the ability of a simple stand mortality model to estimate the self-thinning line. We used data from long-term silvicultural experiments for six common Eucalyptus species in southeastern Australia. Our approach built on existing mortality model structure that predicts survival trajectories that follow a self-thinning line. We used Poisson and negative binomial generalized linear models for count data as well as a non-linear least squares procedure on the integrated scale to calibrate the mortality model. Derived self-thinning parameters were compared to parameters calibrated on the static allometry between quadratic mean diameter (Dq) and stand density (N) using two reference methods (linear model and stochastic frontier analysis). Results Our dynamic mortality models provided estimates of the self-thinning line that were as good as or better than those obtained using reference methods; however, this required accounting for overdispersion of mortality count data. We validated survival trajectories using independent data for the three most abundant eucalypt species and found that they showed excellent behavior. Discussion Survival trajectories predicted by the mortality models were consistent with, and accurately estimated, the self-thinning line for the eucalypt species in our study. The simplicity of calibrating mortality models using GLM methods raises the possibility of quantifying how environmental drivers influence the dynamic self-thinning equilibrium.","author":[{"dropping-particle":"","family":"Trouvé","given":"Raphaël","non-dropping-particle":"","parse-names":false,"suffix":""},{"dropping-particle":"","family":"Nitschke","given":"Craig R.","non-dropping-particle":"","parse-names":false,"suffix":""},{"dropping-particle":"","family":"Robinson","given":"Andrew P.","non-dropping-particle":"","parse-names":false,"suffix":""},{"dropping-particle":"","family":"Baker","given":"Patrick J.","non-dropping-particle":"","parse-names":false,"suffix":""}],"container-title":"Forest Ecology and Management","id":"ITEM-1","issued":{"date-parts":[["2017"]]},"page":"122-134","title":"Estimating the self-thinning line from mortality data","type":"article-journal","volume":"402"},"uris":["http://www.mendeley.com/documents/?uuid=842152e2-9edb-413f-8a78-dc700d1a5e8a"]}],"mendeley":{"formattedCitation":"(Trouvé &lt;i&gt;et al.&lt;/i&gt;, 2017)","manualFormatting":"Trouvé et al., 2017)","plainTextFormattedCitation":"(Trouvé et al., 2017)","previouslyFormattedCitation":"(Trouvé &lt;i&gt;et al.&lt;/i&gt;, 2017)"},"properties":{"noteIndex":0},"schema":"https://github.com/citation-style-language/schema/raw/master/csl-citation.json"}</w:instrText>
      </w:r>
      <w:r w:rsidR="0084030F">
        <w:fldChar w:fldCharType="separate"/>
      </w:r>
      <w:r w:rsidR="0084030F" w:rsidRPr="0084030F">
        <w:rPr>
          <w:noProof/>
        </w:rPr>
        <w:t xml:space="preserve">Trouvé </w:t>
      </w:r>
      <w:r w:rsidR="001C1F9A" w:rsidRPr="001C1F9A">
        <w:rPr>
          <w:i/>
          <w:noProof/>
        </w:rPr>
        <w:t>et al.</w:t>
      </w:r>
      <w:r w:rsidR="0084030F" w:rsidRPr="0084030F">
        <w:rPr>
          <w:noProof/>
        </w:rPr>
        <w:t>, 2017)</w:t>
      </w:r>
      <w:r w:rsidR="0084030F">
        <w:fldChar w:fldCharType="end"/>
      </w:r>
      <w:r w:rsidR="00F61666">
        <w:t xml:space="preserve"> to drive future changes in stand sapwood area</w:t>
      </w:r>
      <w:r w:rsidR="00B55242">
        <w:t>.</w:t>
      </w:r>
      <w:r w:rsidR="00333E3A">
        <w:t xml:space="preserve"> </w:t>
      </w:r>
      <w:r w:rsidR="00B55242">
        <w:t>T</w:t>
      </w:r>
      <w:r w:rsidR="00F61666">
        <w:t xml:space="preserve">he estimated changes in </w:t>
      </w:r>
      <w:r w:rsidR="00C95629">
        <w:t>sapwood can</w:t>
      </w:r>
      <w:r w:rsidR="00F61666">
        <w:t xml:space="preserve"> be used with daily precipitation and </w:t>
      </w:r>
      <w:r w:rsidR="00C95629">
        <w:t>vapour</w:t>
      </w:r>
      <w:r w:rsidR="00F61666">
        <w:t xml:space="preserve"> pressure deficit (a function of temperature and humidity) to model </w:t>
      </w:r>
      <w:r w:rsidR="00D5699A" w:rsidRPr="00D5699A">
        <w:t xml:space="preserve">evapotranspiration </w:t>
      </w:r>
      <w:r w:rsidR="00F61666">
        <w:t>and streamflow.</w:t>
      </w:r>
    </w:p>
    <w:p w14:paraId="3F913BA3" w14:textId="0E18E05A" w:rsidR="007A4327" w:rsidRDefault="002366B5" w:rsidP="007A4327">
      <w:pPr>
        <w:pStyle w:val="Para0"/>
        <w:pBdr>
          <w:top w:val="single" w:sz="4" w:space="1" w:color="auto"/>
          <w:left w:val="single" w:sz="4" w:space="4" w:color="auto"/>
          <w:bottom w:val="single" w:sz="4" w:space="1" w:color="auto"/>
          <w:right w:val="single" w:sz="4" w:space="4" w:color="auto"/>
        </w:pBdr>
      </w:pPr>
      <w:r>
        <w:rPr>
          <w:b/>
          <w:bCs/>
        </w:rPr>
        <w:t>In summary,</w:t>
      </w:r>
      <w:r w:rsidR="00D5699A">
        <w:t xml:space="preserve"> </w:t>
      </w:r>
      <w:r w:rsidR="00B55242">
        <w:t xml:space="preserve">whilst </w:t>
      </w:r>
      <w:r w:rsidR="007A4327">
        <w:t xml:space="preserve">investigations since 2008 about the feedbacks between bushfires, climate change and timber harvesting </w:t>
      </w:r>
      <w:r w:rsidR="00101F2E">
        <w:t>have produced variable results</w:t>
      </w:r>
      <w:r w:rsidR="007A4327">
        <w:t xml:space="preserve">, an appropriately designed Monte Carlo simulation framework should be able to cope with simulating these feedbacks in an appropriate manner. The effects of potential changes in species distribution under climate change have not been tested in previous modelling of </w:t>
      </w:r>
      <w:r w:rsidR="001834A2">
        <w:t>catchment water yield</w:t>
      </w:r>
      <w:r w:rsidR="007A4327">
        <w:t xml:space="preserve"> under climate change in Melbourne’s catchments. More frequent high severity fires due to climate change, and/or the “landscape trap”</w:t>
      </w:r>
      <w:r w:rsidR="00101F2E">
        <w:t xml:space="preserve"> propounded by Lindenmayer </w:t>
      </w:r>
      <w:r w:rsidR="00101F2E" w:rsidRPr="001C1F9A">
        <w:rPr>
          <w:i/>
        </w:rPr>
        <w:t>et al.</w:t>
      </w:r>
      <w:r w:rsidR="00101F2E">
        <w:t xml:space="preserve"> (2011)</w:t>
      </w:r>
      <w:r w:rsidR="007A4327">
        <w:t xml:space="preserve">, may ultimately result in loss of ash eucalypt forest to acacia or other species, which may reduce AET and increase catchment water yields in future. Further modelling would be required to provide more reliable projections of changes in </w:t>
      </w:r>
      <w:r w:rsidR="001834A2">
        <w:t>catchment water yield</w:t>
      </w:r>
      <w:r w:rsidR="007A4327">
        <w:t xml:space="preserve"> under climate change that address these uncertainties. The Monte Carlo framework should therefore be designed to allow for the probability that climate change and/or recurrent high severity fires may result in transition between forest types, and then include this effect in the probabilistic simulation of </w:t>
      </w:r>
      <w:r w:rsidR="001834A2">
        <w:t>catchment water yield</w:t>
      </w:r>
      <w:r w:rsidR="007A4327">
        <w:t>.</w:t>
      </w:r>
      <w:r w:rsidR="00861BAB">
        <w:t xml:space="preserve"> </w:t>
      </w:r>
      <w:r w:rsidR="00101F2E">
        <w:t xml:space="preserve">This section has outlined </w:t>
      </w:r>
      <w:r w:rsidR="00BF1E37">
        <w:t xml:space="preserve">ideas </w:t>
      </w:r>
      <w:r w:rsidR="00101F2E">
        <w:t xml:space="preserve">about how </w:t>
      </w:r>
      <w:r w:rsidR="007A4327">
        <w:t>such modelling should be designed.</w:t>
      </w:r>
    </w:p>
    <w:p w14:paraId="4E9F37CF" w14:textId="77777777" w:rsidR="00F17EC5" w:rsidRDefault="00F17EC5" w:rsidP="0008526D">
      <w:pPr>
        <w:pStyle w:val="Para0"/>
      </w:pPr>
    </w:p>
    <w:p w14:paraId="3A2515C6" w14:textId="056A3DAA" w:rsidR="0058410D" w:rsidRDefault="0058410D" w:rsidP="0058410D">
      <w:pPr>
        <w:pStyle w:val="Heading1"/>
      </w:pPr>
      <w:bookmarkStart w:id="55" w:name="_Ref24470039"/>
      <w:bookmarkStart w:id="56" w:name="_Toc36033097"/>
      <w:r>
        <w:lastRenderedPageBreak/>
        <w:t>Conclusions and recommended future investigations</w:t>
      </w:r>
      <w:bookmarkEnd w:id="55"/>
      <w:bookmarkEnd w:id="56"/>
    </w:p>
    <w:p w14:paraId="5F54F1D8" w14:textId="64E92245" w:rsidR="0070334A" w:rsidRDefault="0070334A" w:rsidP="0070334A">
      <w:pPr>
        <w:pStyle w:val="Para0"/>
      </w:pPr>
      <w:r>
        <w:t>Given developments over the last 11 years and the current state of knowledge about Melbourne’s forested catchments, our assessment of four broad conclusions that were made in the WWS2008 Mein (2008) Summary Report are as follows:</w:t>
      </w:r>
    </w:p>
    <w:p w14:paraId="3E511ADF" w14:textId="77777777" w:rsidR="0070334A" w:rsidRDefault="0070334A" w:rsidP="001B7033">
      <w:pPr>
        <w:pStyle w:val="Para0bullet"/>
        <w:numPr>
          <w:ilvl w:val="0"/>
          <w:numId w:val="30"/>
        </w:numPr>
        <w:spacing w:before="240"/>
        <w:ind w:left="993"/>
        <w:rPr>
          <w:i/>
        </w:rPr>
      </w:pPr>
      <w:r w:rsidRPr="00837DB3">
        <w:rPr>
          <w:i/>
        </w:rPr>
        <w:t>The expected yield of the water supply catchments is increasing, due to the continued aging of the forest after the 1939 bushfires.</w:t>
      </w:r>
    </w:p>
    <w:p w14:paraId="0AED2D15" w14:textId="381CD62E" w:rsidR="0070334A" w:rsidRPr="00837DB3" w:rsidRDefault="00DC5F5B" w:rsidP="00BC0CF0">
      <w:pPr>
        <w:pStyle w:val="Para0"/>
        <w:ind w:left="993"/>
      </w:pPr>
      <w:r>
        <w:t>Inflows to Melbourne’s reservoirs over the 1997</w:t>
      </w:r>
      <w:r w:rsidR="004F2415">
        <w:rPr>
          <w:rFonts w:cs="Arial"/>
        </w:rPr>
        <w:t>–</w:t>
      </w:r>
      <w:r>
        <w:t>2018 period were 31% below the long</w:t>
      </w:r>
      <w:r w:rsidR="00D61F2C">
        <w:t>-</w:t>
      </w:r>
      <w:r>
        <w:t>term mean due to mean annual rainfall being about 11% below average. Some of Melbourne’s forested catchments were affected by high</w:t>
      </w:r>
      <w:r w:rsidR="007055A8">
        <w:t xml:space="preserve"> </w:t>
      </w:r>
      <w:r>
        <w:t>severity fires in 2009. Had rainfall been at the long-term mean and there had been no bushfires, this</w:t>
      </w:r>
      <w:r w:rsidR="00163E72">
        <w:t xml:space="preserve"> </w:t>
      </w:r>
      <w:r w:rsidR="0070334A">
        <w:t xml:space="preserve">conclusion </w:t>
      </w:r>
      <w:r w:rsidR="00163E72">
        <w:t xml:space="preserve">would have </w:t>
      </w:r>
      <w:r w:rsidR="0070334A">
        <w:t>remain</w:t>
      </w:r>
      <w:r w:rsidR="00163E72">
        <w:t>ed</w:t>
      </w:r>
      <w:r w:rsidR="0070334A">
        <w:t xml:space="preserve"> valid</w:t>
      </w:r>
      <w:r w:rsidR="004F2415">
        <w:t>.</w:t>
      </w:r>
      <w:r w:rsidR="0070334A">
        <w:t xml:space="preserve"> </w:t>
      </w:r>
      <w:r>
        <w:t xml:space="preserve">However, future catchment water yields will depend upon future climatic conditions and bushfires. </w:t>
      </w:r>
      <w:r w:rsidR="009E642C" w:rsidRPr="00986786">
        <w:fldChar w:fldCharType="begin" w:fldLock="1"/>
      </w:r>
      <w:r w:rsidR="00544257">
        <w:instrText>ADDIN CSL_CITATION {"citationItems":[{"id":"ITEM-1","itemData":{"DOI":"10.1016/j.jhydrol.2013.02.001","ISSN":"00221694","abstract":"In February 2009, wildfire affected nine catchments, or approximately 28% of forested catchment area that supplies water to the city of Melbourne, Australia. This has potential to significantly affect the long term water use of these Eucalyptus forests and the consequential water yield because of the ecohydrologic response of some eucalypt species. Approximately 11% of the catchment area was severely burnt by intense fire, where vegetation mortality is higher. Catchment scale models using a physically-based approach were developed for the fire-affected water supply catchments. Different inputs of climate and forest mortality after fire were used to examine the relative contributions of rainfall, fire severity, forest type and forest age on post-fire streamflow. Simulations show the effect of fire on long term streamflow is likely to depend on a number of factors, the relative influence of which changes as rainfall becomes more limiting. Under average rainfall conditions, total reduction in post-fire streamflow after 100 years estimated to be between 1.4% (~12 GL year-1) and 2.8% (~24 GL year-1) are an order of magnitude lower than reductions in total catchment inflow during the period of low rainfall between 1997 and 2009, in which reservoir inflow was reduced by nearly 37%. The main reasons for the lower than expected changes in water yield are that a lower proportion of the catchments were affected by severe fire, and so mortality within the fire area was relatively low, and that the average age of the forest canopy (93 years) is younger than what is generally considered old growth forest. This means that the baseline (no-fire) streamflow used for reference is lower than would be expected with older, mature forest. The greatest post-fire affect on total water yield was predicted for the O'Shannassy catchment. This is due to the average forest age, which is the oldest of any of the catchments, that it has the highest average rainfall (1680 mm year-1), and that it contains the largest proportion of ash-type forest severely burnt (38.7%). Under wetter than average conditions, change in post-fire water yield is largely explained by changes in average age of the forest. The rates of ET are largely determined by the conductance and interception of the forest canopy. Under lower than average rainfall conditions, when water becomes limiting, annual rainfall is the best predictor of post-fire change in water yield. Under conditions of low rainfall and low soil…","author":[{"dropping-particle":"","family":"Feikema","given":"Paul M.","non-dropping-particle":"","parse-names":false,"suffix":""},{"dropping-particle":"","family":"Sherwin","given":"Christopher B.","non-dropping-particle":"","parse-names":false,"suffix":""},{"dropping-particle":"","family":"Lane","given":"Patrick N.J.","non-dropping-particle":"","parse-names":false,"suffix":""}],"container-title":"Journal of Hydrology","id":"ITEM-1","issued":{"date-parts":[["2013"]]},"page":"1-16","publisher":"Elsevier B.V.","title":"Influence of climate, fire severity and forest mortality on predictions of long term streamflow: Potential effect of the 2009 wildfire on Melbourne's water supply catchments","type":"article-journal","volume":"488"},"uris":["http://www.mendeley.com/documents/?uuid=b8b6f6f1-35bf-4145-b4d6-974245f2e21b"]}],"mendeley":{"formattedCitation":"(Feikema &lt;i&gt;et al.&lt;/i&gt;, 2013)","manualFormatting":"Feikema et al. (2013)","plainTextFormattedCitation":"(Feikema et al., 2013)","previouslyFormattedCitation":"(Feikema &lt;i&gt;et al.&lt;/i&gt;, 2013)"},"properties":{"noteIndex":0},"schema":"https://github.com/citation-style-language/schema/raw/master/csl-citation.json"}</w:instrText>
      </w:r>
      <w:r w:rsidR="009E642C" w:rsidRPr="00986786">
        <w:fldChar w:fldCharType="separate"/>
      </w:r>
      <w:r w:rsidR="009E642C" w:rsidRPr="00986786">
        <w:rPr>
          <w:noProof/>
        </w:rPr>
        <w:t xml:space="preserve">Feikema </w:t>
      </w:r>
      <w:r w:rsidR="001C1F9A" w:rsidRPr="001C1F9A">
        <w:rPr>
          <w:i/>
          <w:iCs/>
          <w:noProof/>
        </w:rPr>
        <w:t>et al.</w:t>
      </w:r>
      <w:r w:rsidR="009E642C" w:rsidRPr="00986786">
        <w:rPr>
          <w:noProof/>
        </w:rPr>
        <w:t xml:space="preserve"> (2013)</w:t>
      </w:r>
      <w:r w:rsidR="009E642C" w:rsidRPr="00986786">
        <w:fldChar w:fldCharType="end"/>
      </w:r>
      <w:r w:rsidR="009E642C" w:rsidRPr="00986786">
        <w:t xml:space="preserve"> provides reasonable projections of </w:t>
      </w:r>
      <w:r w:rsidR="001834A2">
        <w:t>catchment water yield</w:t>
      </w:r>
      <w:r w:rsidR="009E642C" w:rsidRPr="00986786">
        <w:t xml:space="preserve"> from those catchments that were severely affected by the 2009 bushfires</w:t>
      </w:r>
      <w:r w:rsidR="009E642C">
        <w:t xml:space="preserve">, estimating that the total reduction in </w:t>
      </w:r>
      <w:r w:rsidR="001834A2">
        <w:t>catchment water yield</w:t>
      </w:r>
      <w:r w:rsidR="00D14E64">
        <w:t xml:space="preserve"> for all of Melbourne’s catchments, over coming decades,</w:t>
      </w:r>
      <w:r w:rsidR="009E642C">
        <w:t xml:space="preserve"> is projected to be between 12 and 24 GL/year</w:t>
      </w:r>
      <w:r w:rsidR="0066119E">
        <w:t>.</w:t>
      </w:r>
    </w:p>
    <w:p w14:paraId="4880B50D" w14:textId="30B150CE" w:rsidR="0070334A" w:rsidRDefault="0070334A" w:rsidP="001B7033">
      <w:pPr>
        <w:pStyle w:val="Para0bullet"/>
        <w:numPr>
          <w:ilvl w:val="0"/>
          <w:numId w:val="30"/>
        </w:numPr>
        <w:spacing w:before="240"/>
        <w:ind w:left="993" w:hanging="142"/>
        <w:rPr>
          <w:i/>
        </w:rPr>
      </w:pPr>
      <w:r w:rsidRPr="00837DB3">
        <w:rPr>
          <w:i/>
        </w:rPr>
        <w:t xml:space="preserve">The impacts of changing timber management regimes on cumulative water yield are relatively small, modelled here as being all within </w:t>
      </w:r>
      <w:r w:rsidR="00F76B07">
        <w:rPr>
          <w:rFonts w:cs="Arial"/>
        </w:rPr>
        <w:t>–</w:t>
      </w:r>
      <w:r w:rsidRPr="00837DB3">
        <w:rPr>
          <w:i/>
        </w:rPr>
        <w:t>1.5% of the cease-logging regime.</w:t>
      </w:r>
    </w:p>
    <w:p w14:paraId="468A4E85" w14:textId="407AAFA7" w:rsidR="0066119E" w:rsidRPr="0066119E" w:rsidRDefault="0066119E" w:rsidP="00BC0CF0">
      <w:pPr>
        <w:pStyle w:val="Para0"/>
        <w:ind w:left="993"/>
      </w:pPr>
      <w:r w:rsidRPr="00BC0CF0">
        <w:t>WWS2008</w:t>
      </w:r>
      <w:r>
        <w:t xml:space="preserve"> considered climate change, timber harvesting and bushfires in isolation. The WWS2008 Summary Report (Mein, 2008) recommended that a </w:t>
      </w:r>
      <w:r w:rsidR="004E3101">
        <w:t>Monte Carlo</w:t>
      </w:r>
      <w:r>
        <w:t xml:space="preserve"> approach should be undertaken to assess the combined effects of bushfires and climate change on </w:t>
      </w:r>
      <w:r w:rsidR="001834A2">
        <w:t>catchment water yield</w:t>
      </w:r>
      <w:r>
        <w:t xml:space="preserve"> to Melbourne’s reservoirs. </w:t>
      </w:r>
      <w:r w:rsidRPr="0066119E">
        <w:t xml:space="preserve">Until further modelling is undertaken, WWS2008 </w:t>
      </w:r>
      <w:r w:rsidR="0033301A">
        <w:t>still represents</w:t>
      </w:r>
      <w:r w:rsidR="0033301A" w:rsidRPr="0066119E">
        <w:t xml:space="preserve"> </w:t>
      </w:r>
      <w:r w:rsidRPr="0066119E">
        <w:t xml:space="preserve">the most reliable projections of changes in </w:t>
      </w:r>
      <w:r w:rsidR="001834A2">
        <w:t>catchment water yield</w:t>
      </w:r>
      <w:r w:rsidRPr="0066119E">
        <w:t xml:space="preserve"> from Melbourne’s forested catchments between the current timber harvesting regime and scenarios for cessation of logging across the catchments.</w:t>
      </w:r>
      <w:r w:rsidR="00163E72" w:rsidRPr="00163E72">
        <w:t xml:space="preserve"> </w:t>
      </w:r>
      <w:r w:rsidR="00163E72">
        <w:fldChar w:fldCharType="begin" w:fldLock="1"/>
      </w:r>
      <w:r w:rsidR="00D11C5B">
        <w:instrText>ADDIN CSL_CITATION {"citationItems":[{"id":"ITEM-1","itemData":{"author":[{"dropping-particle":"","family":"Mein","given":"Russell","non-dropping-particle":"","parse-names":false,"suffix":""}],"id":"ITEM-1","issue":"May","issued":{"date-parts":[["2008"]]},"number-of-pages":"24","title":"Potential impacts of forest management on streamflow in Melbourne’s water supply catchments Summary report","type":"report"},"uris":["http://www.mendeley.com/documents/?uuid=8b5f64af-8bc5-46a2-bf12-c3f57288c5f8"]}],"mendeley":{"formattedCitation":"(Mein, 2008)","manualFormatting":"Mein (2008)","plainTextFormattedCitation":"(Mein, 2008)","previouslyFormattedCitation":"(Mein, 2008)"},"properties":{"noteIndex":0},"schema":"https://github.com/citation-style-language/schema/raw/master/csl-citation.json"}</w:instrText>
      </w:r>
      <w:r w:rsidR="00163E72">
        <w:fldChar w:fldCharType="separate"/>
      </w:r>
      <w:r w:rsidR="00163E72" w:rsidRPr="003E3C3E">
        <w:rPr>
          <w:noProof/>
        </w:rPr>
        <w:t xml:space="preserve">Mein </w:t>
      </w:r>
      <w:r w:rsidR="00163E72">
        <w:rPr>
          <w:noProof/>
        </w:rPr>
        <w:t>(</w:t>
      </w:r>
      <w:r w:rsidR="00163E72" w:rsidRPr="003E3C3E">
        <w:rPr>
          <w:noProof/>
        </w:rPr>
        <w:t>2008)</w:t>
      </w:r>
      <w:r w:rsidR="00163E72">
        <w:fldChar w:fldCharType="end"/>
      </w:r>
      <w:r w:rsidR="00163E72" w:rsidRPr="00986786">
        <w:t xml:space="preserve"> </w:t>
      </w:r>
      <w:r w:rsidR="00163E72">
        <w:t xml:space="preserve">calculated that by 40 years after the cessation of logging, there would be an </w:t>
      </w:r>
      <w:r w:rsidR="002D1B8A">
        <w:t xml:space="preserve">annual </w:t>
      </w:r>
      <w:r w:rsidR="00163E72">
        <w:t xml:space="preserve">increase of 16 GL/year in </w:t>
      </w:r>
      <w:r w:rsidR="002D1B8A">
        <w:t xml:space="preserve">catchment </w:t>
      </w:r>
      <w:r w:rsidR="00163E72">
        <w:t xml:space="preserve">water yield and a cumulative increase of 190 GL in </w:t>
      </w:r>
      <w:r w:rsidR="00A55D05">
        <w:t xml:space="preserve">catchment </w:t>
      </w:r>
      <w:r w:rsidR="00163E72">
        <w:t>water yield over a 40 year period. It is recommended that the value</w:t>
      </w:r>
      <w:r w:rsidR="002D1B8A">
        <w:t>s</w:t>
      </w:r>
      <w:r w:rsidR="00163E72">
        <w:t xml:space="preserve"> of th</w:t>
      </w:r>
      <w:r w:rsidR="002D1B8A">
        <w:t>ese</w:t>
      </w:r>
      <w:r w:rsidR="00163E72">
        <w:t xml:space="preserve"> increase</w:t>
      </w:r>
      <w:r w:rsidR="002D1B8A">
        <w:t>s</w:t>
      </w:r>
      <w:r w:rsidR="00163E72">
        <w:t xml:space="preserve"> in </w:t>
      </w:r>
      <w:r w:rsidR="00A55D05">
        <w:t xml:space="preserve">catchment </w:t>
      </w:r>
      <w:r w:rsidR="00163E72">
        <w:t xml:space="preserve">water yield </w:t>
      </w:r>
      <w:r w:rsidR="002D1B8A">
        <w:t xml:space="preserve">be </w:t>
      </w:r>
      <w:r w:rsidR="00163E72">
        <w:t xml:space="preserve">incorporated into an analysis of </w:t>
      </w:r>
      <w:r w:rsidR="00163E72" w:rsidRPr="00986786">
        <w:t xml:space="preserve">cultural, economic, social and environmental </w:t>
      </w:r>
      <w:r w:rsidR="00163E72">
        <w:t xml:space="preserve">costs and benefits </w:t>
      </w:r>
      <w:r w:rsidR="00163E72" w:rsidRPr="00986786">
        <w:t xml:space="preserve">under </w:t>
      </w:r>
      <w:r w:rsidR="00163E72">
        <w:t>a</w:t>
      </w:r>
      <w:r w:rsidR="00163E72" w:rsidRPr="00986786">
        <w:t xml:space="preserve"> range of </w:t>
      </w:r>
      <w:r w:rsidR="00163E72">
        <w:t xml:space="preserve">future plausible </w:t>
      </w:r>
      <w:r w:rsidR="00163E72" w:rsidRPr="00986786">
        <w:t>scenarios</w:t>
      </w:r>
      <w:r w:rsidR="00163E72">
        <w:t>.</w:t>
      </w:r>
      <w:r w:rsidRPr="0066119E">
        <w:t xml:space="preserve"> Annual average rates of timber harvesting, in terms of area logged, for the last decade have been similar to the rates of harvesting (in terms of area) that were projected for the continuation of status quo timber harvesting scenario in WWS2008. </w:t>
      </w:r>
      <w:r w:rsidR="00A70DC2">
        <w:fldChar w:fldCharType="begin" w:fldLock="1"/>
      </w:r>
      <w:r w:rsidR="0005134E">
        <w:instrText>ADDIN CSL_CITATION {"citationItems":[{"id":"ITEM-1","itemData":{"author":[{"dropping-particle":"","family":"Taylor","given":"Chris","non-dropping-particle":"","parse-names":false,"suffix":""},{"dropping-particle":"","family":"Blair","given":"David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B","non-dropping-particle":"","parse-names":false,"suffix":""}],"id":"ITEM-1","issue":"November","issued":{"date-parts":[["2018"]]},"publisher-place":"Canberra, Australia","title":"Resource Conflict Across Melbourne’s Largest Domestic Water Supply Catchment","type":"report"},"uris":["http://www.mendeley.com/documents/?uuid=64fbe6cf-c8aa-4d91-b97a-576d192b2d57"]},{"id":"ITEM-2","itemData":{"DOI":"10.1016/j.scitotenv.2019.06.298","ISSN":"18791026","abstract":"Natural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Environment","id":"ITEM-2","issued":{"date-parts":[["2019"]]},"page":"890-902","publisher":"Elsevier B.V.","title":"Modelling water yields in response to logging and Representative Climate Futures","type":"article-journal","volume":"688"},"uris":["http://www.mendeley.com/documents/?uuid=1cdcec29-bfbb-4f36-a7e1-a05c284b4dc6"]}],"mendeley":{"formattedCitation":"(Taylor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Pr="0066119E">
        <w:t xml:space="preserve"> produced higher projected </w:t>
      </w:r>
      <w:r w:rsidR="00C95629" w:rsidRPr="0066119E">
        <w:t>increases</w:t>
      </w:r>
      <w:r w:rsidRPr="0066119E">
        <w:t xml:space="preserve"> in </w:t>
      </w:r>
      <w:r w:rsidR="001834A2">
        <w:t>catchment water yield</w:t>
      </w:r>
      <w:r w:rsidRPr="0066119E">
        <w:t xml:space="preserve"> due to cessation of logging for the Thomson catchment than those that were predicted by WWS2008 for the closest comparable scenario. It is difficult to be certain </w:t>
      </w:r>
      <w:r w:rsidRPr="0066119E">
        <w:lastRenderedPageBreak/>
        <w:t>without access to their model</w:t>
      </w:r>
      <w:r w:rsidR="002F16AC">
        <w:t>,</w:t>
      </w:r>
      <w:r w:rsidRPr="0066119E">
        <w:t xml:space="preserve"> but from the material presented in </w:t>
      </w:r>
      <w:r w:rsidR="00A70DC2">
        <w:fldChar w:fldCharType="begin" w:fldLock="1"/>
      </w:r>
      <w:r w:rsidR="0005134E">
        <w:instrText>ADDIN CSL_CITATION {"citationItems":[{"id":"ITEM-1","itemData":{"author":[{"dropping-particle":"","family":"Taylor","given":"Chris","non-dropping-particle":"","parse-names":false,"suffix":""},{"dropping-particle":"","family":"Blair","given":"David P","non-dropping-particle":"","parse-names":false,"suffix":""},{"dropping-particle":"","family":"Keith","given":"Heather","non-dropping-particle":"","parse-names":false,"suffix":""},{"dropping-particle":"","family":"Lindenmayer","given":"David B","non-dropping-particle":"","parse-names":false,"suffix":""}],"id":"ITEM-1","issue":"November","issued":{"date-parts":[["2018"]]},"publisher-place":"Canberra, Australia","title":"Resource Conflict Across Melbourne’s Largest Domestic Water Supply Catchment","type":"report"},"uris":["http://www.mendeley.com/documents/?uuid=64fbe6cf-c8aa-4d91-b97a-576d192b2d57"]},{"id":"ITEM-2","itemData":{"DOI":"10.1016/j.scitotenv.2019.06.298","ISSN":"18791026","abstract":"Natural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Environment","id":"ITEM-2","issued":{"date-parts":[["2019"]]},"page":"890-902","publisher":"Elsevier B.V.","title":"Modelling water yields in response to logging and Representative Climate Futures","type":"article-journal","volume":"688"},"uris":["http://www.mendeley.com/documents/?uuid=1cdcec29-bfbb-4f36-a7e1-a05c284b4dc6"]}],"mendeley":{"formattedCitation":"(Taylor &lt;i&gt;et al.&lt;/i&gt;, 2018, 2019)","manualFormatting":"Taylor et al. (2018, 2019)","plainTextFormattedCitation":"(Taylor et al., 2018, 2019)","previouslyFormattedCitation":"(Taylor &lt;i&gt;et al.&lt;/i&gt;, 2018, 2019)"},"properties":{"noteIndex":0},"schema":"https://github.com/citation-style-language/schema/raw/master/csl-citation.json"}</w:instrText>
      </w:r>
      <w:r w:rsidR="00A70DC2">
        <w:fldChar w:fldCharType="separate"/>
      </w:r>
      <w:r w:rsidR="00A70DC2" w:rsidRPr="00A70DC2">
        <w:rPr>
          <w:noProof/>
        </w:rPr>
        <w:t xml:space="preserve">Taylor </w:t>
      </w:r>
      <w:r w:rsidR="001C1F9A" w:rsidRPr="001C1F9A">
        <w:rPr>
          <w:i/>
          <w:noProof/>
        </w:rPr>
        <w:t>et al.</w:t>
      </w:r>
      <w:r w:rsidR="00A70DC2">
        <w:rPr>
          <w:noProof/>
        </w:rPr>
        <w:t xml:space="preserve"> (</w:t>
      </w:r>
      <w:r w:rsidR="00A70DC2" w:rsidRPr="00A70DC2">
        <w:rPr>
          <w:noProof/>
        </w:rPr>
        <w:t>2018, 2019)</w:t>
      </w:r>
      <w:r w:rsidR="00A70DC2">
        <w:fldChar w:fldCharType="end"/>
      </w:r>
      <w:r w:rsidRPr="0066119E">
        <w:t xml:space="preserve"> it appears that several simplifying assumptions were made, which were all likely to have over-estimated the impact of timber harvesting on </w:t>
      </w:r>
      <w:r w:rsidR="001834A2">
        <w:t>catchment water yield</w:t>
      </w:r>
      <w:r w:rsidRPr="0066119E">
        <w:t xml:space="preserve"> in the Thomson catchment. </w:t>
      </w:r>
    </w:p>
    <w:p w14:paraId="0CAE9DF9" w14:textId="01C6062A" w:rsidR="0070334A" w:rsidRDefault="0070334A" w:rsidP="001B7033">
      <w:pPr>
        <w:pStyle w:val="Para0bullet"/>
        <w:numPr>
          <w:ilvl w:val="0"/>
          <w:numId w:val="30"/>
        </w:numPr>
        <w:spacing w:before="240"/>
        <w:ind w:left="993" w:hanging="142"/>
        <w:rPr>
          <w:i/>
        </w:rPr>
      </w:pPr>
      <w:r w:rsidRPr="00837DB3">
        <w:rPr>
          <w:i/>
        </w:rPr>
        <w:t>The impact of climate change on water yield can be large. For every 1% decrease in long-term average rainfall, water yield is reduced by 2</w:t>
      </w:r>
      <w:r w:rsidR="00F76B07">
        <w:rPr>
          <w:rFonts w:cs="Arial"/>
        </w:rPr>
        <w:t>–</w:t>
      </w:r>
      <w:r w:rsidRPr="00837DB3">
        <w:rPr>
          <w:i/>
        </w:rPr>
        <w:t>3% in all catchments. [For the last 10 years the reduction in flows has been of the order of 30%</w:t>
      </w:r>
      <w:r w:rsidR="002D1B8A">
        <w:rPr>
          <w:i/>
        </w:rPr>
        <w:t>.</w:t>
      </w:r>
      <w:r w:rsidRPr="00837DB3">
        <w:rPr>
          <w:i/>
        </w:rPr>
        <w:t xml:space="preserve">] </w:t>
      </w:r>
    </w:p>
    <w:p w14:paraId="4B84BED0" w14:textId="51176C5F" w:rsidR="0070334A" w:rsidRPr="00837DB3" w:rsidRDefault="0066119E" w:rsidP="00BC0CF0">
      <w:pPr>
        <w:pStyle w:val="Para0"/>
        <w:ind w:left="993"/>
      </w:pPr>
      <w:r>
        <w:t xml:space="preserve">The observation that proportional reductions in mean annual </w:t>
      </w:r>
      <w:r w:rsidR="001834A2">
        <w:t>catchment water yield</w:t>
      </w:r>
      <w:r>
        <w:t xml:space="preserve"> are between two and three times the proportional reductions in mean annual precipitation remains reasonably consistent with observed streamflow and rainfall data in Melbourne’s catchments</w:t>
      </w:r>
      <w:r w:rsidR="002D1B8A">
        <w:t>,</w:t>
      </w:r>
      <w:r>
        <w:t xml:space="preserve"> and results from several modelling studies </w:t>
      </w:r>
      <w:r>
        <w:fldChar w:fldCharType="begin" w:fldLock="1"/>
      </w:r>
      <w:r w:rsidR="00544257">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Futures","type":"article-journal","volume":"688"},"uris":["http://www.mendeley.com/documents/?uuid=795c626b-8dac-4fb8-9ceb-eae2400fc9f4"]},{"id":"ITEM-2","itemData":{"DOI":"10.1080/02626667.2014.961923","ISSN":"21503435","abstract":"This paper quantifies the impacts of bushfire and climate variability on streamflow from three southeast Australian catchments where bushfires occurred in February 1983. Three hydrological models (AWRA-L, Xinanjiang and GR4J) were first calibrated against streamflow data from the pre-bushfire period and then used to simulate runoff for the post-bushfire period with the calibrated parameters. The difference in simulated streamflow between pre- and post-bushfire periods provides an estimate of the impact of climate variability on streamflow. The impact of bushfire on streamflow is quantified by removing the climate variability impact from the difference in mean annual observed streamflow between post- and pre-bushfire periods. For the first 15 years after the 1983 bushfires, the results from hydrological models for the three catchments indicate that there is a substantial increase in streamflow; this is attributed to initial decreases in evapotranspiration and soil infiltration rates resulting from the fires, followed by logging activity. After 15 years, streamflow dynamics are more heavily influenced by climate effects, although some impact from fire and logging regeneration may still occur. The results show that hydrological models provide reasonably consistent estimates of bushfire and climate impacts on streamflow for the three catchments. The models can be used to quantify relative contributions of forest disturbance (bushfire, logging and other forest management) and climate variability. The results presented can also help forest managers understand the relationship between bushfire and climate variability impacts on water yield in the context of climate variability.","author":[{"dropping-particle":"","family":"Zhou","given":"Yanchun","non-dropping-particle":"","parse-names":false,"suffix":""},{"dropping-particle":"","family":"Zhang","given":"Yongqiang","non-dropping-particle":"","parse-names":false,"suffix":""},{"dropping-particle":"","family":"Vaze","given":"Jai","non-dropping-particle":"","parse-names":false,"suffix":""},{"dropping-particle":"","family":"Lane","given":"Patrick","non-dropping-particle":"","parse-names":false,"suffix":""},{"dropping-particle":"","family":"Xu","given":"Shiguo","non-dropping-particle":"","parse-names":false,"suffix":""}],"container-title":"Hydrological Sciences Journal","id":"ITEM-2","issue":"7-8","issued":{"date-parts":[["2015"]]},"page":"1340-1360","publisher":"Taylor &amp; Francis","title":"Impact of bushfire and climate variability on streamflow from forested catchments in southeast Australia","type":"article-journal","volume":"60"},"uris":["http://www.mendeley.com/documents/?uuid=407e84ee-673b-48d1-84fd-e64f41530508"]}],"mendeley":{"formattedCitation":"(Zhou &lt;i&gt;et al.&lt;/i&gt;, 2015; Taylor &lt;i&gt;et al.&lt;/i&gt;, 2019)","plainTextFormattedCitation":"(Zhou et al., 2015; Taylor et al., 2019)","previouslyFormattedCitation":"(Zhou &lt;i&gt;et al.&lt;/i&gt;, 2015; Taylor &lt;i&gt;et al.&lt;/i&gt;, 2019)"},"properties":{"noteIndex":0},"schema":"https://github.com/citation-style-language/schema/raw/master/csl-citation.json"}</w:instrText>
      </w:r>
      <w:r>
        <w:fldChar w:fldCharType="separate"/>
      </w:r>
      <w:r w:rsidR="007416C7" w:rsidRPr="007416C7">
        <w:rPr>
          <w:noProof/>
        </w:rPr>
        <w:t xml:space="preserve">(Zhou </w:t>
      </w:r>
      <w:r w:rsidR="007416C7" w:rsidRPr="007416C7">
        <w:rPr>
          <w:i/>
          <w:noProof/>
        </w:rPr>
        <w:t>et al.</w:t>
      </w:r>
      <w:r w:rsidR="007416C7" w:rsidRPr="007416C7">
        <w:rPr>
          <w:noProof/>
        </w:rPr>
        <w:t xml:space="preserve">, 2015; Taylor </w:t>
      </w:r>
      <w:r w:rsidR="007416C7" w:rsidRPr="007416C7">
        <w:rPr>
          <w:i/>
          <w:noProof/>
        </w:rPr>
        <w:t>et al.</w:t>
      </w:r>
      <w:r w:rsidR="007416C7" w:rsidRPr="007416C7">
        <w:rPr>
          <w:noProof/>
        </w:rPr>
        <w:t>, 2019)</w:t>
      </w:r>
      <w:r>
        <w:fldChar w:fldCharType="end"/>
      </w:r>
      <w:r>
        <w:t xml:space="preserve">. Uncertainties in projected changes in precipitation, temperature and PET are considerable, particularly for </w:t>
      </w:r>
      <w:r w:rsidR="007F5DB2">
        <w:t>projections that are several decades into the future. In addition, previous modelling has not explicitly considered changes in forest types, which may be induced by climate change or more frequent high severity bushfires</w:t>
      </w:r>
      <w:r w:rsidR="002D1B8A">
        <w:t>,</w:t>
      </w:r>
      <w:r w:rsidR="007F5DB2">
        <w:t xml:space="preserve"> and </w:t>
      </w:r>
      <w:r w:rsidR="002D1B8A">
        <w:t xml:space="preserve">so </w:t>
      </w:r>
      <w:r w:rsidR="007F5DB2">
        <w:t>may not adequatel</w:t>
      </w:r>
      <w:r w:rsidR="001245B3">
        <w:t>y represent changes in rainfall</w:t>
      </w:r>
      <w:r w:rsidR="001245B3">
        <w:noBreakHyphen/>
      </w:r>
      <w:r w:rsidR="007F5DB2">
        <w:t xml:space="preserve">runoff generation response that have been observed across many Victorian catchments. Further modelling would be required to provide updated projections of </w:t>
      </w:r>
      <w:r w:rsidR="001834A2">
        <w:t>catchment water yield</w:t>
      </w:r>
      <w:r w:rsidR="007F5DB2">
        <w:t xml:space="preserve"> under climate change for Melbourne’s forested catchments</w:t>
      </w:r>
      <w:r w:rsidR="00D246FE">
        <w:t>;</w:t>
      </w:r>
      <w:r w:rsidR="007F5DB2">
        <w:t xml:space="preserve"> </w:t>
      </w:r>
      <w:r w:rsidR="00D246FE">
        <w:t xml:space="preserve">such modelling should </w:t>
      </w:r>
      <w:r w:rsidR="007F5DB2">
        <w:t>consider the overlapping effects of climate change, timber harvesting and bushfires.</w:t>
      </w:r>
    </w:p>
    <w:p w14:paraId="21EF22AA" w14:textId="77777777" w:rsidR="0070334A" w:rsidRPr="00837DB3" w:rsidRDefault="0070334A" w:rsidP="001B7033">
      <w:pPr>
        <w:pStyle w:val="Para0bullet"/>
        <w:numPr>
          <w:ilvl w:val="0"/>
          <w:numId w:val="30"/>
        </w:numPr>
        <w:spacing w:before="240"/>
        <w:ind w:left="993" w:hanging="142"/>
        <w:rPr>
          <w:i/>
        </w:rPr>
      </w:pPr>
      <w:r w:rsidRPr="00837DB3">
        <w:rPr>
          <w:i/>
        </w:rPr>
        <w:t>The potential impact of bushfires is also major. A repeat of the 1939 bushfires would see a decrease of 15% of the inflow to the Thomson Dam over the following 50 years.</w:t>
      </w:r>
    </w:p>
    <w:p w14:paraId="58CEE5E6" w14:textId="1763D539" w:rsidR="0070334A" w:rsidRDefault="007F5DB2" w:rsidP="00BC0CF0">
      <w:pPr>
        <w:pStyle w:val="Para0"/>
        <w:ind w:left="993"/>
      </w:pPr>
      <w:r>
        <w:t xml:space="preserve">The conclusion remains valid that a future high severity bushfire, which affected a significant area of one or more catchments, would have a significant future impact on </w:t>
      </w:r>
      <w:r w:rsidR="001834A2">
        <w:t>catchment water yield</w:t>
      </w:r>
      <w:r>
        <w:t>. Further modelling would be required to provide updated projections of the impact of future bushfires. Such modelling should consider the overlapping effects of bushfires, climate change, climate variability and timber harvesting.</w:t>
      </w:r>
    </w:p>
    <w:p w14:paraId="22604C90" w14:textId="0AA56ADB" w:rsidR="00DD3286" w:rsidRPr="00FF0715" w:rsidRDefault="00185E6F" w:rsidP="00DD3286">
      <w:pPr>
        <w:pStyle w:val="Para0"/>
      </w:pPr>
      <w:r>
        <w:t>Any f</w:t>
      </w:r>
      <w:r w:rsidR="0058410D">
        <w:t>uture studies should quantify how climate variability and climate change, timber harvesting and bushfires combine to influence</w:t>
      </w:r>
      <w:r w:rsidR="004E3508">
        <w:t xml:space="preserve"> catchment water yield and hence</w:t>
      </w:r>
      <w:r w:rsidR="0058410D">
        <w:t xml:space="preserve"> the volumes of water that </w:t>
      </w:r>
      <w:r w:rsidR="00277FC2">
        <w:t xml:space="preserve">need to be </w:t>
      </w:r>
      <w:r w:rsidR="005170AC">
        <w:t>supplied from other sources</w:t>
      </w:r>
      <w:r w:rsidR="0058410D">
        <w:t>.</w:t>
      </w:r>
      <w:r w:rsidR="00DD3286">
        <w:t xml:space="preserve"> It is therefore recommended that an analysis </w:t>
      </w:r>
      <w:r w:rsidR="00F76B07">
        <w:t xml:space="preserve">be </w:t>
      </w:r>
      <w:r w:rsidR="00DD3286">
        <w:t>conducted of the cultural, economic, social and</w:t>
      </w:r>
      <w:r w:rsidR="00DD3286" w:rsidRPr="0017262C">
        <w:t xml:space="preserve"> environmental costs and benefits under the range of possible scenarios, </w:t>
      </w:r>
      <w:r w:rsidR="005810F1">
        <w:t>including revised modelling</w:t>
      </w:r>
      <w:r w:rsidR="005810F1" w:rsidRPr="0017262C">
        <w:t xml:space="preserve"> </w:t>
      </w:r>
      <w:r w:rsidR="00DD3286" w:rsidRPr="0017262C">
        <w:t>o</w:t>
      </w:r>
      <w:r w:rsidR="00FF0715">
        <w:t xml:space="preserve">f the change in </w:t>
      </w:r>
      <w:r w:rsidR="001834A2">
        <w:t>catchment water yield</w:t>
      </w:r>
      <w:r w:rsidR="00DD3286" w:rsidRPr="0017262C">
        <w:t>.</w:t>
      </w:r>
    </w:p>
    <w:p w14:paraId="7CF8B855" w14:textId="39620F04" w:rsidR="00277FC2" w:rsidRDefault="004D10F1" w:rsidP="004D10F1">
      <w:pPr>
        <w:pStyle w:val="Para0"/>
      </w:pPr>
      <w:r>
        <w:t xml:space="preserve">Whilst investigations since 2008 about the feedbacks between bushfires, climate change and timber harvesting </w:t>
      </w:r>
      <w:r w:rsidR="00277FC2">
        <w:t>have produced variable results</w:t>
      </w:r>
      <w:r>
        <w:t xml:space="preserve">, an appropriately designed </w:t>
      </w:r>
      <w:r w:rsidR="004E3101">
        <w:t>Monte Carlo</w:t>
      </w:r>
      <w:r>
        <w:t xml:space="preserve"> simulation framework </w:t>
      </w:r>
      <w:r w:rsidR="007820CB">
        <w:t xml:space="preserve">(as </w:t>
      </w:r>
      <w:r w:rsidR="00277FC2">
        <w:t xml:space="preserve">outlined </w:t>
      </w:r>
      <w:r w:rsidR="007820CB">
        <w:t xml:space="preserve">in Section 5.6) </w:t>
      </w:r>
      <w:r>
        <w:t>should be able to cope with simulating these feedbacks in an appropriate manner.</w:t>
      </w:r>
      <w:r w:rsidR="007F1E1F">
        <w:t xml:space="preserve"> The effects of potential changes in species distribution under </w:t>
      </w:r>
      <w:r w:rsidR="007F1E1F">
        <w:lastRenderedPageBreak/>
        <w:t xml:space="preserve">climate change have not been tested in previous modelling of </w:t>
      </w:r>
      <w:r w:rsidR="001834A2">
        <w:t>catchment water yield</w:t>
      </w:r>
      <w:r w:rsidR="007F1E1F">
        <w:t xml:space="preserve"> under climate change in Melbourne’s catchments. More frequent high severity fires due to climate change, and/or the “landscape trap”</w:t>
      </w:r>
      <w:r w:rsidR="00277FC2">
        <w:t xml:space="preserve"> propounded by Lindenmayer </w:t>
      </w:r>
      <w:r w:rsidR="00277FC2" w:rsidRPr="001C1F9A">
        <w:rPr>
          <w:i/>
        </w:rPr>
        <w:t>et al.</w:t>
      </w:r>
      <w:r w:rsidR="00277FC2">
        <w:t xml:space="preserve"> (2011)</w:t>
      </w:r>
      <w:r w:rsidR="00F76B07">
        <w:t>,</w:t>
      </w:r>
      <w:r w:rsidR="007F1E1F">
        <w:t xml:space="preserve"> may ultimately result in loss of ash eucalypt forest to acacia or other species, which may reduce AET and increase catchment water yields in future. </w:t>
      </w:r>
    </w:p>
    <w:p w14:paraId="6E0ADB5A" w14:textId="4A1805A1" w:rsidR="004D10F1" w:rsidRDefault="007F1E1F" w:rsidP="004D10F1">
      <w:pPr>
        <w:pStyle w:val="Para0"/>
      </w:pPr>
      <w:r>
        <w:t xml:space="preserve">Further modelling would be required to provide more reliable projections of changes in </w:t>
      </w:r>
      <w:r w:rsidR="001834A2">
        <w:t>catchment water yield</w:t>
      </w:r>
      <w:r>
        <w:t xml:space="preserve"> under climate change that address these uncertainties.</w:t>
      </w:r>
      <w:r w:rsidR="004D10F1">
        <w:t xml:space="preserve"> The </w:t>
      </w:r>
      <w:r w:rsidR="004E3101">
        <w:t>Monte Carlo</w:t>
      </w:r>
      <w:r w:rsidR="004D10F1">
        <w:t xml:space="preserve"> framework should therefore be designed to allow for the probability that</w:t>
      </w:r>
      <w:r>
        <w:t xml:space="preserve"> climate change and/or</w:t>
      </w:r>
      <w:r w:rsidR="004D10F1">
        <w:t xml:space="preserve"> recurrent high severity fires may result in transition between forest types</w:t>
      </w:r>
      <w:r w:rsidR="00801D93">
        <w:t xml:space="preserve">. </w:t>
      </w:r>
      <w:r w:rsidR="00801D93" w:rsidRPr="00801D93">
        <w:t>Combinations of these factors should be explicitly considered, to provide quantitative estimates of uncertainty in future catchment water yields.</w:t>
      </w:r>
    </w:p>
    <w:p w14:paraId="0B778E68" w14:textId="01E6E339" w:rsidR="008A25A9" w:rsidRDefault="00277FC2" w:rsidP="0058410D">
      <w:pPr>
        <w:pStyle w:val="Para0"/>
      </w:pPr>
      <w:r>
        <w:t>R</w:t>
      </w:r>
      <w:r w:rsidR="00F76B07">
        <w:t xml:space="preserve">ecommendations from Feikema </w:t>
      </w:r>
      <w:r w:rsidR="001C1F9A" w:rsidRPr="001C1F9A">
        <w:rPr>
          <w:i/>
        </w:rPr>
        <w:t>et al.</w:t>
      </w:r>
      <w:r w:rsidR="00F76B07">
        <w:t xml:space="preserve"> (2008) specifically address the need to revisit </w:t>
      </w:r>
      <w:r w:rsidR="001B7033">
        <w:t>leaf area index</w:t>
      </w:r>
      <w:r w:rsidR="00F76B07">
        <w:t xml:space="preserve">. Since 2008, the collection of relevant remotely sensed data and the predictive capability of </w:t>
      </w:r>
      <w:r w:rsidR="00805139">
        <w:t>sapwood area index</w:t>
      </w:r>
      <w:r w:rsidR="00F76B07">
        <w:t xml:space="preserve"> over </w:t>
      </w:r>
      <w:r w:rsidR="00805139">
        <w:t>leaf area index</w:t>
      </w:r>
      <w:r w:rsidR="00F76B07">
        <w:t xml:space="preserve"> have improved. Therefore, </w:t>
      </w:r>
      <w:r w:rsidR="004D10F1">
        <w:t xml:space="preserve">future modelling of </w:t>
      </w:r>
      <w:r w:rsidR="001834A2">
        <w:t>catchment water yield</w:t>
      </w:r>
      <w:r w:rsidR="004D10F1">
        <w:t xml:space="preserve"> should transition to use </w:t>
      </w:r>
      <w:r w:rsidR="001B7033">
        <w:t xml:space="preserve">sapwood area index </w:t>
      </w:r>
      <w:r w:rsidR="004D10F1">
        <w:t xml:space="preserve">instead of </w:t>
      </w:r>
      <w:r w:rsidR="001B7033">
        <w:t>leaf area index</w:t>
      </w:r>
      <w:r w:rsidR="004D10F1">
        <w:t xml:space="preserve">. </w:t>
      </w:r>
    </w:p>
    <w:p w14:paraId="4565BAB6" w14:textId="7A31B16A" w:rsidR="004D10F1" w:rsidRDefault="004D10F1" w:rsidP="0058410D">
      <w:pPr>
        <w:pStyle w:val="Para0"/>
      </w:pPr>
      <w:r>
        <w:t>Future modelling should rely upon the latest relevant research on spatial and temporal variations in AET with forest age and forest type. Attention should be paid to recent analyses demonstrating a potential change in the shape of the Kuczera curve for ash</w:t>
      </w:r>
      <w:r w:rsidR="00F76B07">
        <w:t>-</w:t>
      </w:r>
      <w:r>
        <w:t xml:space="preserve">forested catchments, </w:t>
      </w:r>
      <w:r w:rsidR="00F76B07">
        <w:t xml:space="preserve">and </w:t>
      </w:r>
      <w:r>
        <w:t xml:space="preserve">variations in the shape of the AET versus forest age with mean annual rainfall and forest type. It is recommended that future modelling includes re-calibration to the longer streamflow data sets that are now likely to be available, particularly to confirm that the models can adequately </w:t>
      </w:r>
      <w:r w:rsidR="001245B3">
        <w:t>capture changes in the rainfall</w:t>
      </w:r>
      <w:r w:rsidR="001245B3">
        <w:noBreakHyphen/>
      </w:r>
      <w:r>
        <w:t>runoff generation response under long-term climatic variations and projected climate change.</w:t>
      </w:r>
    </w:p>
    <w:p w14:paraId="14AC8732" w14:textId="6BD48ED2" w:rsidR="004F7267" w:rsidRDefault="004F7267" w:rsidP="004F7267">
      <w:pPr>
        <w:pStyle w:val="Para0"/>
      </w:pPr>
      <w:r w:rsidRPr="00BE591E">
        <w:t xml:space="preserve">Melbourne’s catchments experience a high degree of year to year variability, and are influenced by </w:t>
      </w:r>
      <w:r>
        <w:t>numerous ocean</w:t>
      </w:r>
      <w:r w:rsidR="00F76B07">
        <w:rPr>
          <w:rFonts w:cs="Arial"/>
        </w:rPr>
        <w:t>–</w:t>
      </w:r>
      <w:r>
        <w:t xml:space="preserve">atmosphere mechanisms. </w:t>
      </w:r>
      <w:r w:rsidRPr="00BE591E">
        <w:t xml:space="preserve">In a multidecadal context, there is a high degree of uncertainty about global </w:t>
      </w:r>
      <w:r w:rsidR="008A25A9">
        <w:t xml:space="preserve">temperature </w:t>
      </w:r>
      <w:r w:rsidRPr="00BE591E">
        <w:t>mitigation and therefore future climate change,</w:t>
      </w:r>
      <w:r w:rsidR="00F76B07">
        <w:t xml:space="preserve"> and</w:t>
      </w:r>
      <w:r w:rsidRPr="00BE591E">
        <w:t xml:space="preserve"> this is a very substantial component of uncertainty </w:t>
      </w:r>
      <w:r w:rsidRPr="00BE591E">
        <w:fldChar w:fldCharType="begin" w:fldLock="1"/>
      </w:r>
      <w:r w:rsidR="00544257">
        <w:instrText>ADDIN CSL_CITATION {"citationItems":[{"id":"ITEM-1","itemData":{"DOI":"10.1175/2009BAMS2607.1","abstract":"Faced by the realities of a changing climate, decision makers in a wide variety of organizations are increasingly seeking quantitative predictions of regional and local climate. An important issue for these decision makers, and for organizations that fund climate research, is what is the potential for climate science to deliver improvements-especially reductions in uncertainty-in such predictions? Uncertainty in climate predictions arises from three distinct sources: internal variability, model uncertainty, and scenario uncertainty. Using data from a suite of climate models, we separate and quantify these sources. For predictions of changes in surface air temperature on decadal timescales and regional spatial scales, we show that uncertainty for the next few decades is dominated by sources (model uncertainty and internal variability) that are potentially reducible through progress in climate science. Furthermore, we find that model uncertainty is of greater importance than internal variability. Our findings have implications for managing adaptation to a changing climate. Because the costs of adaptation are very large, and greater uncertainty about future climate is likely to be associated with more expensive adaptation, reducing uncertainty in climate predictions is potentially of enormous economic value. We highlight the need for much more work to compare (a) the cost of various degrees of adaptation, given current levels of uncertainty and (b) the cost of new investments in climate science to reduce current levels of uncertainty. Our study also highlights the importance of targeting climate science investments on the most promising opportunities to reduce prediction uncertainty.","author":[{"dropping-particle":"","family":"Hawkins","given":"E","non-dropping-particle":"","parse-names":false,"suffix":""},{"dropping-particle":"","family":"Sutton","given":"R","non-dropping-particle":"","parse-names":false,"suffix":""}],"container-title":"Bulletin of the American Meteorological Society","id":"ITEM-1","issue":"8","issued":{"date-parts":[["2009","8"]]},"page":"1095-1107","publisher":"Amer Meteorological Soc","title":"The Potential To Narrow Uncertainty In Regional Climate Predictions","type":"article-journal","volume":"90"},"uris":["http://www.mendeley.com/documents/?uuid=5808896c-be8b-4b4a-a3a2-4709eb632793","http://www.mendeley.com/documents/?uuid=b6339f7d-d8d2-48a2-b1fe-bfc5b082d6ec","http://www.mendeley.com/documents/?uuid=14163687-e1ba-466c-acf6-29bbfaf17abd"]}],"mendeley":{"formattedCitation":"(Hawkins and Sutton, 2009)","plainTextFormattedCitation":"(Hawkins and Sutton, 2009)","previouslyFormattedCitation":"(Hawkins and Sutton, 2009)"},"properties":{"noteIndex":0},"schema":"https://github.com/citation-style-language/schema/raw/master/csl-citation.json"}</w:instrText>
      </w:r>
      <w:r w:rsidRPr="00BE591E">
        <w:fldChar w:fldCharType="separate"/>
      </w:r>
      <w:r w:rsidR="007416C7" w:rsidRPr="007416C7">
        <w:rPr>
          <w:noProof/>
        </w:rPr>
        <w:t>(Hawkins and Sutton, 2009)</w:t>
      </w:r>
      <w:r w:rsidRPr="00BE591E">
        <w:fldChar w:fldCharType="end"/>
      </w:r>
      <w:r>
        <w:t xml:space="preserve">. There also remains much </w:t>
      </w:r>
      <w:r w:rsidRPr="00BE591E">
        <w:t xml:space="preserve">uncertainty about how vegetation and catchments respond to higher </w:t>
      </w:r>
      <w:r>
        <w:t>CO</w:t>
      </w:r>
      <w:r w:rsidRPr="00437C73">
        <w:rPr>
          <w:vertAlign w:val="subscript"/>
        </w:rPr>
        <w:t>2</w:t>
      </w:r>
      <w:r w:rsidRPr="00BE591E">
        <w:t xml:space="preserve">, changing rainfall, increasing temperatures, changing PET, and </w:t>
      </w:r>
      <w:r>
        <w:t xml:space="preserve">changes to the spatio-temporal patterns of </w:t>
      </w:r>
      <w:r w:rsidRPr="00BE591E">
        <w:t xml:space="preserve">meteorological </w:t>
      </w:r>
      <w:r>
        <w:t>variables</w:t>
      </w:r>
      <w:r w:rsidRPr="00BE591E">
        <w:t xml:space="preserve">. </w:t>
      </w:r>
      <w:r w:rsidRPr="004E1BDA">
        <w:t xml:space="preserve">Given these large and epistemic uncertainties, it is not possible on the basis of existing research to tightly constrain future yield projections. Although there remains a large degree of future uncertainty, </w:t>
      </w:r>
      <w:r>
        <w:t xml:space="preserve">it is generally accepted that further declines in </w:t>
      </w:r>
      <w:r w:rsidR="001834A2">
        <w:t>catchment water yield</w:t>
      </w:r>
      <w:r>
        <w:t xml:space="preserve"> to Melbourne’s catchments due to climate change</w:t>
      </w:r>
      <w:r w:rsidR="00185E6F">
        <w:t xml:space="preserve"> are likely</w:t>
      </w:r>
      <w:r>
        <w:t>.</w:t>
      </w:r>
    </w:p>
    <w:p w14:paraId="3FCC1E20" w14:textId="27D357B6" w:rsidR="004F7267" w:rsidRDefault="00166BA6" w:rsidP="0008526D">
      <w:pPr>
        <w:pStyle w:val="Para0"/>
      </w:pPr>
      <w:r w:rsidRPr="00166BA6">
        <w:t>The recommendations are focus</w:t>
      </w:r>
      <w:r w:rsidR="002143C4">
        <w:t>s</w:t>
      </w:r>
      <w:r w:rsidRPr="00166BA6">
        <w:t xml:space="preserve">ed purely on the terms of reference for this review and therefore do not </w:t>
      </w:r>
      <w:r w:rsidR="00DC36D7">
        <w:t>consider</w:t>
      </w:r>
      <w:r w:rsidRPr="00166BA6">
        <w:t xml:space="preserve"> </w:t>
      </w:r>
      <w:r w:rsidR="00DC36D7">
        <w:t>any o</w:t>
      </w:r>
      <w:r w:rsidR="00DC36D7" w:rsidRPr="00166BA6">
        <w:t xml:space="preserve">ther </w:t>
      </w:r>
      <w:r w:rsidRPr="00166BA6">
        <w:t xml:space="preserve">further work </w:t>
      </w:r>
      <w:r w:rsidR="00DC36D7">
        <w:t xml:space="preserve">that may be </w:t>
      </w:r>
      <w:r w:rsidRPr="00166BA6">
        <w:t>needed</w:t>
      </w:r>
      <w:r w:rsidR="00DC36D7">
        <w:t xml:space="preserve">. Such consideration could </w:t>
      </w:r>
      <w:r w:rsidRPr="00166BA6">
        <w:t xml:space="preserve">include the cost of undertaking any further analysis relative to the added value that </w:t>
      </w:r>
      <w:r w:rsidR="00DC36D7">
        <w:t xml:space="preserve">might </w:t>
      </w:r>
      <w:r w:rsidRPr="00166BA6">
        <w:t>be provided.</w:t>
      </w:r>
    </w:p>
    <w:p w14:paraId="5CBDE4EB" w14:textId="52DF8E62" w:rsidR="00C96D06" w:rsidRDefault="00C96D06" w:rsidP="00C96D06">
      <w:pPr>
        <w:pStyle w:val="Heading1"/>
      </w:pPr>
      <w:bookmarkStart w:id="57" w:name="_Toc36033098"/>
      <w:r>
        <w:lastRenderedPageBreak/>
        <w:t>References</w:t>
      </w:r>
      <w:bookmarkEnd w:id="57"/>
    </w:p>
    <w:p w14:paraId="37537CA5" w14:textId="7BF199E3" w:rsidR="005614DC" w:rsidRPr="005614DC" w:rsidRDefault="005F01A8" w:rsidP="005614DC">
      <w:pPr>
        <w:widowControl w:val="0"/>
        <w:autoSpaceDE w:val="0"/>
        <w:autoSpaceDN w:val="0"/>
        <w:adjustRightInd w:val="0"/>
        <w:spacing w:before="240" w:after="0"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5614DC" w:rsidRPr="005614DC">
        <w:rPr>
          <w:rFonts w:cs="Arial"/>
          <w:noProof/>
          <w:szCs w:val="24"/>
        </w:rPr>
        <w:t xml:space="preserve">Andréassian V. 2004. Waters and forests: from historical controversy to scientific debate. </w:t>
      </w:r>
      <w:r w:rsidR="005614DC" w:rsidRPr="005614DC">
        <w:rPr>
          <w:rFonts w:cs="Arial"/>
          <w:i/>
          <w:iCs/>
          <w:noProof/>
          <w:szCs w:val="24"/>
        </w:rPr>
        <w:t>Journal of hydrology</w:t>
      </w:r>
      <w:r w:rsidR="005614DC" w:rsidRPr="005614DC">
        <w:rPr>
          <w:rFonts w:cs="Arial"/>
          <w:noProof/>
          <w:szCs w:val="24"/>
        </w:rPr>
        <w:t xml:space="preserve"> </w:t>
      </w:r>
      <w:r w:rsidR="005614DC" w:rsidRPr="005614DC">
        <w:rPr>
          <w:rFonts w:cs="Arial"/>
          <w:b/>
          <w:bCs/>
          <w:noProof/>
          <w:szCs w:val="24"/>
        </w:rPr>
        <w:t>291</w:t>
      </w:r>
      <w:r w:rsidR="005614DC" w:rsidRPr="005614DC">
        <w:rPr>
          <w:rFonts w:cs="Arial"/>
          <w:noProof/>
          <w:szCs w:val="24"/>
        </w:rPr>
        <w:t xml:space="preserve"> (1–2): 1–27</w:t>
      </w:r>
    </w:p>
    <w:p w14:paraId="18E19452"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Andrews D. 2019. Securing the future for forestry industry workers (Press release) Available at: https://www.premier.vic.gov.au/securing-the-future-for-forestry-industry-workers/</w:t>
      </w:r>
    </w:p>
    <w:p w14:paraId="2103C11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Attiwill PM, Ryan MF, Burrows N, Cheney NP, McCaw L, Neyland M, Read S. 2014. Timber harvesting does not increase fire risk and severity in wet eucalypt forests of southern Australia. </w:t>
      </w:r>
      <w:r w:rsidRPr="005614DC">
        <w:rPr>
          <w:rFonts w:cs="Arial"/>
          <w:i/>
          <w:iCs/>
          <w:noProof/>
          <w:szCs w:val="24"/>
        </w:rPr>
        <w:t>Conservation Letters</w:t>
      </w:r>
      <w:r w:rsidRPr="005614DC">
        <w:rPr>
          <w:rFonts w:cs="Arial"/>
          <w:noProof/>
          <w:szCs w:val="24"/>
        </w:rPr>
        <w:t xml:space="preserve"> </w:t>
      </w:r>
      <w:r w:rsidRPr="005614DC">
        <w:rPr>
          <w:rFonts w:cs="Arial"/>
          <w:b/>
          <w:bCs/>
          <w:noProof/>
          <w:szCs w:val="24"/>
        </w:rPr>
        <w:t>7</w:t>
      </w:r>
      <w:r w:rsidRPr="005614DC">
        <w:rPr>
          <w:rFonts w:cs="Arial"/>
          <w:noProof/>
          <w:szCs w:val="24"/>
        </w:rPr>
        <w:t xml:space="preserve"> (4): 341–354 DOI: doi.org/10.1111/conl.12062</w:t>
      </w:r>
    </w:p>
    <w:p w14:paraId="28145FA3"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Australian Government Department of Agriculture. 2015. Regional Forest Agreements – an overview and history Available at: https://www.agriculture.gov.au/forestry/policies/rfa</w:t>
      </w:r>
    </w:p>
    <w:p w14:paraId="30A5AB7C"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Bassett OD, Prior LD, Slijkerman CM, Jamieson D, Bowman DMJS. 2015. Aerial sowing stopped the loss of alpine ash (Eucalyptus delegatensis) forests burnt by three short-interval fires in the Alpine National Park, Victoria, Australia.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342</w:t>
      </w:r>
      <w:r w:rsidRPr="005614DC">
        <w:rPr>
          <w:rFonts w:cs="Arial"/>
          <w:noProof/>
          <w:szCs w:val="24"/>
        </w:rPr>
        <w:t>: 39–48 DOI: 10.1016/j.foreco.2015.01.008</w:t>
      </w:r>
    </w:p>
    <w:p w14:paraId="5EB08185"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Battad D, Sutton M, Miller V, Villanueva G, Li C. 2007. Impacts of Forest Management Options on Water Yield, Central Gippsland and Dandenong Forest Management Areas</w:t>
      </w:r>
    </w:p>
    <w:p w14:paraId="3465C47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Benyon RG, Lane PNJ. 2013. Ground and satellite-based assessments of wet eucalypt forest survival and regeneration for predicting long-term hydrological responses to a large wildfire.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294</w:t>
      </w:r>
      <w:r w:rsidRPr="005614DC">
        <w:rPr>
          <w:rFonts w:cs="Arial"/>
          <w:noProof/>
          <w:szCs w:val="24"/>
        </w:rPr>
        <w:t>: 197–207 DOI: 10.1016/j.foreco.2012.04.003</w:t>
      </w:r>
    </w:p>
    <w:p w14:paraId="3F2F4B25"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Benyon RG, Lane PNJ, Jaskierniak D, Kuczera G, Haydon SR. 2015. Use of a forest sapwood area index to explain long-term variability in mean annual evapotranspiration and streamflow in Moist Eucalypt Forests. </w:t>
      </w:r>
      <w:r w:rsidRPr="005614DC">
        <w:rPr>
          <w:rFonts w:cs="Arial"/>
          <w:i/>
          <w:iCs/>
          <w:noProof/>
          <w:szCs w:val="24"/>
        </w:rPr>
        <w:t>Water Resources Research</w:t>
      </w:r>
      <w:r w:rsidRPr="005614DC">
        <w:rPr>
          <w:rFonts w:cs="Arial"/>
          <w:noProof/>
          <w:szCs w:val="24"/>
        </w:rPr>
        <w:t xml:space="preserve"> </w:t>
      </w:r>
      <w:r w:rsidRPr="005614DC">
        <w:rPr>
          <w:rFonts w:cs="Arial"/>
          <w:b/>
          <w:bCs/>
          <w:noProof/>
          <w:szCs w:val="24"/>
        </w:rPr>
        <w:t>51</w:t>
      </w:r>
      <w:r w:rsidRPr="005614DC">
        <w:rPr>
          <w:rFonts w:cs="Arial"/>
          <w:noProof/>
          <w:szCs w:val="24"/>
        </w:rPr>
        <w:t xml:space="preserve"> (7): 5318–5331 DOI: 10.1002/ 2015WR017321</w:t>
      </w:r>
    </w:p>
    <w:p w14:paraId="1462A795"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Benyon RG, Nolan RH, Hawthorn SND, Lane PNJ. 2017. Stand-level variation in evapotranspiration in non-water-limited eucalypt forests.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551</w:t>
      </w:r>
      <w:r w:rsidRPr="005614DC">
        <w:rPr>
          <w:rFonts w:cs="Arial"/>
          <w:noProof/>
          <w:szCs w:val="24"/>
        </w:rPr>
        <w:t>: 233–244 DOI: 10.1016/j.jhydrol.2017.06.002</w:t>
      </w:r>
    </w:p>
    <w:p w14:paraId="27C3AA24"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Bowman DMJS, Murphy BP, Neyland DLJ, Williamson GJ, Prior LD. 2014. Abrupt fire regime change may cause landscape-wide loss of mature obligate seeder forests. </w:t>
      </w:r>
      <w:r w:rsidRPr="005614DC">
        <w:rPr>
          <w:rFonts w:cs="Arial"/>
          <w:i/>
          <w:iCs/>
          <w:noProof/>
          <w:szCs w:val="24"/>
        </w:rPr>
        <w:t>Global Change Biology</w:t>
      </w:r>
      <w:r w:rsidRPr="005614DC">
        <w:rPr>
          <w:rFonts w:cs="Arial"/>
          <w:noProof/>
          <w:szCs w:val="24"/>
        </w:rPr>
        <w:t xml:space="preserve"> </w:t>
      </w:r>
      <w:r w:rsidRPr="005614DC">
        <w:rPr>
          <w:rFonts w:cs="Arial"/>
          <w:b/>
          <w:bCs/>
          <w:noProof/>
          <w:szCs w:val="24"/>
        </w:rPr>
        <w:t>20</w:t>
      </w:r>
      <w:r w:rsidRPr="005614DC">
        <w:rPr>
          <w:rFonts w:cs="Arial"/>
          <w:noProof/>
          <w:szCs w:val="24"/>
        </w:rPr>
        <w:t xml:space="preserve"> (3): 1008–1015 DOI: 10.1111/gcb.12433</w:t>
      </w:r>
    </w:p>
    <w:p w14:paraId="1862E499"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Bradstock R, Penman T, Boer M, Price O, Clarke H. 2014. Divergent responses of fire to recent warming and drying across south-eastern Australia. </w:t>
      </w:r>
      <w:r w:rsidRPr="005614DC">
        <w:rPr>
          <w:rFonts w:cs="Arial"/>
          <w:i/>
          <w:iCs/>
          <w:noProof/>
          <w:szCs w:val="24"/>
        </w:rPr>
        <w:t>Global Change Biology</w:t>
      </w:r>
      <w:r w:rsidRPr="005614DC">
        <w:rPr>
          <w:rFonts w:cs="Arial"/>
          <w:noProof/>
          <w:szCs w:val="24"/>
        </w:rPr>
        <w:t xml:space="preserve"> </w:t>
      </w:r>
      <w:r w:rsidRPr="005614DC">
        <w:rPr>
          <w:rFonts w:cs="Arial"/>
          <w:b/>
          <w:bCs/>
          <w:noProof/>
          <w:szCs w:val="24"/>
        </w:rPr>
        <w:t>20</w:t>
      </w:r>
      <w:r w:rsidRPr="005614DC">
        <w:rPr>
          <w:rFonts w:cs="Arial"/>
          <w:noProof/>
          <w:szCs w:val="24"/>
        </w:rPr>
        <w:t xml:space="preserve"> (5): 1412–1428 DOI: 10.1111/gcb.12449</w:t>
      </w:r>
    </w:p>
    <w:p w14:paraId="24E879E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Bradstock RA. 2010. A biogeographic model of fire regimes in Australia: Current and future implications. </w:t>
      </w:r>
      <w:r w:rsidRPr="005614DC">
        <w:rPr>
          <w:rFonts w:cs="Arial"/>
          <w:i/>
          <w:iCs/>
          <w:noProof/>
          <w:szCs w:val="24"/>
        </w:rPr>
        <w:t>Global Ecology and Biogeography</w:t>
      </w:r>
      <w:r w:rsidRPr="005614DC">
        <w:rPr>
          <w:rFonts w:cs="Arial"/>
          <w:noProof/>
          <w:szCs w:val="24"/>
        </w:rPr>
        <w:t xml:space="preserve"> </w:t>
      </w:r>
      <w:r w:rsidRPr="005614DC">
        <w:rPr>
          <w:rFonts w:cs="Arial"/>
          <w:b/>
          <w:bCs/>
          <w:noProof/>
          <w:szCs w:val="24"/>
        </w:rPr>
        <w:t>19</w:t>
      </w:r>
      <w:r w:rsidRPr="005614DC">
        <w:rPr>
          <w:rFonts w:cs="Arial"/>
          <w:noProof/>
          <w:szCs w:val="24"/>
        </w:rPr>
        <w:t xml:space="preserve"> (2): 145–158 DOI: doi.org/10.1111/j.1466-8238.2009.00512.x</w:t>
      </w:r>
    </w:p>
    <w:p w14:paraId="059A69B8"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Bradstock RA, Price O. 2014. Logging and fire in Australian forests: errors by Attiwill et al. (2014). </w:t>
      </w:r>
      <w:r w:rsidRPr="005614DC">
        <w:rPr>
          <w:rFonts w:cs="Arial"/>
          <w:i/>
          <w:iCs/>
          <w:noProof/>
          <w:szCs w:val="24"/>
        </w:rPr>
        <w:t>Conservation Letters</w:t>
      </w:r>
      <w:r w:rsidRPr="005614DC">
        <w:rPr>
          <w:rFonts w:cs="Arial"/>
          <w:noProof/>
          <w:szCs w:val="24"/>
        </w:rPr>
        <w:t xml:space="preserve"> DOI: 10.1111/conl.12086</w:t>
      </w:r>
    </w:p>
    <w:p w14:paraId="0FD66B8C"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Bren L, Lane P, Hepworth G. 2010. Longer-term water use of native eucalyptus forest after logging </w:t>
      </w:r>
      <w:r w:rsidRPr="005614DC">
        <w:rPr>
          <w:rFonts w:cs="Arial"/>
          <w:noProof/>
          <w:szCs w:val="24"/>
        </w:rPr>
        <w:lastRenderedPageBreak/>
        <w:t xml:space="preserve">and regeneration: The Coranderrk experiment.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384</w:t>
      </w:r>
      <w:r w:rsidRPr="005614DC">
        <w:rPr>
          <w:rFonts w:cs="Arial"/>
          <w:noProof/>
          <w:szCs w:val="24"/>
        </w:rPr>
        <w:t xml:space="preserve"> (1–2): 52–64 DOI: 10.1016/j.jhydrol.2010.01.007</w:t>
      </w:r>
    </w:p>
    <w:p w14:paraId="2FE89A13"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Brookhouse MT, Farquhar GD, Roderick ML. 2013. The impact of bushfires on water yield from south-east Australia’s ash forests. </w:t>
      </w:r>
      <w:r w:rsidRPr="005614DC">
        <w:rPr>
          <w:rFonts w:cs="Arial"/>
          <w:i/>
          <w:iCs/>
          <w:noProof/>
          <w:szCs w:val="24"/>
        </w:rPr>
        <w:t>Water Resources Research</w:t>
      </w:r>
      <w:r w:rsidRPr="005614DC">
        <w:rPr>
          <w:rFonts w:cs="Arial"/>
          <w:noProof/>
          <w:szCs w:val="24"/>
        </w:rPr>
        <w:t xml:space="preserve"> </w:t>
      </w:r>
      <w:r w:rsidRPr="005614DC">
        <w:rPr>
          <w:rFonts w:cs="Arial"/>
          <w:b/>
          <w:bCs/>
          <w:noProof/>
          <w:szCs w:val="24"/>
        </w:rPr>
        <w:t>49</w:t>
      </w:r>
      <w:r w:rsidRPr="005614DC">
        <w:rPr>
          <w:rFonts w:cs="Arial"/>
          <w:noProof/>
          <w:szCs w:val="24"/>
        </w:rPr>
        <w:t xml:space="preserve"> (7): 4493–4505 DOI: 10.1002/wrcr.20351</w:t>
      </w:r>
    </w:p>
    <w:p w14:paraId="096B97EF"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Buckley TN, Turnbull TL, Pfautsch S, Gharun M, Adams MA. 2012. Differences in water use between mature and post-fire regrowth stands of subalpine Eucalyptus delegatensis R. Baker.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270</w:t>
      </w:r>
      <w:r w:rsidRPr="005614DC">
        <w:rPr>
          <w:rFonts w:cs="Arial"/>
          <w:noProof/>
          <w:szCs w:val="24"/>
        </w:rPr>
        <w:t>: 1–10 DOI: 10.1016/j.foreco.2012.01.008</w:t>
      </w:r>
    </w:p>
    <w:p w14:paraId="7FB054C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Bureau of Meteorology. Climate Glossary Available at: http://www.bom.gov.au/climate/glossary/elnino.shtml [Accessed 20 October 2019a]</w:t>
      </w:r>
    </w:p>
    <w:p w14:paraId="2AB270C0"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Bureau of Meteorology. Indian Ocean influences on Australian climate Available at: http://www.bom.gov.au/climate/iod/ [Accessed 20 October 2019b]</w:t>
      </w:r>
    </w:p>
    <w:p w14:paraId="1A9C50C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Bureau of Meteorology. Southern Annular Mode and the Australian climate Available at: http://www.bom.gov.au/climate/sam/ [Accessed 20 October 2019c]</w:t>
      </w:r>
    </w:p>
    <w:p w14:paraId="79D42374"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Burton J, Cawson J, Noske P, Sheridan G. 2019. Shifting states, altered fates: Divergent fuel moisture responses after high frequency wildfire in an obligate seeder Eucalypt forest. </w:t>
      </w:r>
      <w:r w:rsidRPr="005614DC">
        <w:rPr>
          <w:rFonts w:cs="Arial"/>
          <w:i/>
          <w:iCs/>
          <w:noProof/>
          <w:szCs w:val="24"/>
        </w:rPr>
        <w:t>Forests</w:t>
      </w:r>
      <w:r w:rsidRPr="005614DC">
        <w:rPr>
          <w:rFonts w:cs="Arial"/>
          <w:noProof/>
          <w:szCs w:val="24"/>
        </w:rPr>
        <w:t xml:space="preserve"> </w:t>
      </w:r>
      <w:r w:rsidRPr="005614DC">
        <w:rPr>
          <w:rFonts w:cs="Arial"/>
          <w:b/>
          <w:bCs/>
          <w:noProof/>
          <w:szCs w:val="24"/>
        </w:rPr>
        <w:t>10</w:t>
      </w:r>
      <w:r w:rsidRPr="005614DC">
        <w:rPr>
          <w:rFonts w:cs="Arial"/>
          <w:noProof/>
          <w:szCs w:val="24"/>
        </w:rPr>
        <w:t xml:space="preserve"> (5): 436–452 DOI: 10.3390/f10050436</w:t>
      </w:r>
    </w:p>
    <w:p w14:paraId="5A6123AF"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Cawson JG, Duff TJ, Swan MH, Penman TD. 2018. Wildfire in wet sclerophyll forests: the interplay between disturbances and fuel dynamics. </w:t>
      </w:r>
      <w:r w:rsidRPr="005614DC">
        <w:rPr>
          <w:rFonts w:cs="Arial"/>
          <w:i/>
          <w:iCs/>
          <w:noProof/>
          <w:szCs w:val="24"/>
        </w:rPr>
        <w:t>Ecosphere</w:t>
      </w:r>
      <w:r w:rsidRPr="005614DC">
        <w:rPr>
          <w:rFonts w:cs="Arial"/>
          <w:noProof/>
          <w:szCs w:val="24"/>
        </w:rPr>
        <w:t xml:space="preserve"> </w:t>
      </w:r>
      <w:r w:rsidRPr="005614DC">
        <w:rPr>
          <w:rFonts w:cs="Arial"/>
          <w:b/>
          <w:bCs/>
          <w:noProof/>
          <w:szCs w:val="24"/>
        </w:rPr>
        <w:t>9</w:t>
      </w:r>
      <w:r w:rsidRPr="005614DC">
        <w:rPr>
          <w:rFonts w:cs="Arial"/>
          <w:noProof/>
          <w:szCs w:val="24"/>
        </w:rPr>
        <w:t xml:space="preserve"> (5) DOI: 10.1002/ecs2.2211</w:t>
      </w:r>
    </w:p>
    <w:p w14:paraId="5BA2C4D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Cawson JG, Duff TJ, Tolhurst KG, Baillie CC, Penman TD. 2017. Fuel moisture in Mountain Ash forests with contrasting fire histories.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400</w:t>
      </w:r>
      <w:r w:rsidRPr="005614DC">
        <w:rPr>
          <w:rFonts w:cs="Arial"/>
          <w:noProof/>
          <w:szCs w:val="24"/>
        </w:rPr>
        <w:t>: 568–577 DOI: 10.1016/j.foreco.2017.06.046</w:t>
      </w:r>
    </w:p>
    <w:p w14:paraId="0E675FC1"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Clarke H, Evans JP. 2019. Exploring the future change space for fire weather in southeast Australia. </w:t>
      </w:r>
      <w:r w:rsidRPr="005614DC">
        <w:rPr>
          <w:rFonts w:cs="Arial"/>
          <w:i/>
          <w:iCs/>
          <w:noProof/>
          <w:szCs w:val="24"/>
        </w:rPr>
        <w:t>Theoretical and Applied Climatology</w:t>
      </w:r>
      <w:r w:rsidRPr="005614DC">
        <w:rPr>
          <w:rFonts w:cs="Arial"/>
          <w:noProof/>
          <w:szCs w:val="24"/>
        </w:rPr>
        <w:t xml:space="preserve"> </w:t>
      </w:r>
      <w:r w:rsidRPr="005614DC">
        <w:rPr>
          <w:rFonts w:cs="Arial"/>
          <w:b/>
          <w:bCs/>
          <w:noProof/>
          <w:szCs w:val="24"/>
        </w:rPr>
        <w:t>136</w:t>
      </w:r>
      <w:r w:rsidRPr="005614DC">
        <w:rPr>
          <w:rFonts w:cs="Arial"/>
          <w:noProof/>
          <w:szCs w:val="24"/>
        </w:rPr>
        <w:t xml:space="preserve"> (1): 513–527 DOI: doi.org/10.1007/s00704-018-2507-4</w:t>
      </w:r>
    </w:p>
    <w:p w14:paraId="2ED12031"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Clarke JM, Grose M, Thatcher M, Hernaman V, Heady C, Round V, Rafter T, Trenham C, Wilson L. 2019. </w:t>
      </w:r>
      <w:r w:rsidRPr="005614DC">
        <w:rPr>
          <w:rFonts w:cs="Arial"/>
          <w:i/>
          <w:iCs/>
          <w:noProof/>
          <w:szCs w:val="24"/>
        </w:rPr>
        <w:t>Victorian Climate Projections 2019 Technical Report</w:t>
      </w:r>
      <w:r w:rsidRPr="005614DC">
        <w:rPr>
          <w:rFonts w:cs="Arial"/>
          <w:noProof/>
          <w:szCs w:val="24"/>
        </w:rPr>
        <w:t>. CSIRO: Melbourne, Australia.</w:t>
      </w:r>
    </w:p>
    <w:p w14:paraId="27CCD0AB"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Commonwealth of Australia. 1992. National Forest Policy Statement, A new focus for Australia’s forests (First Edition)</w:t>
      </w:r>
    </w:p>
    <w:p w14:paraId="776DF3E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Commonwealth of Australia. 1995. National Forest Policy Statement, A new focus for Australia’s forests (Second Edition)</w:t>
      </w:r>
    </w:p>
    <w:p w14:paraId="5033DA0F"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Cornish PM. 1993. The effects of logging and forest regeneration on water yields in a moist eucalypt forest in New South Wales, Australia.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150</w:t>
      </w:r>
      <w:r w:rsidRPr="005614DC">
        <w:rPr>
          <w:rFonts w:cs="Arial"/>
          <w:noProof/>
          <w:szCs w:val="24"/>
        </w:rPr>
        <w:t xml:space="preserve"> (2–4): 301–322</w:t>
      </w:r>
    </w:p>
    <w:p w14:paraId="7041612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Cornish PM, Vertessy RA. 2001. Forest age-induced changes in evapotranspiration and water yield in a eucalypt forest.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242</w:t>
      </w:r>
      <w:r w:rsidRPr="005614DC">
        <w:rPr>
          <w:rFonts w:cs="Arial"/>
          <w:noProof/>
          <w:szCs w:val="24"/>
        </w:rPr>
        <w:t xml:space="preserve"> (1–2): 43–63</w:t>
      </w:r>
    </w:p>
    <w:p w14:paraId="173981CB"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CSIRO and Bureau of Meteorology. 2015. Climate Change in Australia: Projections for Australia’s Natural Resource Management Regions, Technical Report. Australia. Available at: </w:t>
      </w:r>
      <w:r w:rsidRPr="005614DC">
        <w:rPr>
          <w:rFonts w:cs="Arial"/>
          <w:noProof/>
          <w:szCs w:val="24"/>
        </w:rPr>
        <w:lastRenderedPageBreak/>
        <w:t>https://www.climatechangeinaustralia.gov.au/en/publications-library/technical-report/</w:t>
      </w:r>
    </w:p>
    <w:p w14:paraId="14351434"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D’Ambrosio L. 2019. Protecting Victoria’s forests and threatened species (Press release) Available at: https://www.lilydambrosio.com.au/media-releases/protecting-victorias-forests-and-threatened-species/</w:t>
      </w:r>
    </w:p>
    <w:p w14:paraId="5354BEF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Department of Environment and Primary Industries. 2014a. Management Standards and Procedures for timber harvesting operations in Victoria’s State Forests 2014 Available at: https://www.forestsandreserves.vic.gov.au/__data/assets/pdf_file/0023/29309/Management-Standards-and-Procedures-for-timber-harvesting-operations-in-Vics-State-forests-2014.pdf</w:t>
      </w:r>
    </w:p>
    <w:p w14:paraId="753007A3"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Department of Environment and Primary Industries. 2014b. Code of Practice for Timber Production 2014 Available at: https://www.forestsandreserves.vic.gov.au/__data/assets/pdf_file/0016/29311/Code-of-Practice-for-Timber-Production-2014.pdf</w:t>
      </w:r>
    </w:p>
    <w:p w14:paraId="4EA1F199"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Department of Environment Land Water and Planning. 2016. Guidelines for Assessing the Impact of Climate Change on Water Supplies in Victoria. Melbourne, Australia.</w:t>
      </w:r>
    </w:p>
    <w:p w14:paraId="35BE5E50"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Fairman TA, Nitschke CR, Bennett LT. 2016. Too much, too soon? A review of the effects of increasing wildfire frequency on tree mortality and regeneration in temperate eucalypt forests. </w:t>
      </w:r>
      <w:r w:rsidRPr="005614DC">
        <w:rPr>
          <w:rFonts w:cs="Arial"/>
          <w:i/>
          <w:iCs/>
          <w:noProof/>
          <w:szCs w:val="24"/>
        </w:rPr>
        <w:t>International Journal of Wildland Fire</w:t>
      </w:r>
      <w:r w:rsidRPr="005614DC">
        <w:rPr>
          <w:rFonts w:cs="Arial"/>
          <w:noProof/>
          <w:szCs w:val="24"/>
        </w:rPr>
        <w:t xml:space="preserve"> </w:t>
      </w:r>
      <w:r w:rsidRPr="005614DC">
        <w:rPr>
          <w:rFonts w:cs="Arial"/>
          <w:b/>
          <w:bCs/>
          <w:noProof/>
          <w:szCs w:val="24"/>
        </w:rPr>
        <w:t>25</w:t>
      </w:r>
      <w:r w:rsidRPr="005614DC">
        <w:rPr>
          <w:rFonts w:cs="Arial"/>
          <w:noProof/>
          <w:szCs w:val="24"/>
        </w:rPr>
        <w:t xml:space="preserve"> (8): 831–848 DOI: 10.1071/WF15010</w:t>
      </w:r>
    </w:p>
    <w:p w14:paraId="6334F3D5"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Feikema P, Lane P, Peel M, Sherwin C, Freebairn A, Salkin O. 2006. Hydrological studies into the impact of timber harvesting on water yield in state forests supplying water to Melbourne – Part 1 of Hydrological studies</w:t>
      </w:r>
    </w:p>
    <w:p w14:paraId="017B2B3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Feikema P, Lane P, Sherwin C. 2008. Hydrological studies into the impact of timber harvesting on water yield in state forests supplying water to Melbourne – Part 2 of Hydrological studies (Climate change and Bushfire)</w:t>
      </w:r>
    </w:p>
    <w:p w14:paraId="6D369C79"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Feikema P, Sherwin C, Lane P. 2010. Estimates of long-term impacts of the 2009 wildfires on streamflow in the Melbourne water supply catchments</w:t>
      </w:r>
    </w:p>
    <w:p w14:paraId="631DBB94"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Feikema PM, Sherwin CB, Lane PNJ. 2013. Influence of climate, fire severity and forest mortality on predictions of long term streamflow: Potential effect of the 2009 wildfire on Melbourne’s water supply catchments.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488</w:t>
      </w:r>
      <w:r w:rsidRPr="005614DC">
        <w:rPr>
          <w:rFonts w:cs="Arial"/>
          <w:noProof/>
          <w:szCs w:val="24"/>
        </w:rPr>
        <w:t>: 1–16 DOI: 10.1016/j.jhydrol.2013.02.001</w:t>
      </w:r>
    </w:p>
    <w:p w14:paraId="06B1F842"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Fernández C, Vega JA, Gras JM, Fonturbel T. 2006. Changes in water yield after a sequence of perturbations and forest management practices in an Eucalyptus globulus Labill. watershed in Northwestern Spain.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234</w:t>
      </w:r>
      <w:r w:rsidRPr="005614DC">
        <w:rPr>
          <w:rFonts w:cs="Arial"/>
          <w:noProof/>
          <w:szCs w:val="24"/>
        </w:rPr>
        <w:t xml:space="preserve"> (1–3): 275–281 DOI: 10.1016/j.foreco.2006.07.008</w:t>
      </w:r>
    </w:p>
    <w:p w14:paraId="748DA722"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Gharun M, Turnbull TL, Adams MA. 2013. Validation of canopy transpiration in a mixed-species foothill eucalypt forest using a soil-plant-atmosphere model.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492</w:t>
      </w:r>
      <w:r w:rsidRPr="005614DC">
        <w:rPr>
          <w:rFonts w:cs="Arial"/>
          <w:noProof/>
          <w:szCs w:val="24"/>
        </w:rPr>
        <w:t>: 219–227 DOI: 10.1016/j.jhydrol.2013.03.051</w:t>
      </w:r>
    </w:p>
    <w:p w14:paraId="7951B52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Greve P, Roderick ML, Ukkola AM, Wada Y. 2019. The Aridity Index under global warming. </w:t>
      </w:r>
      <w:r w:rsidRPr="005614DC">
        <w:rPr>
          <w:rFonts w:cs="Arial"/>
          <w:i/>
          <w:iCs/>
          <w:noProof/>
          <w:szCs w:val="24"/>
        </w:rPr>
        <w:t>Environmental Research Letters</w:t>
      </w:r>
      <w:r w:rsidRPr="005614DC">
        <w:rPr>
          <w:rFonts w:cs="Arial"/>
          <w:noProof/>
          <w:szCs w:val="24"/>
        </w:rPr>
        <w:t xml:space="preserve"> </w:t>
      </w:r>
      <w:r w:rsidRPr="005614DC">
        <w:rPr>
          <w:rFonts w:cs="Arial"/>
          <w:b/>
          <w:bCs/>
          <w:noProof/>
          <w:szCs w:val="24"/>
        </w:rPr>
        <w:t>14</w:t>
      </w:r>
      <w:r w:rsidRPr="005614DC">
        <w:rPr>
          <w:rFonts w:cs="Arial"/>
          <w:noProof/>
          <w:szCs w:val="24"/>
        </w:rPr>
        <w:t xml:space="preserve"> (22): 124006 DOI: 10.1088/1748-9326/ab5046</w:t>
      </w:r>
    </w:p>
    <w:p w14:paraId="4EA0092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Grose MR, Risbey JS, Moise AF, Osbrough S, Heady C, Wilson L, Erwin T. 2017. Constraints on Southern Australian rainfall change based on atmospheric circulation in CMIP5 simulations. </w:t>
      </w:r>
      <w:r w:rsidRPr="005614DC">
        <w:rPr>
          <w:rFonts w:cs="Arial"/>
          <w:i/>
          <w:iCs/>
          <w:noProof/>
          <w:szCs w:val="24"/>
        </w:rPr>
        <w:lastRenderedPageBreak/>
        <w:t>Journal of Climate</w:t>
      </w:r>
      <w:r w:rsidRPr="005614DC">
        <w:rPr>
          <w:rFonts w:cs="Arial"/>
          <w:noProof/>
          <w:szCs w:val="24"/>
        </w:rPr>
        <w:t xml:space="preserve"> </w:t>
      </w:r>
      <w:r w:rsidRPr="005614DC">
        <w:rPr>
          <w:rFonts w:cs="Arial"/>
          <w:b/>
          <w:bCs/>
          <w:noProof/>
          <w:szCs w:val="24"/>
        </w:rPr>
        <w:t>30</w:t>
      </w:r>
      <w:r w:rsidRPr="005614DC">
        <w:rPr>
          <w:rFonts w:cs="Arial"/>
          <w:noProof/>
          <w:szCs w:val="24"/>
        </w:rPr>
        <w:t xml:space="preserve"> (1): 225–242 DOI: 10.1175/JCLI-D-16-0142.1</w:t>
      </w:r>
    </w:p>
    <w:p w14:paraId="6C8C624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Hawkins E, Sutton R. 2009. The Potential To Narrow Uncertainty In Regional Climate Predictions. </w:t>
      </w:r>
      <w:r w:rsidRPr="005614DC">
        <w:rPr>
          <w:rFonts w:cs="Arial"/>
          <w:i/>
          <w:iCs/>
          <w:noProof/>
          <w:szCs w:val="24"/>
        </w:rPr>
        <w:t>Bulletin of the American Meteorological Society</w:t>
      </w:r>
      <w:r w:rsidRPr="005614DC">
        <w:rPr>
          <w:rFonts w:cs="Arial"/>
          <w:noProof/>
          <w:szCs w:val="24"/>
        </w:rPr>
        <w:t xml:space="preserve"> </w:t>
      </w:r>
      <w:r w:rsidRPr="005614DC">
        <w:rPr>
          <w:rFonts w:cs="Arial"/>
          <w:b/>
          <w:bCs/>
          <w:noProof/>
          <w:szCs w:val="24"/>
        </w:rPr>
        <w:t>90</w:t>
      </w:r>
      <w:r w:rsidRPr="005614DC">
        <w:rPr>
          <w:rFonts w:cs="Arial"/>
          <w:noProof/>
          <w:szCs w:val="24"/>
        </w:rPr>
        <w:t xml:space="preserve"> (8): 1095–1107 DOI: 10.1175/2009BAMS2607.1</w:t>
      </w:r>
    </w:p>
    <w:p w14:paraId="60A42034"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Hawthorne SND, Benyon RG, Lane PNJ. 2018. Changes in evapotranspiration components following replacement of Eucalyptus regnans with Acacia species. </w:t>
      </w:r>
      <w:r w:rsidRPr="005614DC">
        <w:rPr>
          <w:rFonts w:cs="Arial"/>
          <w:i/>
          <w:iCs/>
          <w:noProof/>
          <w:szCs w:val="24"/>
        </w:rPr>
        <w:t>Hydrological processes</w:t>
      </w:r>
      <w:r w:rsidRPr="005614DC">
        <w:rPr>
          <w:rFonts w:cs="Arial"/>
          <w:noProof/>
          <w:szCs w:val="24"/>
        </w:rPr>
        <w:t xml:space="preserve"> </w:t>
      </w:r>
      <w:r w:rsidRPr="005614DC">
        <w:rPr>
          <w:rFonts w:cs="Arial"/>
          <w:b/>
          <w:bCs/>
          <w:noProof/>
          <w:szCs w:val="24"/>
        </w:rPr>
        <w:t>32</w:t>
      </w:r>
      <w:r w:rsidRPr="005614DC">
        <w:rPr>
          <w:rFonts w:cs="Arial"/>
          <w:noProof/>
          <w:szCs w:val="24"/>
        </w:rPr>
        <w:t xml:space="preserve"> (2): 241–252 DOI: 10.1002/hyp.11410</w:t>
      </w:r>
    </w:p>
    <w:p w14:paraId="13744B07"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Hawthorne SND, Lane PNJ, Bren LJ, Sims NC. 2013. The long term effects of thinning treatments on vegetation structure and water yield.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310</w:t>
      </w:r>
      <w:r w:rsidRPr="005614DC">
        <w:rPr>
          <w:rFonts w:cs="Arial"/>
          <w:noProof/>
          <w:szCs w:val="24"/>
        </w:rPr>
        <w:t>: 983–993 DOI: 10.1016/j.foreco.2013.09.046</w:t>
      </w:r>
    </w:p>
    <w:p w14:paraId="6F6F00B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Hélie JF, Peters DL, Tattrie KR, Gibson JJ. 2005. Review and synthesis of potential hydrologic impacts of mountain pine beetle and related harvesting activities in British Columbia: Mountain Pine Beetle Initiative Working Paper 2005-23. Victoria, British Columbia, Canada.</w:t>
      </w:r>
    </w:p>
    <w:p w14:paraId="107C5184"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Henley BJ, Peel MC, Nathan R, King AD, Ukkola AM, Karoly DJ, Tan KS. 2019. Amplification of risks to water supply at 1.5 °C and 2 °C in drying climates: a case study for Melbourne, Australia. </w:t>
      </w:r>
      <w:r w:rsidRPr="005614DC">
        <w:rPr>
          <w:rFonts w:cs="Arial"/>
          <w:i/>
          <w:iCs/>
          <w:noProof/>
          <w:szCs w:val="24"/>
        </w:rPr>
        <w:t>Environmental Research Letters</w:t>
      </w:r>
      <w:r w:rsidRPr="005614DC">
        <w:rPr>
          <w:rFonts w:cs="Arial"/>
          <w:noProof/>
          <w:szCs w:val="24"/>
        </w:rPr>
        <w:t xml:space="preserve"> </w:t>
      </w:r>
      <w:r w:rsidRPr="005614DC">
        <w:rPr>
          <w:rFonts w:cs="Arial"/>
          <w:b/>
          <w:bCs/>
          <w:noProof/>
          <w:szCs w:val="24"/>
        </w:rPr>
        <w:t>14</w:t>
      </w:r>
      <w:r w:rsidRPr="005614DC">
        <w:rPr>
          <w:rFonts w:cs="Arial"/>
          <w:noProof/>
          <w:szCs w:val="24"/>
        </w:rPr>
        <w:t xml:space="preserve"> (8): 1–9 DOI: 10.1088/1748-9326/ab26ef</w:t>
      </w:r>
    </w:p>
    <w:p w14:paraId="0C4FFC5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Hill PI, Mordue A, Nathan R, Daamen C, Williams K. 2006. Spatially explicit modeling of the hydrologic response of bushfires at the catchment scale. In </w:t>
      </w:r>
      <w:r w:rsidRPr="005614DC">
        <w:rPr>
          <w:rFonts w:cs="Arial"/>
          <w:i/>
          <w:iCs/>
          <w:noProof/>
          <w:szCs w:val="24"/>
        </w:rPr>
        <w:t>30th Engineers Australia Hydrology and Water Resources Symposium</w:t>
      </w:r>
      <w:r w:rsidRPr="005614DC">
        <w:rPr>
          <w:rFonts w:cs="Arial"/>
          <w:noProof/>
          <w:szCs w:val="24"/>
        </w:rPr>
        <w:t>Launceston, Tasmania, Australia.</w:t>
      </w:r>
    </w:p>
    <w:p w14:paraId="7391333B"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Hill PI, Mordue A, Nathan RJ, Daamen C, Williams K, Murphy R. 2008. Spatially explicit modelling of the hydrologic response of bushfires at the catchment scale. </w:t>
      </w:r>
      <w:r w:rsidRPr="005614DC">
        <w:rPr>
          <w:rFonts w:cs="Arial"/>
          <w:i/>
          <w:iCs/>
          <w:noProof/>
          <w:szCs w:val="24"/>
        </w:rPr>
        <w:t>Australian Journal of Water Resources</w:t>
      </w:r>
      <w:r w:rsidRPr="005614DC">
        <w:rPr>
          <w:rFonts w:cs="Arial"/>
          <w:noProof/>
          <w:szCs w:val="24"/>
        </w:rPr>
        <w:t xml:space="preserve"> </w:t>
      </w:r>
      <w:r w:rsidRPr="005614DC">
        <w:rPr>
          <w:rFonts w:cs="Arial"/>
          <w:b/>
          <w:bCs/>
          <w:noProof/>
          <w:szCs w:val="24"/>
        </w:rPr>
        <w:t>12</w:t>
      </w:r>
      <w:r w:rsidRPr="005614DC">
        <w:rPr>
          <w:rFonts w:cs="Arial"/>
          <w:noProof/>
          <w:szCs w:val="24"/>
        </w:rPr>
        <w:t xml:space="preserve"> (3): 281–290 DOI: 10.1080/13241583.2008.11465354</w:t>
      </w:r>
    </w:p>
    <w:p w14:paraId="24674829"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Hope P, Timbal B, Hendon HH, Ekström M, Potter N. 2017. A synthesis of findings from the Victorian Climate Initiative (VicCI) Available at: https://www.water.vic.gov.au/__data/assets/pdf_file/0030/76197/VicCI-25-07-17-MR.pdf</w:t>
      </w:r>
    </w:p>
    <w:p w14:paraId="29480BC3"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Hornbeck JW, Adams MB, Corbett ES, Verry ES, Lynch JA. 1993. Long-term impacts of forest treatments on water yield: a summary for northeastern USA.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150</w:t>
      </w:r>
      <w:r w:rsidRPr="005614DC">
        <w:rPr>
          <w:rFonts w:cs="Arial"/>
          <w:noProof/>
          <w:szCs w:val="24"/>
        </w:rPr>
        <w:t xml:space="preserve"> (2–4): 323–344 DOI: 10.1016/0022-1694(93)90115-P</w:t>
      </w:r>
    </w:p>
    <w:p w14:paraId="4BF7FA87"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Howe C, Jones RN, Maheepala S, Rhodes B. 2005. Melbourne Water Climate Change Study: Implications of potential climate change for Melbourne’s water resources. Melbourne, Australia. Available at: https://www.melbournewater.com.au/sites/default/files/Climate_Change_Study.pdf</w:t>
      </w:r>
    </w:p>
    <w:p w14:paraId="0352D9D9"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Hudson JA, Crane SB, Blackie JR. 1997. The Plynlimon water balance 1969-1995: the impact of forest and moorland vegetation on evaporation and streamflow in upland catchments. </w:t>
      </w:r>
      <w:r w:rsidRPr="005614DC">
        <w:rPr>
          <w:rFonts w:cs="Arial"/>
          <w:i/>
          <w:iCs/>
          <w:noProof/>
          <w:szCs w:val="24"/>
        </w:rPr>
        <w:t>Hydrology and Earth System Sciences</w:t>
      </w:r>
      <w:r w:rsidRPr="005614DC">
        <w:rPr>
          <w:rFonts w:cs="Arial"/>
          <w:noProof/>
          <w:szCs w:val="24"/>
        </w:rPr>
        <w:t xml:space="preserve"> </w:t>
      </w:r>
      <w:r w:rsidRPr="005614DC">
        <w:rPr>
          <w:rFonts w:cs="Arial"/>
          <w:b/>
          <w:bCs/>
          <w:noProof/>
          <w:szCs w:val="24"/>
        </w:rPr>
        <w:t>1</w:t>
      </w:r>
      <w:r w:rsidRPr="005614DC">
        <w:rPr>
          <w:rFonts w:cs="Arial"/>
          <w:noProof/>
          <w:szCs w:val="24"/>
        </w:rPr>
        <w:t xml:space="preserve"> (3): 409–427 DOI: 10.5194/hess-1-409-1997</w:t>
      </w:r>
    </w:p>
    <w:p w14:paraId="1C7C1447"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Jaskierniak D, Kuczera G, Benyon R. 2016. Predicting long-term streamflow variability in moist eucalypt forests using forest growth models and a sapwood area index. </w:t>
      </w:r>
      <w:r w:rsidRPr="005614DC">
        <w:rPr>
          <w:rFonts w:cs="Arial"/>
          <w:i/>
          <w:iCs/>
          <w:noProof/>
          <w:szCs w:val="24"/>
        </w:rPr>
        <w:t>Water Resources Research</w:t>
      </w:r>
      <w:r w:rsidRPr="005614DC">
        <w:rPr>
          <w:rFonts w:cs="Arial"/>
          <w:noProof/>
          <w:szCs w:val="24"/>
        </w:rPr>
        <w:t xml:space="preserve"> </w:t>
      </w:r>
      <w:r w:rsidRPr="005614DC">
        <w:rPr>
          <w:rFonts w:cs="Arial"/>
          <w:b/>
          <w:bCs/>
          <w:noProof/>
          <w:szCs w:val="24"/>
        </w:rPr>
        <w:t>52</w:t>
      </w:r>
      <w:r w:rsidRPr="005614DC">
        <w:rPr>
          <w:rFonts w:cs="Arial"/>
          <w:noProof/>
          <w:szCs w:val="24"/>
        </w:rPr>
        <w:t xml:space="preserve"> (4): 3052–3067 DOI: 10.1002/2015WR018029</w:t>
      </w:r>
    </w:p>
    <w:p w14:paraId="5F22B558"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Jaskierniak D, Kuczera G, Benyon RG, Haydon S, Lane PNJ. 2019. Top-down seasonal </w:t>
      </w:r>
      <w:r w:rsidRPr="005614DC">
        <w:rPr>
          <w:rFonts w:cs="Arial"/>
          <w:noProof/>
          <w:szCs w:val="24"/>
        </w:rPr>
        <w:lastRenderedPageBreak/>
        <w:t xml:space="preserve">streamflow model with spatiotemporal forest sapwood area.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568</w:t>
      </w:r>
      <w:r w:rsidRPr="005614DC">
        <w:rPr>
          <w:rFonts w:cs="Arial"/>
          <w:noProof/>
          <w:szCs w:val="24"/>
        </w:rPr>
        <w:t>: 372–384 DOI: 10.1016/j.jhydrol.2018.10.075</w:t>
      </w:r>
    </w:p>
    <w:p w14:paraId="5193E1BC"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Jaskierniak D, Kuczera G, Benyon R, Wallace L. 2015. Using tree detection algorithms to predict stand sapwood area, basal area and stocking density in Eucalyptus regnans forest. </w:t>
      </w:r>
      <w:r w:rsidRPr="005614DC">
        <w:rPr>
          <w:rFonts w:cs="Arial"/>
          <w:i/>
          <w:iCs/>
          <w:noProof/>
          <w:szCs w:val="24"/>
        </w:rPr>
        <w:t>Remote Sensing</w:t>
      </w:r>
      <w:r w:rsidRPr="005614DC">
        <w:rPr>
          <w:rFonts w:cs="Arial"/>
          <w:noProof/>
          <w:szCs w:val="24"/>
        </w:rPr>
        <w:t xml:space="preserve"> </w:t>
      </w:r>
      <w:r w:rsidRPr="005614DC">
        <w:rPr>
          <w:rFonts w:cs="Arial"/>
          <w:b/>
          <w:bCs/>
          <w:noProof/>
          <w:szCs w:val="24"/>
        </w:rPr>
        <w:t>7</w:t>
      </w:r>
      <w:r w:rsidRPr="005614DC">
        <w:rPr>
          <w:rFonts w:cs="Arial"/>
          <w:noProof/>
          <w:szCs w:val="24"/>
        </w:rPr>
        <w:t xml:space="preserve"> (6): 7298–7323 DOI: 10.3390/rs70607298</w:t>
      </w:r>
    </w:p>
    <w:p w14:paraId="3147D14C"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Keith H, Vardon M, Stein JA, Stein JL, Lindenmayer D. 2017. Ecosystem accounts define explicit and spatial trade-offs for managing natural resources. </w:t>
      </w:r>
      <w:r w:rsidRPr="005614DC">
        <w:rPr>
          <w:rFonts w:cs="Arial"/>
          <w:i/>
          <w:iCs/>
          <w:noProof/>
          <w:szCs w:val="24"/>
        </w:rPr>
        <w:t>Nature Ecology &amp; Evolution</w:t>
      </w:r>
      <w:r w:rsidRPr="005614DC">
        <w:rPr>
          <w:rFonts w:cs="Arial"/>
          <w:noProof/>
          <w:szCs w:val="24"/>
        </w:rPr>
        <w:t xml:space="preserve"> </w:t>
      </w:r>
      <w:r w:rsidRPr="005614DC">
        <w:rPr>
          <w:rFonts w:cs="Arial"/>
          <w:b/>
          <w:bCs/>
          <w:noProof/>
          <w:szCs w:val="24"/>
        </w:rPr>
        <w:t>1</w:t>
      </w:r>
      <w:r w:rsidRPr="005614DC">
        <w:rPr>
          <w:rFonts w:cs="Arial"/>
          <w:noProof/>
          <w:szCs w:val="24"/>
        </w:rPr>
        <w:t xml:space="preserve"> (11): 1683–1692 DOI: 10.1038/s41559-017-0309-1</w:t>
      </w:r>
    </w:p>
    <w:p w14:paraId="2B352EF2"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Kuczera G. 1985. Prediction of water yield reductions following a bushfire in ash-mixed species eucalypt forest. Melbourne, Australia.</w:t>
      </w:r>
    </w:p>
    <w:p w14:paraId="3256C7B1"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Kuczera G. 1987. Predction of water yield reductions following a bushfire in ash-mixed species eucalypt forest.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94</w:t>
      </w:r>
      <w:r w:rsidRPr="005614DC">
        <w:rPr>
          <w:rFonts w:cs="Arial"/>
          <w:noProof/>
          <w:szCs w:val="24"/>
        </w:rPr>
        <w:t>: 215–236 DOI: 10.1016/0022-1694(87)90054-0</w:t>
      </w:r>
    </w:p>
    <w:p w14:paraId="4637999B"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Lane PNJ, Mackay SM. 2001. Streamflow response of mixed-species eucalypt forests to patch cutting and thinning treatments.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143</w:t>
      </w:r>
      <w:r w:rsidRPr="005614DC">
        <w:rPr>
          <w:rFonts w:cs="Arial"/>
          <w:noProof/>
          <w:szCs w:val="24"/>
        </w:rPr>
        <w:t xml:space="preserve"> (1–3): 131–142 DOI: 10.1016/S0378-1127(00)00512-0</w:t>
      </w:r>
    </w:p>
    <w:p w14:paraId="5E0CB403"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Lane PNJ, Feikema PM, Sherwin CB, Peel MC, Freebairn A. 2007. Physically-based prediction of water yield from disturbed forested water supply catchments. In </w:t>
      </w:r>
      <w:r w:rsidRPr="005614DC">
        <w:rPr>
          <w:rFonts w:cs="Arial"/>
          <w:i/>
          <w:iCs/>
          <w:noProof/>
          <w:szCs w:val="24"/>
        </w:rPr>
        <w:t>MODSIM 2007 International Congress on Modelling and Simulation. Modelling and Simulation Society of Australia and New Zealand</w:t>
      </w:r>
      <w:r w:rsidRPr="005614DC">
        <w:rPr>
          <w:rFonts w:cs="Arial"/>
          <w:noProof/>
          <w:szCs w:val="24"/>
        </w:rPr>
        <w:t>, Oxley L, , Kulasiri D (eds).2953–2959. Available at: http://www.mssanz.org.au/MODSIM07/papers/53_s52/Physically-baseds52_Lane_.pdf</w:t>
      </w:r>
    </w:p>
    <w:p w14:paraId="2862B5B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Langford KJ. 1976. Change in yield of water following a bushfire in a forest of Eucalyptus regnans.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29</w:t>
      </w:r>
      <w:r w:rsidRPr="005614DC">
        <w:rPr>
          <w:rFonts w:cs="Arial"/>
          <w:noProof/>
          <w:szCs w:val="24"/>
        </w:rPr>
        <w:t xml:space="preserve"> (1–2): 87–114 DOI: 10.1016/0022-1694(76)90007-X</w:t>
      </w:r>
    </w:p>
    <w:p w14:paraId="6DE263D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Lindenmayer DB, Hobbs RJ, Likens GE, Krebs CJ, Banks SC. 2011. Newly discovered landscape traps produce regime shifts in wet forests. </w:t>
      </w:r>
      <w:r w:rsidRPr="005614DC">
        <w:rPr>
          <w:rFonts w:cs="Arial"/>
          <w:i/>
          <w:iCs/>
          <w:noProof/>
          <w:szCs w:val="24"/>
        </w:rPr>
        <w:t>Proceedings of the National Academy of Sciences of the United States of America</w:t>
      </w:r>
      <w:r w:rsidRPr="005614DC">
        <w:rPr>
          <w:rFonts w:cs="Arial"/>
          <w:noProof/>
          <w:szCs w:val="24"/>
        </w:rPr>
        <w:t xml:space="preserve"> </w:t>
      </w:r>
      <w:r w:rsidRPr="005614DC">
        <w:rPr>
          <w:rFonts w:cs="Arial"/>
          <w:b/>
          <w:bCs/>
          <w:noProof/>
          <w:szCs w:val="24"/>
        </w:rPr>
        <w:t>108</w:t>
      </w:r>
      <w:r w:rsidRPr="005614DC">
        <w:rPr>
          <w:rFonts w:cs="Arial"/>
          <w:noProof/>
          <w:szCs w:val="24"/>
        </w:rPr>
        <w:t xml:space="preserve"> (38): 15887–15891 DOI: 10.1073/pnas.1110245108</w:t>
      </w:r>
    </w:p>
    <w:p w14:paraId="211DA6BF"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Macfarlane C, Bond C, White DA, Grigg AH, Ogden GN, Silberstein R. 2010. Transpiration and hydraulic traits of old and regrowth eucalypt forest in southwestern Australia.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260</w:t>
      </w:r>
      <w:r w:rsidRPr="005614DC">
        <w:rPr>
          <w:rFonts w:cs="Arial"/>
          <w:noProof/>
          <w:szCs w:val="24"/>
        </w:rPr>
        <w:t xml:space="preserve"> (1): 96–105 DOI: 10.1016/j.foreco.2010.04.005</w:t>
      </w:r>
    </w:p>
    <w:p w14:paraId="0992AD4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Mankin JS, Seager R, Smerdon JE, Cook BI, Williams AP. 2019. Mid-latitude freshwater availability reduced by projected vegetation responses to climate change. </w:t>
      </w:r>
      <w:r w:rsidRPr="005614DC">
        <w:rPr>
          <w:rFonts w:cs="Arial"/>
          <w:i/>
          <w:iCs/>
          <w:noProof/>
          <w:szCs w:val="24"/>
        </w:rPr>
        <w:t>Nature Geoscience</w:t>
      </w:r>
      <w:r w:rsidRPr="005614DC">
        <w:rPr>
          <w:rFonts w:cs="Arial"/>
          <w:noProof/>
          <w:szCs w:val="24"/>
        </w:rPr>
        <w:t xml:space="preserve"> </w:t>
      </w:r>
      <w:r w:rsidRPr="005614DC">
        <w:rPr>
          <w:rFonts w:cs="Arial"/>
          <w:b/>
          <w:bCs/>
          <w:noProof/>
          <w:szCs w:val="24"/>
        </w:rPr>
        <w:t>(in press)</w:t>
      </w:r>
      <w:r w:rsidRPr="005614DC">
        <w:rPr>
          <w:rFonts w:cs="Arial"/>
          <w:noProof/>
          <w:szCs w:val="24"/>
        </w:rPr>
        <w:t xml:space="preserve"> DOI: 10.1038/s41561-019-0480-x</w:t>
      </w:r>
    </w:p>
    <w:p w14:paraId="5B0F3A7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Mannik R, Murphy R, Herron A. 2009. Combined impact of the 2003 and 2006/07 bushfires on streamflow</w:t>
      </w:r>
    </w:p>
    <w:p w14:paraId="7243AD3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Mannik RD, Herron A, Hill PI, Brown RE, Moran R. 2013. Estimating the change in streamflow resulting from the 2003 and 2006/2007 bushfires in southeastern Australia. </w:t>
      </w:r>
      <w:r w:rsidRPr="005614DC">
        <w:rPr>
          <w:rFonts w:cs="Arial"/>
          <w:i/>
          <w:iCs/>
          <w:noProof/>
          <w:szCs w:val="24"/>
        </w:rPr>
        <w:t>Australian Journal of Water Resources</w:t>
      </w:r>
      <w:r w:rsidRPr="005614DC">
        <w:rPr>
          <w:rFonts w:cs="Arial"/>
          <w:noProof/>
          <w:szCs w:val="24"/>
        </w:rPr>
        <w:t xml:space="preserve"> </w:t>
      </w:r>
      <w:r w:rsidRPr="005614DC">
        <w:rPr>
          <w:rFonts w:cs="Arial"/>
          <w:b/>
          <w:bCs/>
          <w:noProof/>
          <w:szCs w:val="24"/>
        </w:rPr>
        <w:t>16</w:t>
      </w:r>
      <w:r w:rsidRPr="005614DC">
        <w:rPr>
          <w:rFonts w:cs="Arial"/>
          <w:noProof/>
          <w:szCs w:val="24"/>
        </w:rPr>
        <w:t xml:space="preserve"> (2): 107–120 DOI: 10.7158/w10-830.2013.16.2</w:t>
      </w:r>
    </w:p>
    <w:p w14:paraId="295A0994"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McGuire D, Bren L. 2013. The curse of the curves: misuse of simple hydrologic models in forestry. In </w:t>
      </w:r>
      <w:r w:rsidRPr="005614DC">
        <w:rPr>
          <w:rFonts w:cs="Arial"/>
          <w:i/>
          <w:iCs/>
          <w:noProof/>
          <w:szCs w:val="24"/>
        </w:rPr>
        <w:t>Institute of Foresters of Australia National Conference</w:t>
      </w:r>
      <w:r w:rsidRPr="005614DC">
        <w:rPr>
          <w:rFonts w:cs="Arial"/>
          <w:noProof/>
          <w:szCs w:val="24"/>
        </w:rPr>
        <w:t>Canberra; 176–184.</w:t>
      </w:r>
    </w:p>
    <w:p w14:paraId="7E2E3586"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lastRenderedPageBreak/>
        <w:t>Mein R. 2008. Potential impacts of forest management on streamflow in Melbourne’s water supply catchments Summary report</w:t>
      </w:r>
    </w:p>
    <w:p w14:paraId="4DC84FD0"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Melbourne Water. 2017. Melbourne Water System Strategy. Melbourne, Australia. Available at: https://www.melbournewater.com.au/about-us/strategies-achievements-and-policies/melbourne-water-system-strategy</w:t>
      </w:r>
    </w:p>
    <w:p w14:paraId="18AABB67"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Metzen D, Sheridan GJ, Benyon RG, Bolstad P V, Griebel A, Lane PNJ. 2019. Spatio-temporal transpiration patterns reflect vegetation structure in complex upland terrain. </w:t>
      </w:r>
      <w:r w:rsidRPr="005614DC">
        <w:rPr>
          <w:rFonts w:cs="Arial"/>
          <w:i/>
          <w:iCs/>
          <w:noProof/>
          <w:szCs w:val="24"/>
        </w:rPr>
        <w:t>Science of the Total Environment</w:t>
      </w:r>
      <w:r w:rsidRPr="005614DC">
        <w:rPr>
          <w:rFonts w:cs="Arial"/>
          <w:noProof/>
          <w:szCs w:val="24"/>
        </w:rPr>
        <w:t xml:space="preserve"> </w:t>
      </w:r>
      <w:r w:rsidRPr="005614DC">
        <w:rPr>
          <w:rFonts w:cs="Arial"/>
          <w:b/>
          <w:bCs/>
          <w:noProof/>
          <w:szCs w:val="24"/>
        </w:rPr>
        <w:t>694</w:t>
      </w:r>
      <w:r w:rsidRPr="005614DC">
        <w:rPr>
          <w:rFonts w:cs="Arial"/>
          <w:noProof/>
          <w:szCs w:val="24"/>
        </w:rPr>
        <w:t>: 133551 DOI: 10.1016/j.scitotenv.2019.07.357</w:t>
      </w:r>
    </w:p>
    <w:p w14:paraId="68E413E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Mitchell PJ, Benyon RG, Lane PNJ. 2012. Responses of evapotranspiration at different topographic positions and catchment water balance following a pronounced drought in a mixed species eucalypt forest, Australia.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440</w:t>
      </w:r>
      <w:r w:rsidRPr="005614DC">
        <w:rPr>
          <w:rFonts w:cs="Arial"/>
          <w:noProof/>
          <w:szCs w:val="24"/>
        </w:rPr>
        <w:t>: 62–74 DOI: 10.1016/j.jhydrol.2012.03.026</w:t>
      </w:r>
    </w:p>
    <w:p w14:paraId="10DCEC60"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Mitchell PJ, Lane PNJ, Benyon RG. 2011. Capturing within catchment variation in evapotranspiration from montane forests using LiDAR canopy profiles with measured and modelled fluxes of water. </w:t>
      </w:r>
      <w:r w:rsidRPr="005614DC">
        <w:rPr>
          <w:rFonts w:cs="Arial"/>
          <w:i/>
          <w:iCs/>
          <w:noProof/>
          <w:szCs w:val="24"/>
        </w:rPr>
        <w:t>Ecohydrology</w:t>
      </w:r>
      <w:r w:rsidRPr="005614DC">
        <w:rPr>
          <w:rFonts w:cs="Arial"/>
          <w:noProof/>
          <w:szCs w:val="24"/>
        </w:rPr>
        <w:t xml:space="preserve"> </w:t>
      </w:r>
      <w:r w:rsidRPr="005614DC">
        <w:rPr>
          <w:rFonts w:cs="Arial"/>
          <w:b/>
          <w:bCs/>
          <w:noProof/>
          <w:szCs w:val="24"/>
        </w:rPr>
        <w:t>5</w:t>
      </w:r>
      <w:r w:rsidRPr="005614DC">
        <w:rPr>
          <w:rFonts w:cs="Arial"/>
          <w:noProof/>
          <w:szCs w:val="24"/>
        </w:rPr>
        <w:t xml:space="preserve"> (6): 708–720 DOI: doi.org/10.1002/eco.255</w:t>
      </w:r>
    </w:p>
    <w:p w14:paraId="0664D5B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Mok HF, Arndt SK, Nitschke CR. 2012. Modelling the potential impact of climate variability and change on species regeneration potential in the temperate forests of South-Eastern Australia. </w:t>
      </w:r>
      <w:r w:rsidRPr="005614DC">
        <w:rPr>
          <w:rFonts w:cs="Arial"/>
          <w:i/>
          <w:iCs/>
          <w:noProof/>
          <w:szCs w:val="24"/>
        </w:rPr>
        <w:t>Global Change Biology</w:t>
      </w:r>
      <w:r w:rsidRPr="005614DC">
        <w:rPr>
          <w:rFonts w:cs="Arial"/>
          <w:noProof/>
          <w:szCs w:val="24"/>
        </w:rPr>
        <w:t xml:space="preserve"> </w:t>
      </w:r>
      <w:r w:rsidRPr="005614DC">
        <w:rPr>
          <w:rFonts w:cs="Arial"/>
          <w:b/>
          <w:bCs/>
          <w:noProof/>
          <w:szCs w:val="24"/>
        </w:rPr>
        <w:t>18</w:t>
      </w:r>
      <w:r w:rsidRPr="005614DC">
        <w:rPr>
          <w:rFonts w:cs="Arial"/>
          <w:noProof/>
          <w:szCs w:val="24"/>
        </w:rPr>
        <w:t xml:space="preserve"> (3): 1053–1072 DOI: 10.1111/j.1365-2486.2011.02591.x</w:t>
      </w:r>
    </w:p>
    <w:p w14:paraId="6567F28C"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Moriasi DN, Arnold JG, Van Liew MW, Bingner RL, Harmel RD, Veith TL. 2007. Model evaluation guidelines for systematic quantification of accuracy in watershed simulations. </w:t>
      </w:r>
      <w:r w:rsidRPr="005614DC">
        <w:rPr>
          <w:rFonts w:cs="Arial"/>
          <w:i/>
          <w:iCs/>
          <w:noProof/>
          <w:szCs w:val="24"/>
        </w:rPr>
        <w:t>American Society of Agricultural and Biological Engineers</w:t>
      </w:r>
      <w:r w:rsidRPr="005614DC">
        <w:rPr>
          <w:rFonts w:cs="Arial"/>
          <w:noProof/>
          <w:szCs w:val="24"/>
        </w:rPr>
        <w:t xml:space="preserve"> </w:t>
      </w:r>
      <w:r w:rsidRPr="005614DC">
        <w:rPr>
          <w:rFonts w:cs="Arial"/>
          <w:b/>
          <w:bCs/>
          <w:noProof/>
          <w:szCs w:val="24"/>
        </w:rPr>
        <w:t>50</w:t>
      </w:r>
      <w:r w:rsidRPr="005614DC">
        <w:rPr>
          <w:rFonts w:cs="Arial"/>
          <w:noProof/>
          <w:szCs w:val="24"/>
        </w:rPr>
        <w:t xml:space="preserve"> (3): 885–900</w:t>
      </w:r>
    </w:p>
    <w:p w14:paraId="5FD0C49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Neville L. 2018. New body to protect and promote the Yarra River (Press release) Available at: https://www.premier.vic.gov.au/new-body-to-protect-and-promote-the-yarra-river/</w:t>
      </w:r>
    </w:p>
    <w:p w14:paraId="6713C07B"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Nolan RH, Boer MM, Collins L, de Dios V, Clarke H, Jenkins M, Kenny B, Bradstock RA. 2020. Causes and consequences of eastern Australia’s 2019-20 season of mega-fires. </w:t>
      </w:r>
      <w:r w:rsidRPr="005614DC">
        <w:rPr>
          <w:rFonts w:cs="Arial"/>
          <w:i/>
          <w:iCs/>
          <w:noProof/>
          <w:szCs w:val="24"/>
        </w:rPr>
        <w:t>Global change biology</w:t>
      </w:r>
      <w:r w:rsidRPr="005614DC">
        <w:rPr>
          <w:rFonts w:cs="Arial"/>
          <w:noProof/>
          <w:szCs w:val="24"/>
        </w:rPr>
        <w:t xml:space="preserve"> DOI: 10.1111/gcb.14987</w:t>
      </w:r>
    </w:p>
    <w:p w14:paraId="7BCC1BC7"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Nolan RH, Lane PNJ, Benyon RG, Bradstock RA, Mitchell PJ. 2014. Changes in evapotranspiration following wildfire in resprouting eucalypt forests. </w:t>
      </w:r>
      <w:r w:rsidRPr="005614DC">
        <w:rPr>
          <w:rFonts w:cs="Arial"/>
          <w:i/>
          <w:iCs/>
          <w:noProof/>
          <w:szCs w:val="24"/>
        </w:rPr>
        <w:t>Ecohydrology</w:t>
      </w:r>
      <w:r w:rsidRPr="005614DC">
        <w:rPr>
          <w:rFonts w:cs="Arial"/>
          <w:noProof/>
          <w:szCs w:val="24"/>
        </w:rPr>
        <w:t xml:space="preserve"> </w:t>
      </w:r>
      <w:r w:rsidRPr="005614DC">
        <w:rPr>
          <w:rFonts w:cs="Arial"/>
          <w:b/>
          <w:bCs/>
          <w:noProof/>
          <w:szCs w:val="24"/>
        </w:rPr>
        <w:t>7</w:t>
      </w:r>
      <w:r w:rsidRPr="005614DC">
        <w:rPr>
          <w:rFonts w:cs="Arial"/>
          <w:noProof/>
          <w:szCs w:val="24"/>
        </w:rPr>
        <w:t xml:space="preserve"> (5): 1363–1377 DOI: 10.1002/eco.1463</w:t>
      </w:r>
    </w:p>
    <w:p w14:paraId="60528D1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Nolan RH, Lane PNJ, Benyon RG, Bradstock RA, Mitchell PJ. 2015. Trends in evapotranspiration and streamflow following wildfire in resprouting eucalypt forests.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524</w:t>
      </w:r>
      <w:r w:rsidRPr="005614DC">
        <w:rPr>
          <w:rFonts w:cs="Arial"/>
          <w:noProof/>
          <w:szCs w:val="24"/>
        </w:rPr>
        <w:t>: 614–624 DOI: 10.1016/j.jhydrol.2015.02.045</w:t>
      </w:r>
    </w:p>
    <w:p w14:paraId="59FC7A0F"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Pfautsch S, Bleby TM, Rennenberg H, Adams MA. 2010. Sap flow measurements reveal influence of temperature and stand structure on water use of Eucalyptus regnans forests.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259</w:t>
      </w:r>
      <w:r w:rsidRPr="005614DC">
        <w:rPr>
          <w:rFonts w:cs="Arial"/>
          <w:noProof/>
          <w:szCs w:val="24"/>
        </w:rPr>
        <w:t xml:space="preserve"> (6): 1190–1199 DOI: 10.1016/j.foreco.2010.01.006</w:t>
      </w:r>
    </w:p>
    <w:p w14:paraId="45E37A33"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Potter N, Chiew F, Zheng H, Ekstrom M, Zhang L. 2016. Future hydroclimate projections for Victorian river basins Available at: https://data.csiro.au/collections/#collection/CIcsiro:18071v1</w:t>
      </w:r>
    </w:p>
    <w:p w14:paraId="42D3CDD2"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Price OF, Bradstock RA. 2012. The efficacy of fuel treatment in mitigating property loss during wildfires: Insights from analysis of the severity of the catastrophic fires in 2009 in Victoria, </w:t>
      </w:r>
      <w:r w:rsidRPr="005614DC">
        <w:rPr>
          <w:rFonts w:cs="Arial"/>
          <w:noProof/>
          <w:szCs w:val="24"/>
        </w:rPr>
        <w:lastRenderedPageBreak/>
        <w:t xml:space="preserve">Australia. </w:t>
      </w:r>
      <w:r w:rsidRPr="005614DC">
        <w:rPr>
          <w:rFonts w:cs="Arial"/>
          <w:i/>
          <w:iCs/>
          <w:noProof/>
          <w:szCs w:val="24"/>
        </w:rPr>
        <w:t>Journal of Environmental Management</w:t>
      </w:r>
      <w:r w:rsidRPr="005614DC">
        <w:rPr>
          <w:rFonts w:cs="Arial"/>
          <w:noProof/>
          <w:szCs w:val="24"/>
        </w:rPr>
        <w:t xml:space="preserve"> </w:t>
      </w:r>
      <w:r w:rsidRPr="005614DC">
        <w:rPr>
          <w:rFonts w:cs="Arial"/>
          <w:b/>
          <w:bCs/>
          <w:noProof/>
          <w:szCs w:val="24"/>
        </w:rPr>
        <w:t>113</w:t>
      </w:r>
      <w:r w:rsidRPr="005614DC">
        <w:rPr>
          <w:rFonts w:cs="Arial"/>
          <w:noProof/>
          <w:szCs w:val="24"/>
        </w:rPr>
        <w:t>: 146–157 DOI: doi.org/10.1016/j.jenvman.2012.08.041</w:t>
      </w:r>
    </w:p>
    <w:p w14:paraId="528BBC37"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Saft M, Peel MC, Western AW, Perraud JM, Zhang L. 2016a. Bias in streamflow projections due to climate-induced shifts in catchment response. </w:t>
      </w:r>
      <w:r w:rsidRPr="005614DC">
        <w:rPr>
          <w:rFonts w:cs="Arial"/>
          <w:i/>
          <w:iCs/>
          <w:noProof/>
          <w:szCs w:val="24"/>
        </w:rPr>
        <w:t>Geophysical Research Letters</w:t>
      </w:r>
      <w:r w:rsidRPr="005614DC">
        <w:rPr>
          <w:rFonts w:cs="Arial"/>
          <w:noProof/>
          <w:szCs w:val="24"/>
        </w:rPr>
        <w:t xml:space="preserve"> </w:t>
      </w:r>
      <w:r w:rsidRPr="005614DC">
        <w:rPr>
          <w:rFonts w:cs="Arial"/>
          <w:b/>
          <w:bCs/>
          <w:noProof/>
          <w:szCs w:val="24"/>
        </w:rPr>
        <w:t>43</w:t>
      </w:r>
      <w:r w:rsidRPr="005614DC">
        <w:rPr>
          <w:rFonts w:cs="Arial"/>
          <w:noProof/>
          <w:szCs w:val="24"/>
        </w:rPr>
        <w:t xml:space="preserve"> (4): 1574–1581 DOI: 10.1002/2015GL067326</w:t>
      </w:r>
    </w:p>
    <w:p w14:paraId="55C07C65"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Saft M, Peel MC, Western AW, Zhang L. 2016b. Predicting shifts in rainfall-runoff partitioning during multiyear drought: Roles of dry period and catchment characteristics. </w:t>
      </w:r>
      <w:r w:rsidRPr="005614DC">
        <w:rPr>
          <w:rFonts w:cs="Arial"/>
          <w:i/>
          <w:iCs/>
          <w:noProof/>
          <w:szCs w:val="24"/>
        </w:rPr>
        <w:t>Water Resources Research</w:t>
      </w:r>
      <w:r w:rsidRPr="005614DC">
        <w:rPr>
          <w:rFonts w:cs="Arial"/>
          <w:noProof/>
          <w:szCs w:val="24"/>
        </w:rPr>
        <w:t xml:space="preserve"> </w:t>
      </w:r>
      <w:r w:rsidRPr="005614DC">
        <w:rPr>
          <w:rFonts w:cs="Arial"/>
          <w:b/>
          <w:bCs/>
          <w:noProof/>
          <w:szCs w:val="24"/>
        </w:rPr>
        <w:t>52</w:t>
      </w:r>
      <w:r w:rsidRPr="005614DC">
        <w:rPr>
          <w:rFonts w:cs="Arial"/>
          <w:noProof/>
          <w:szCs w:val="24"/>
        </w:rPr>
        <w:t xml:space="preserve"> (12): 9290–9305 DOI: 10.1002/2016WR019525</w:t>
      </w:r>
    </w:p>
    <w:p w14:paraId="5471168B"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Saft M, Western AW, Zhang L, Peel MC, Potter NJ. 2015. The influence of multiyear drought on the annual rainfall-runoff relationship: An Australian perspective. </w:t>
      </w:r>
      <w:r w:rsidRPr="005614DC">
        <w:rPr>
          <w:rFonts w:cs="Arial"/>
          <w:i/>
          <w:iCs/>
          <w:noProof/>
          <w:szCs w:val="24"/>
        </w:rPr>
        <w:t>Water Resources Research</w:t>
      </w:r>
      <w:r w:rsidRPr="005614DC">
        <w:rPr>
          <w:rFonts w:cs="Arial"/>
          <w:noProof/>
          <w:szCs w:val="24"/>
        </w:rPr>
        <w:t xml:space="preserve"> </w:t>
      </w:r>
      <w:r w:rsidRPr="005614DC">
        <w:rPr>
          <w:rFonts w:cs="Arial"/>
          <w:b/>
          <w:bCs/>
          <w:noProof/>
          <w:szCs w:val="24"/>
        </w:rPr>
        <w:t>51</w:t>
      </w:r>
      <w:r w:rsidRPr="005614DC">
        <w:rPr>
          <w:rFonts w:cs="Arial"/>
          <w:noProof/>
          <w:szCs w:val="24"/>
        </w:rPr>
        <w:t xml:space="preserve"> (4): 2444–2463 DOI: 10.1002/2014WR015348</w:t>
      </w:r>
    </w:p>
    <w:p w14:paraId="117AA2E6"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Salkin O. 2008. Modelling of Options for Management of Catchments supplying Water to Melbourne - Post 2006/07 Fire, Thinning and Reduced Rainfall</w:t>
      </w:r>
    </w:p>
    <w:p w14:paraId="28C80136"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Tan K, Neal B. 2018. Changes in annual rainfall-runoff responses in Melbourne’s major water supply catchments. In </w:t>
      </w:r>
      <w:r w:rsidRPr="005614DC">
        <w:rPr>
          <w:rFonts w:cs="Arial"/>
          <w:i/>
          <w:iCs/>
          <w:noProof/>
          <w:szCs w:val="24"/>
        </w:rPr>
        <w:t>Hydrology and Water Resources Symposium (HWRS 2018): Water and Communities</w:t>
      </w:r>
      <w:r w:rsidRPr="005614DC">
        <w:rPr>
          <w:rFonts w:cs="Arial"/>
          <w:noProof/>
          <w:szCs w:val="24"/>
        </w:rPr>
        <w:t>.</w:t>
      </w:r>
    </w:p>
    <w:p w14:paraId="1BE33C2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Tan KS, Flower DJM, Flowers DM. 2011. An event runoff coefficient approach for assessing changes in short-term catchment runoff following bushfires. </w:t>
      </w:r>
      <w:r w:rsidRPr="005614DC">
        <w:rPr>
          <w:rFonts w:cs="Arial"/>
          <w:i/>
          <w:iCs/>
          <w:noProof/>
          <w:szCs w:val="24"/>
        </w:rPr>
        <w:t>34th IAHR Congress 2011 - Balance and Uncertainty: Water in a Changing World, Incorporating the 33rd Hydrology and Water Resources Symposium and the 10th Conference on Hydraulics in Water Engineering</w:t>
      </w:r>
      <w:r w:rsidRPr="005614DC">
        <w:rPr>
          <w:rFonts w:cs="Arial"/>
          <w:noProof/>
          <w:szCs w:val="24"/>
        </w:rPr>
        <w:t xml:space="preserve"> (July): 1522–1529 Available at: https://search.informit.com.au/documentSummary;dn=344015843764033;res=IELENG</w:t>
      </w:r>
    </w:p>
    <w:p w14:paraId="77884FB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Tan KS, Nathan R, Brown R, Chan H, Rhodes B, Haydon S. 2015. Rapid assessment of forest fire impacts on streamflow for Melbourne. </w:t>
      </w:r>
      <w:r w:rsidRPr="005614DC">
        <w:rPr>
          <w:rFonts w:cs="Arial"/>
          <w:i/>
          <w:iCs/>
          <w:noProof/>
          <w:szCs w:val="24"/>
        </w:rPr>
        <w:t>The Art and Science of Water - 36th Hydrology and Water Resources Symposium, HWRS 2015</w:t>
      </w:r>
      <w:r w:rsidRPr="005614DC">
        <w:rPr>
          <w:rFonts w:cs="Arial"/>
          <w:noProof/>
          <w:szCs w:val="24"/>
        </w:rPr>
        <w:t>: 478–485 Available at: https://search.informit.com.au/documentSummary;dn=816482297513136;res=IELENG</w:t>
      </w:r>
    </w:p>
    <w:p w14:paraId="43679A6A"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Taylor C, Blair DP, Keith H, Lindenmayer DB. 2018. Resource Conflict Across Melbourne’s Largest Domestic Water Supply Catchment. Canberra, Australia. Available at: https://doi.org/10.25911/5beb630e45d35</w:t>
      </w:r>
    </w:p>
    <w:p w14:paraId="789BBA7B"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Taylor C, Blair D, Keith H, Lindenmayer D. 2019. Modelling water yields in response to logging and Representative Climate Futures. </w:t>
      </w:r>
      <w:r w:rsidRPr="005614DC">
        <w:rPr>
          <w:rFonts w:cs="Arial"/>
          <w:i/>
          <w:iCs/>
          <w:noProof/>
          <w:szCs w:val="24"/>
        </w:rPr>
        <w:t>Science of the Total Environment</w:t>
      </w:r>
      <w:r w:rsidRPr="005614DC">
        <w:rPr>
          <w:rFonts w:cs="Arial"/>
          <w:noProof/>
          <w:szCs w:val="24"/>
        </w:rPr>
        <w:t xml:space="preserve"> </w:t>
      </w:r>
      <w:r w:rsidRPr="005614DC">
        <w:rPr>
          <w:rFonts w:cs="Arial"/>
          <w:b/>
          <w:bCs/>
          <w:noProof/>
          <w:szCs w:val="24"/>
        </w:rPr>
        <w:t>688</w:t>
      </w:r>
      <w:r w:rsidRPr="005614DC">
        <w:rPr>
          <w:rFonts w:cs="Arial"/>
          <w:noProof/>
          <w:szCs w:val="24"/>
        </w:rPr>
        <w:t>: 890–902 DOI: 10.1016/j.scitotenv.2019.06.298</w:t>
      </w:r>
    </w:p>
    <w:p w14:paraId="094E090F"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Taylor C, Mccarthy MA, Lindenmayer DB. 2014. Nonlinear Effects of Stand Age on Fire Severity. </w:t>
      </w:r>
      <w:r w:rsidRPr="005614DC">
        <w:rPr>
          <w:rFonts w:cs="Arial"/>
          <w:i/>
          <w:iCs/>
          <w:noProof/>
          <w:szCs w:val="24"/>
        </w:rPr>
        <w:t>Conservation Letters</w:t>
      </w:r>
      <w:r w:rsidRPr="005614DC">
        <w:rPr>
          <w:rFonts w:cs="Arial"/>
          <w:noProof/>
          <w:szCs w:val="24"/>
        </w:rPr>
        <w:t xml:space="preserve"> </w:t>
      </w:r>
      <w:r w:rsidRPr="005614DC">
        <w:rPr>
          <w:rFonts w:cs="Arial"/>
          <w:b/>
          <w:bCs/>
          <w:noProof/>
          <w:szCs w:val="24"/>
        </w:rPr>
        <w:t>7</w:t>
      </w:r>
      <w:r w:rsidRPr="005614DC">
        <w:rPr>
          <w:rFonts w:cs="Arial"/>
          <w:noProof/>
          <w:szCs w:val="24"/>
        </w:rPr>
        <w:t xml:space="preserve"> (4): 355–370 DOI: 10.1111/conl.12122</w:t>
      </w:r>
    </w:p>
    <w:p w14:paraId="11BE280B"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Trouvé R, Nitschke CR, Robinson AP, Baker PJ. 2017. Estimating the self-thinning line from mortality data.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402</w:t>
      </w:r>
      <w:r w:rsidRPr="005614DC">
        <w:rPr>
          <w:rFonts w:cs="Arial"/>
          <w:noProof/>
          <w:szCs w:val="24"/>
        </w:rPr>
        <w:t>: 122–134 DOI: 10.1016/j.foreco.2017.07.027</w:t>
      </w:r>
    </w:p>
    <w:p w14:paraId="4712EC30"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Vardon M, Keith H, Lindenmayer D. 2019. Accounting and valuing the ecosystem services related to water supply in the Central Highlands of Victoria, Australia. </w:t>
      </w:r>
      <w:r w:rsidRPr="005614DC">
        <w:rPr>
          <w:rFonts w:cs="Arial"/>
          <w:i/>
          <w:iCs/>
          <w:noProof/>
          <w:szCs w:val="24"/>
        </w:rPr>
        <w:t>Ecosystem Services</w:t>
      </w:r>
      <w:r w:rsidRPr="005614DC">
        <w:rPr>
          <w:rFonts w:cs="Arial"/>
          <w:noProof/>
          <w:szCs w:val="24"/>
        </w:rPr>
        <w:t xml:space="preserve"> </w:t>
      </w:r>
      <w:r w:rsidRPr="005614DC">
        <w:rPr>
          <w:rFonts w:cs="Arial"/>
          <w:b/>
          <w:bCs/>
          <w:noProof/>
          <w:szCs w:val="24"/>
        </w:rPr>
        <w:t>39</w:t>
      </w:r>
      <w:r w:rsidRPr="005614DC">
        <w:rPr>
          <w:rFonts w:cs="Arial"/>
          <w:noProof/>
          <w:szCs w:val="24"/>
        </w:rPr>
        <w:t>: 101004 DOI: 10.1016/j.ecoser.2019.101004</w:t>
      </w:r>
    </w:p>
    <w:p w14:paraId="3BFBBE23"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lastRenderedPageBreak/>
        <w:t xml:space="preserve">Vertessy RA, Benyon RG, O’Sullivan SK, Gribben PR. 1995. Relationships between stem diameter, sapwood area, leaf area and transpiration in a young mountain ash forest. </w:t>
      </w:r>
      <w:r w:rsidRPr="005614DC">
        <w:rPr>
          <w:rFonts w:cs="Arial"/>
          <w:i/>
          <w:iCs/>
          <w:noProof/>
          <w:szCs w:val="24"/>
        </w:rPr>
        <w:t>Tree Physiology</w:t>
      </w:r>
      <w:r w:rsidRPr="005614DC">
        <w:rPr>
          <w:rFonts w:cs="Arial"/>
          <w:noProof/>
          <w:szCs w:val="24"/>
        </w:rPr>
        <w:t xml:space="preserve"> </w:t>
      </w:r>
      <w:r w:rsidRPr="005614DC">
        <w:rPr>
          <w:rFonts w:cs="Arial"/>
          <w:b/>
          <w:bCs/>
          <w:noProof/>
          <w:szCs w:val="24"/>
        </w:rPr>
        <w:t>15</w:t>
      </w:r>
      <w:r w:rsidRPr="005614DC">
        <w:rPr>
          <w:rFonts w:cs="Arial"/>
          <w:noProof/>
          <w:szCs w:val="24"/>
        </w:rPr>
        <w:t xml:space="preserve"> (9): 559–567 DOI: 10.1093/treephys/15.9.559</w:t>
      </w:r>
    </w:p>
    <w:p w14:paraId="43BA103E"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Vertessy RA, Hatton TJ, Benyon RG, Dawes WR. 1996. Long-term growth and water balance predictions for a mountain ash (Eucalyptus regnans) forest catchment subject to clear-felling and regeneration. </w:t>
      </w:r>
      <w:r w:rsidRPr="005614DC">
        <w:rPr>
          <w:rFonts w:cs="Arial"/>
          <w:i/>
          <w:iCs/>
          <w:noProof/>
          <w:szCs w:val="24"/>
        </w:rPr>
        <w:t>Tree Physiology</w:t>
      </w:r>
      <w:r w:rsidRPr="005614DC">
        <w:rPr>
          <w:rFonts w:cs="Arial"/>
          <w:noProof/>
          <w:szCs w:val="24"/>
        </w:rPr>
        <w:t xml:space="preserve"> </w:t>
      </w:r>
      <w:r w:rsidRPr="005614DC">
        <w:rPr>
          <w:rFonts w:cs="Arial"/>
          <w:b/>
          <w:bCs/>
          <w:noProof/>
          <w:szCs w:val="24"/>
        </w:rPr>
        <w:t>16</w:t>
      </w:r>
      <w:r w:rsidRPr="005614DC">
        <w:rPr>
          <w:rFonts w:cs="Arial"/>
          <w:noProof/>
          <w:szCs w:val="24"/>
        </w:rPr>
        <w:t xml:space="preserve"> (1–2): 221–232 Available at: https://academic.oup.com/treephys/article/16/1-2/221/1658158</w:t>
      </w:r>
    </w:p>
    <w:p w14:paraId="540DF7F5"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Vertessy RA, Hatton TJ, O’Shaughnessy PJ, Jayasuriya MDA. 1993. Predicting water yield from a mountain ash forest catchment using a terrain analysis based catchment model.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150</w:t>
      </w:r>
      <w:r w:rsidRPr="005614DC">
        <w:rPr>
          <w:rFonts w:cs="Arial"/>
          <w:noProof/>
          <w:szCs w:val="24"/>
        </w:rPr>
        <w:t xml:space="preserve"> (2–4): 665–700 DOI: 10.1016/0022-1694(93)90131-R</w:t>
      </w:r>
    </w:p>
    <w:p w14:paraId="36EE5F40"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Vertessy RA, Watson FGR, O’Sullivan SK. 2001. Factors determining relations between stand age and catchment water balance in mountain ash forests.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143</w:t>
      </w:r>
      <w:r w:rsidRPr="005614DC">
        <w:rPr>
          <w:rFonts w:cs="Arial"/>
          <w:noProof/>
          <w:szCs w:val="24"/>
        </w:rPr>
        <w:t xml:space="preserve"> (1–3): 13–26 DOI: 10.1016/S0378-1127(00)00501-6</w:t>
      </w:r>
    </w:p>
    <w:p w14:paraId="71C8EDA4"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Victorian Environmental Water Holder. 2019. Yarra system Available at: http://www.vewh.vic.gov.au/rivers-and-wetlands/central-region/yarra-river</w:t>
      </w:r>
    </w:p>
    <w:p w14:paraId="4451B326"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Walker B. 2008. Woodstock Modeling – Hydrological Studies into the Impact of Timber Harvesting on Water Yields and Options Aimed at Improving Water Yields in State Forests Supplying Water to Melbourne</w:t>
      </w:r>
    </w:p>
    <w:p w14:paraId="0D529B57"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Watson F, Vertessy RA, McMahon T, Rhodes B, Watson I. 2001. Improved methods to assess water yield changes from paired-catchment studies: application to the Maroondah catchments. </w:t>
      </w:r>
      <w:r w:rsidRPr="005614DC">
        <w:rPr>
          <w:rFonts w:cs="Arial"/>
          <w:i/>
          <w:iCs/>
          <w:noProof/>
          <w:szCs w:val="24"/>
        </w:rPr>
        <w:t>Forest Ecology and Management</w:t>
      </w:r>
      <w:r w:rsidRPr="005614DC">
        <w:rPr>
          <w:rFonts w:cs="Arial"/>
          <w:noProof/>
          <w:szCs w:val="24"/>
        </w:rPr>
        <w:t xml:space="preserve"> </w:t>
      </w:r>
      <w:r w:rsidRPr="005614DC">
        <w:rPr>
          <w:rFonts w:cs="Arial"/>
          <w:b/>
          <w:bCs/>
          <w:noProof/>
          <w:szCs w:val="24"/>
        </w:rPr>
        <w:t>143</w:t>
      </w:r>
      <w:r w:rsidRPr="005614DC">
        <w:rPr>
          <w:rFonts w:cs="Arial"/>
          <w:noProof/>
          <w:szCs w:val="24"/>
        </w:rPr>
        <w:t xml:space="preserve"> (1–3): 189–204 DOI: 10.1016/S0378-1127(00)00517-X</w:t>
      </w:r>
    </w:p>
    <w:p w14:paraId="351E069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Watson FGR, Grayson RB, Vertessy RA, McMahon TA. 1998a. Large-scale distribution modelling and the utility of detailed ground data. </w:t>
      </w:r>
      <w:r w:rsidRPr="005614DC">
        <w:rPr>
          <w:rFonts w:cs="Arial"/>
          <w:i/>
          <w:iCs/>
          <w:noProof/>
          <w:szCs w:val="24"/>
        </w:rPr>
        <w:t>Hydrological Processes</w:t>
      </w:r>
      <w:r w:rsidRPr="005614DC">
        <w:rPr>
          <w:rFonts w:cs="Arial"/>
          <w:noProof/>
          <w:szCs w:val="24"/>
        </w:rPr>
        <w:t xml:space="preserve"> </w:t>
      </w:r>
      <w:r w:rsidRPr="005614DC">
        <w:rPr>
          <w:rFonts w:cs="Arial"/>
          <w:b/>
          <w:bCs/>
          <w:noProof/>
          <w:szCs w:val="24"/>
        </w:rPr>
        <w:t>12</w:t>
      </w:r>
      <w:r w:rsidRPr="005614DC">
        <w:rPr>
          <w:rFonts w:cs="Arial"/>
          <w:noProof/>
          <w:szCs w:val="24"/>
        </w:rPr>
        <w:t xml:space="preserve"> (6): 873–888 DOI: 10.1002/(SICI)1099-1085(199805)12:6&lt;873::AID-HYP660&gt;3.0.CO;2-A</w:t>
      </w:r>
    </w:p>
    <w:p w14:paraId="5BF07CB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Watson FGR, Vertessy RA, McMahon TA, Rhodes BG, Watson IS. 1998b. The hydrologic impacts of forestry on the Maroondah catchments. Cooperative Research Centre for Catchment Hydrology, Canberra. Available at: https://ewater.org.au/archive/crcch/archive/pubs/pdfs/technical1999_1.pdf</w:t>
      </w:r>
    </w:p>
    <w:p w14:paraId="33EE5858"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Watson FR. 1999. Large scale, long term, physically based modelling of the effects of land cover change on forest water yield.University of Melbourne. Available at: https://minerva-access.unimelb.edu.au/handle/11343/39486</w:t>
      </w:r>
    </w:p>
    <w:p w14:paraId="59C00135"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Watson FR, Vertessey RA, Grayson RB. 1999. Large-scale modelling of forest hydrological processes and their long-term effect on water yield. </w:t>
      </w:r>
      <w:r w:rsidRPr="005614DC">
        <w:rPr>
          <w:rFonts w:cs="Arial"/>
          <w:i/>
          <w:iCs/>
          <w:noProof/>
          <w:szCs w:val="24"/>
        </w:rPr>
        <w:t>Hydrological Processes</w:t>
      </w:r>
      <w:r w:rsidRPr="005614DC">
        <w:rPr>
          <w:rFonts w:cs="Arial"/>
          <w:noProof/>
          <w:szCs w:val="24"/>
        </w:rPr>
        <w:t xml:space="preserve"> </w:t>
      </w:r>
      <w:r w:rsidRPr="005614DC">
        <w:rPr>
          <w:rFonts w:cs="Arial"/>
          <w:b/>
          <w:bCs/>
          <w:noProof/>
          <w:szCs w:val="24"/>
        </w:rPr>
        <w:t>13</w:t>
      </w:r>
      <w:r w:rsidRPr="005614DC">
        <w:rPr>
          <w:rFonts w:cs="Arial"/>
          <w:noProof/>
          <w:szCs w:val="24"/>
        </w:rPr>
        <w:t>: 689–700 DOI: 10.1002/(SICI)1099-1085(19990415)13:5&lt;689::AID-HYP773&gt;3.0.CO;2-D</w:t>
      </w:r>
    </w:p>
    <w:p w14:paraId="35FB34E8"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Webb AA, Kathuria A, Turner L. 2012. Longer-term changes in streamflow following logging and mixed species eucalypt forest regeneration: The Karuah experiment. </w:t>
      </w:r>
      <w:r w:rsidRPr="005614DC">
        <w:rPr>
          <w:rFonts w:cs="Arial"/>
          <w:i/>
          <w:iCs/>
          <w:noProof/>
          <w:szCs w:val="24"/>
        </w:rPr>
        <w:t>Journal of Hydrology</w:t>
      </w:r>
      <w:r w:rsidRPr="005614DC">
        <w:rPr>
          <w:rFonts w:cs="Arial"/>
          <w:noProof/>
          <w:szCs w:val="24"/>
        </w:rPr>
        <w:t xml:space="preserve"> </w:t>
      </w:r>
      <w:r w:rsidRPr="005614DC">
        <w:rPr>
          <w:rFonts w:cs="Arial"/>
          <w:b/>
          <w:bCs/>
          <w:noProof/>
          <w:szCs w:val="24"/>
        </w:rPr>
        <w:t>464</w:t>
      </w:r>
      <w:r w:rsidRPr="005614DC">
        <w:rPr>
          <w:rFonts w:cs="Arial"/>
          <w:noProof/>
          <w:szCs w:val="24"/>
        </w:rPr>
        <w:t>–</w:t>
      </w:r>
      <w:r w:rsidRPr="005614DC">
        <w:rPr>
          <w:rFonts w:cs="Arial"/>
          <w:b/>
          <w:bCs/>
          <w:noProof/>
          <w:szCs w:val="24"/>
        </w:rPr>
        <w:t>465</w:t>
      </w:r>
      <w:r w:rsidRPr="005614DC">
        <w:rPr>
          <w:rFonts w:cs="Arial"/>
          <w:noProof/>
          <w:szCs w:val="24"/>
        </w:rPr>
        <w:t>: 412–422 DOI: 10.1016/j.jhydrol.2012.07.034</w:t>
      </w:r>
    </w:p>
    <w:p w14:paraId="01297C48"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noProof/>
          <w:szCs w:val="24"/>
        </w:rPr>
        <w:t xml:space="preserve">Yang Y, Roderick ML, Zhang S, McVicar TR, Donohue RJ. 2019. Hydrologic implications of vegetation response to elevated CO2 in climate projections. </w:t>
      </w:r>
      <w:r w:rsidRPr="005614DC">
        <w:rPr>
          <w:rFonts w:cs="Arial"/>
          <w:i/>
          <w:iCs/>
          <w:noProof/>
          <w:szCs w:val="24"/>
        </w:rPr>
        <w:t>Nature Climate Change</w:t>
      </w:r>
      <w:r w:rsidRPr="005614DC">
        <w:rPr>
          <w:rFonts w:cs="Arial"/>
          <w:noProof/>
          <w:szCs w:val="24"/>
        </w:rPr>
        <w:t xml:space="preserve"> </w:t>
      </w:r>
      <w:r w:rsidRPr="005614DC">
        <w:rPr>
          <w:rFonts w:cs="Arial"/>
          <w:b/>
          <w:bCs/>
          <w:noProof/>
          <w:szCs w:val="24"/>
        </w:rPr>
        <w:t>9</w:t>
      </w:r>
      <w:r w:rsidRPr="005614DC">
        <w:rPr>
          <w:rFonts w:cs="Arial"/>
          <w:noProof/>
          <w:szCs w:val="24"/>
        </w:rPr>
        <w:t xml:space="preserve"> (1): </w:t>
      </w:r>
      <w:r w:rsidRPr="005614DC">
        <w:rPr>
          <w:rFonts w:cs="Arial"/>
          <w:noProof/>
          <w:szCs w:val="24"/>
        </w:rPr>
        <w:lastRenderedPageBreak/>
        <w:t>44–48 DOI: 10.1038/s41558-018-0361-0</w:t>
      </w:r>
    </w:p>
    <w:p w14:paraId="2F917B06"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szCs w:val="24"/>
        </w:rPr>
      </w:pPr>
      <w:r w:rsidRPr="005614DC">
        <w:rPr>
          <w:rFonts w:cs="Arial"/>
          <w:i/>
          <w:iCs/>
          <w:noProof/>
          <w:szCs w:val="24"/>
        </w:rPr>
        <w:t>Yarra River Protection Act</w:t>
      </w:r>
      <w:r w:rsidRPr="005614DC">
        <w:rPr>
          <w:rFonts w:cs="Arial"/>
          <w:noProof/>
          <w:szCs w:val="24"/>
        </w:rPr>
        <w:t>. 2017.State of Victoria. Available at: http://www.legislation.vic.gov.au/Domino/Web_Notes/LDMS/PubLawToday.nsf/e84a08860d8fa942ca25761700261a63/ae01f54d9a6b2bb1ca25835500045aab!OpenDocument&amp;Highlight=0,Act</w:t>
      </w:r>
    </w:p>
    <w:p w14:paraId="7B2956BD" w14:textId="77777777" w:rsidR="005614DC" w:rsidRPr="005614DC" w:rsidRDefault="005614DC" w:rsidP="005614DC">
      <w:pPr>
        <w:widowControl w:val="0"/>
        <w:autoSpaceDE w:val="0"/>
        <w:autoSpaceDN w:val="0"/>
        <w:adjustRightInd w:val="0"/>
        <w:spacing w:before="240" w:after="0" w:line="240" w:lineRule="auto"/>
        <w:ind w:left="480" w:hanging="480"/>
        <w:rPr>
          <w:rFonts w:cs="Arial"/>
          <w:noProof/>
        </w:rPr>
      </w:pPr>
      <w:r w:rsidRPr="005614DC">
        <w:rPr>
          <w:rFonts w:cs="Arial"/>
          <w:noProof/>
          <w:szCs w:val="24"/>
        </w:rPr>
        <w:t xml:space="preserve">Zhou Y, Zhang Y, Vaze J, Lane P, Xu S. 2015. Impact of bushfire and climate variability on streamflow from forested catchments in southeast Australia. </w:t>
      </w:r>
      <w:r w:rsidRPr="005614DC">
        <w:rPr>
          <w:rFonts w:cs="Arial"/>
          <w:i/>
          <w:iCs/>
          <w:noProof/>
          <w:szCs w:val="24"/>
        </w:rPr>
        <w:t>Hydrological Sciences Journal</w:t>
      </w:r>
      <w:r w:rsidRPr="005614DC">
        <w:rPr>
          <w:rFonts w:cs="Arial"/>
          <w:noProof/>
          <w:szCs w:val="24"/>
        </w:rPr>
        <w:t xml:space="preserve"> </w:t>
      </w:r>
      <w:r w:rsidRPr="005614DC">
        <w:rPr>
          <w:rFonts w:cs="Arial"/>
          <w:b/>
          <w:bCs/>
          <w:noProof/>
          <w:szCs w:val="24"/>
        </w:rPr>
        <w:t>60</w:t>
      </w:r>
      <w:r w:rsidRPr="005614DC">
        <w:rPr>
          <w:rFonts w:cs="Arial"/>
          <w:noProof/>
          <w:szCs w:val="24"/>
        </w:rPr>
        <w:t xml:space="preserve"> (7–8): 1340–1360 DOI: 10.1080/02626667.2014.961923</w:t>
      </w:r>
    </w:p>
    <w:p w14:paraId="416821A5" w14:textId="7999A5A3" w:rsidR="00C96D06" w:rsidRDefault="005F01A8" w:rsidP="0008526D">
      <w:pPr>
        <w:pStyle w:val="Para0"/>
      </w:pPr>
      <w:r>
        <w:fldChar w:fldCharType="end"/>
      </w:r>
    </w:p>
    <w:p w14:paraId="33CDAF39" w14:textId="4F9BEBAE" w:rsidR="001B2119" w:rsidRDefault="001B2119" w:rsidP="00873BBB">
      <w:pPr>
        <w:pStyle w:val="Para0"/>
        <w:spacing w:before="120"/>
        <w:sectPr w:rsidR="001B2119" w:rsidSect="00DA04ED">
          <w:footerReference w:type="default" r:id="rId52"/>
          <w:pgSz w:w="11907" w:h="16840" w:code="9"/>
          <w:pgMar w:top="2835" w:right="851" w:bottom="1701" w:left="2268" w:header="680" w:footer="250" w:gutter="0"/>
          <w:pgNumType w:start="1"/>
          <w:cols w:space="720"/>
          <w:formProt w:val="0"/>
          <w:docGrid w:linePitch="299"/>
        </w:sectPr>
      </w:pPr>
    </w:p>
    <w:p w14:paraId="74C7F3CC" w14:textId="551622F5" w:rsidR="00C556B6" w:rsidRDefault="00704009" w:rsidP="006B0CCD">
      <w:pPr>
        <w:pStyle w:val="Appendix1"/>
      </w:pPr>
      <w:bookmarkStart w:id="58" w:name="_Toc36033099"/>
      <w:r>
        <w:lastRenderedPageBreak/>
        <w:t>Glossary</w:t>
      </w:r>
      <w:bookmarkEnd w:id="58"/>
    </w:p>
    <w:p w14:paraId="701B3D65" w14:textId="10F5C93D" w:rsidR="00704009" w:rsidRDefault="00704009" w:rsidP="00704009">
      <w:pPr>
        <w:pStyle w:val="Para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661"/>
      </w:tblGrid>
      <w:tr w:rsidR="008B4E2A" w:rsidRPr="004B31A3" w14:paraId="2D79B7FB" w14:textId="77777777" w:rsidTr="00B307DE">
        <w:trPr>
          <w:trHeight w:val="20"/>
        </w:trPr>
        <w:tc>
          <w:tcPr>
            <w:tcW w:w="1210" w:type="pct"/>
          </w:tcPr>
          <w:p w14:paraId="22366A20" w14:textId="77777777" w:rsidR="008B4E2A" w:rsidRPr="004C63FA" w:rsidRDefault="008B4E2A" w:rsidP="00B307DE">
            <w:pPr>
              <w:pStyle w:val="Tabletext"/>
              <w:spacing w:before="0" w:afterLines="120" w:after="288"/>
              <w:rPr>
                <w:i/>
                <w:iCs/>
                <w:lang w:eastAsia="en-AU"/>
              </w:rPr>
            </w:pPr>
            <w:r w:rsidRPr="004C63FA">
              <w:rPr>
                <w:i/>
                <w:iCs/>
              </w:rPr>
              <w:t>Acacia dealbata</w:t>
            </w:r>
          </w:p>
        </w:tc>
        <w:tc>
          <w:tcPr>
            <w:tcW w:w="3790" w:type="pct"/>
          </w:tcPr>
          <w:p w14:paraId="1C9223F2" w14:textId="77777777" w:rsidR="008B4E2A" w:rsidRPr="004B31A3" w:rsidRDefault="008B4E2A" w:rsidP="00B307DE">
            <w:pPr>
              <w:pStyle w:val="Tabletext"/>
              <w:spacing w:before="0" w:afterLines="120" w:after="288"/>
              <w:rPr>
                <w:lang w:eastAsia="en-AU"/>
              </w:rPr>
            </w:pPr>
            <w:r>
              <w:rPr>
                <w:lang w:eastAsia="en-AU"/>
              </w:rPr>
              <w:t>Commonly known as s</w:t>
            </w:r>
            <w:r w:rsidRPr="0024602C">
              <w:rPr>
                <w:lang w:eastAsia="en-AU"/>
              </w:rPr>
              <w:t>ilver wattle, blue wattle or mimosa</w:t>
            </w:r>
            <w:r>
              <w:rPr>
                <w:lang w:eastAsia="en-AU"/>
              </w:rPr>
              <w:t xml:space="preserve">, this is a </w:t>
            </w:r>
            <w:r w:rsidRPr="0024602C">
              <w:rPr>
                <w:lang w:eastAsia="en-AU"/>
              </w:rPr>
              <w:t>tree o</w:t>
            </w:r>
            <w:r>
              <w:rPr>
                <w:lang w:eastAsia="en-AU"/>
              </w:rPr>
              <w:t xml:space="preserve">r shrub growing up to 30 m tall. </w:t>
            </w:r>
            <w:r w:rsidRPr="004C63FA">
              <w:rPr>
                <w:i/>
                <w:lang w:eastAsia="en-AU"/>
              </w:rPr>
              <w:t>Acacia dealbata</w:t>
            </w:r>
            <w:r>
              <w:rPr>
                <w:lang w:eastAsia="en-AU"/>
              </w:rPr>
              <w:t xml:space="preserve"> is</w:t>
            </w:r>
            <w:r w:rsidRPr="0024602C">
              <w:rPr>
                <w:lang w:eastAsia="en-AU"/>
              </w:rPr>
              <w:t xml:space="preserve"> typically a pioneer species after fire</w:t>
            </w:r>
            <w:r>
              <w:rPr>
                <w:lang w:eastAsia="en-AU"/>
              </w:rPr>
              <w:t>, which can also form understorey vegetation in another forest type.</w:t>
            </w:r>
          </w:p>
        </w:tc>
      </w:tr>
      <w:tr w:rsidR="008B4E2A" w:rsidRPr="004B31A3" w14:paraId="5C5FDD82" w14:textId="77777777" w:rsidTr="00B307DE">
        <w:trPr>
          <w:trHeight w:val="20"/>
        </w:trPr>
        <w:tc>
          <w:tcPr>
            <w:tcW w:w="1210" w:type="pct"/>
          </w:tcPr>
          <w:p w14:paraId="3193F373" w14:textId="77777777" w:rsidR="008B4E2A" w:rsidRPr="004B31A3" w:rsidRDefault="008B4E2A" w:rsidP="00B307DE">
            <w:pPr>
              <w:pStyle w:val="Tabletext"/>
              <w:spacing w:before="0" w:afterLines="120" w:after="288"/>
              <w:rPr>
                <w:lang w:eastAsia="en-AU"/>
              </w:rPr>
            </w:pPr>
            <w:r>
              <w:rPr>
                <w:lang w:eastAsia="en-AU"/>
              </w:rPr>
              <w:t>AET</w:t>
            </w:r>
          </w:p>
        </w:tc>
        <w:tc>
          <w:tcPr>
            <w:tcW w:w="3790" w:type="pct"/>
          </w:tcPr>
          <w:p w14:paraId="13EF3F66" w14:textId="77777777" w:rsidR="008B4E2A" w:rsidRPr="004B31A3" w:rsidRDefault="008B4E2A" w:rsidP="00B307DE">
            <w:pPr>
              <w:pStyle w:val="Tabletext"/>
              <w:spacing w:before="0" w:afterLines="120" w:after="288"/>
              <w:rPr>
                <w:lang w:eastAsia="en-AU"/>
              </w:rPr>
            </w:pPr>
            <w:r>
              <w:rPr>
                <w:lang w:eastAsia="en-AU"/>
              </w:rPr>
              <w:t>The actual evapotranspiration that occurs, influenced by available energy, available water and vegetation.</w:t>
            </w:r>
          </w:p>
        </w:tc>
      </w:tr>
      <w:tr w:rsidR="008B4E2A" w:rsidRPr="004B31A3" w14:paraId="4EBA63C8" w14:textId="77777777" w:rsidTr="00B307DE">
        <w:trPr>
          <w:trHeight w:val="20"/>
        </w:trPr>
        <w:tc>
          <w:tcPr>
            <w:tcW w:w="1210" w:type="pct"/>
            <w:hideMark/>
          </w:tcPr>
          <w:p w14:paraId="64C19991" w14:textId="309297B3" w:rsidR="008B4E2A" w:rsidRPr="004B31A3" w:rsidRDefault="008B4E2A" w:rsidP="00B307DE">
            <w:pPr>
              <w:pStyle w:val="Tabletext"/>
              <w:spacing w:before="0" w:afterLines="120" w:after="288"/>
              <w:rPr>
                <w:lang w:eastAsia="en-AU"/>
              </w:rPr>
            </w:pPr>
            <w:r w:rsidRPr="004B31A3">
              <w:rPr>
                <w:lang w:eastAsia="en-AU"/>
              </w:rPr>
              <w:t xml:space="preserve">Ash </w:t>
            </w:r>
            <w:r w:rsidR="002B3148">
              <w:rPr>
                <w:lang w:eastAsia="en-AU"/>
              </w:rPr>
              <w:t>s</w:t>
            </w:r>
            <w:r w:rsidRPr="004B31A3">
              <w:rPr>
                <w:lang w:eastAsia="en-AU"/>
              </w:rPr>
              <w:t>pecies</w:t>
            </w:r>
          </w:p>
        </w:tc>
        <w:tc>
          <w:tcPr>
            <w:tcW w:w="3790" w:type="pct"/>
            <w:hideMark/>
          </w:tcPr>
          <w:p w14:paraId="722D4B9B" w14:textId="77777777" w:rsidR="008B4E2A" w:rsidRPr="004B31A3" w:rsidRDefault="008B4E2A" w:rsidP="00B307DE">
            <w:pPr>
              <w:pStyle w:val="Tabletext"/>
              <w:spacing w:before="0" w:afterLines="120" w:after="288"/>
              <w:rPr>
                <w:lang w:eastAsia="en-AU"/>
              </w:rPr>
            </w:pPr>
            <w:r w:rsidRPr="004B31A3">
              <w:rPr>
                <w:lang w:eastAsia="en-AU"/>
              </w:rPr>
              <w:t>Comprises mountain ash (</w:t>
            </w:r>
            <w:r w:rsidRPr="004C63FA">
              <w:rPr>
                <w:i/>
                <w:lang w:eastAsia="en-AU"/>
              </w:rPr>
              <w:t>Eucalyptus regnans</w:t>
            </w:r>
            <w:r w:rsidRPr="004B31A3">
              <w:rPr>
                <w:lang w:eastAsia="en-AU"/>
              </w:rPr>
              <w:t>), alpine ash (</w:t>
            </w:r>
            <w:r w:rsidRPr="004C63FA">
              <w:rPr>
                <w:i/>
                <w:lang w:eastAsia="en-AU"/>
              </w:rPr>
              <w:t>Eucalyptus delegatensis</w:t>
            </w:r>
            <w:r w:rsidRPr="004B31A3">
              <w:rPr>
                <w:lang w:eastAsia="en-AU"/>
              </w:rPr>
              <w:t>), and shining gum (</w:t>
            </w:r>
            <w:r w:rsidRPr="004C63FA">
              <w:rPr>
                <w:i/>
                <w:lang w:eastAsia="en-AU"/>
              </w:rPr>
              <w:t>Eucalyptus nitens</w:t>
            </w:r>
            <w:r w:rsidRPr="004B31A3">
              <w:rPr>
                <w:lang w:eastAsia="en-AU"/>
              </w:rPr>
              <w:t>).</w:t>
            </w:r>
          </w:p>
        </w:tc>
      </w:tr>
      <w:tr w:rsidR="008B4E2A" w:rsidRPr="004B31A3" w14:paraId="0B8C8240" w14:textId="77777777" w:rsidTr="00B307DE">
        <w:trPr>
          <w:trHeight w:val="20"/>
        </w:trPr>
        <w:tc>
          <w:tcPr>
            <w:tcW w:w="1210" w:type="pct"/>
            <w:hideMark/>
          </w:tcPr>
          <w:p w14:paraId="5F92CDD7" w14:textId="77777777" w:rsidR="008B4E2A" w:rsidRPr="004B31A3" w:rsidRDefault="008B4E2A" w:rsidP="00B307DE">
            <w:pPr>
              <w:pStyle w:val="Tabletext"/>
              <w:spacing w:before="0" w:afterLines="120" w:after="288"/>
              <w:rPr>
                <w:lang w:eastAsia="en-AU"/>
              </w:rPr>
            </w:pPr>
            <w:r w:rsidRPr="004B31A3">
              <w:rPr>
                <w:lang w:eastAsia="en-AU"/>
              </w:rPr>
              <w:t>BISY</w:t>
            </w:r>
          </w:p>
        </w:tc>
        <w:tc>
          <w:tcPr>
            <w:tcW w:w="3790" w:type="pct"/>
            <w:hideMark/>
          </w:tcPr>
          <w:p w14:paraId="1DEF974F" w14:textId="07C2A704" w:rsidR="008B4E2A" w:rsidRPr="004B31A3" w:rsidRDefault="008B4E2A" w:rsidP="00540694">
            <w:pPr>
              <w:pStyle w:val="Tabletext"/>
              <w:spacing w:before="0" w:afterLines="120" w:after="288"/>
              <w:rPr>
                <w:lang w:eastAsia="en-AU"/>
              </w:rPr>
            </w:pPr>
            <w:r w:rsidRPr="004B31A3">
              <w:rPr>
                <w:lang w:eastAsia="en-AU"/>
              </w:rPr>
              <w:t>Bushfire Impacts on Streamflow Yield model</w:t>
            </w:r>
            <w:r w:rsidR="00BC36A5">
              <w:rPr>
                <w:lang w:eastAsia="en-AU"/>
              </w:rPr>
              <w:t xml:space="preserve"> </w:t>
            </w:r>
            <w:r w:rsidR="00540694">
              <w:rPr>
                <w:lang w:eastAsia="en-AU"/>
              </w:rPr>
              <w:fldChar w:fldCharType="begin" w:fldLock="1"/>
            </w:r>
            <w:r w:rsidR="00F833FE">
              <w:rPr>
                <w:lang w:eastAsia="en-AU"/>
              </w:rPr>
              <w:instrText>ADDIN CSL_CITATION {"citationItems":[{"id":"ITEM-1","itemData":{"author":[{"dropping-particle":"","family":"Hill","given":"P. I.","non-dropping-particle":"","parse-names":false,"suffix":""},{"dropping-particle":"","family":"Mordue","given":"Anna","non-dropping-particle":"","parse-names":false,"suffix":""},{"dropping-particle":"","family":"Nathan","given":"Rory","non-dropping-particle":"","parse-names":false,"suffix":""},{"dropping-particle":"","family":"Daamen","given":"Carl","non-dropping-particle":"","parse-names":false,"suffix":""},{"dropping-particle":"","family":"Williams","given":"Kate","non-dropping-particle":"","parse-names":false,"suffix":""}],"container-title":"30th Engineers Australia Hydrology and Water Resources Symposium","id":"ITEM-1","issued":{"date-parts":[["2006"]]},"publisher-place":"Launceston, Tasmania, Australia","title":"Spatially explicit modeling of the hydrologic response of bushfires at the catchment scale","type":"paper-conference"},"uris":["http://www.mendeley.com/documents/?uuid=476aa615-a7b4-457e-a5eb-6a027eccaa44"]},{"id":"ITEM-2","itemData":{"author":[{"dropping-particle":"","family":"Mannik","given":"Rose","non-dropping-particle":"","parse-names":false,"suffix":""},{"dropping-particle":"","family":"Murphy","given":"Rachel","non-dropping-particle":"","parse-names":false,"suffix":""},{"dropping-particle":"","family":"Herron","given":"Andrew","non-dropping-particle":"","parse-names":false,"suffix":""}],"id":"ITEM-2","issue":"July","issued":{"date-parts":[["2009"]]},"title":"Combined impact of the 2003 and 2006/07 bushfires on streamflow","type":"report"},"uris":["http://www.mendeley.com/documents/?uuid=2f672efe-43fe-464e-aa7f-e6ec81ed3c5c"]},{"id":"ITEM-3","itemData":{"DOI":"10.7158/w10-830.2013.16.2","ISSN":"13241583","abstract":"Significant bushfires occurred around the Great Dividing Range in south eastern Australia in the summers of 2003 and 2006/2007. The combined scale of these bushfires presents important hydrological implications for the region in the coming decades. This paper reports on results of a project funded by the Victorian Department of Sustainability and Environment to perform a broad-scale assessment of the total water yield impact resulting from the two bushfires. Impacts are estimated in terms of annual changes in stream flow compared to conditions immediately prior to the 2003 bushfire. The modelling approach used to estimate the impacts on stream flow was the Bushfire Impact on Stream flow Yield model. Annual stream flow response curves were produced at each study catchment outlet, as well as spatially explicit datasets showing change in stream flow across the study catchment. Impacts from the two fires were then aggregated to estimate the total change in stream flow yield relative to flows into the River Murray, Eildon Reservoir and the Gippsland Lakes. © Institution of Engineers Australia, 2013.","author":[{"dropping-particle":"","family":"Mannik","given":"R. D.","non-dropping-particle":"","parse-names":false,"suffix":""},{"dropping-particle":"","family":"Herron","given":"A.","non-dropping-particle":"","parse-names":false,"suffix":""},{"dropping-particle":"","family":"Hill","given":"P. I.","non-dropping-particle":"","parse-names":false,"suffix":""},{"dropping-particle":"","family":"Brown","given":"R. E.","non-dropping-particle":"","parse-names":false,"suffix":""},{"dropping-particle":"","family":"Moran","given":"R.","non-dropping-particle":"","parse-names":false,"suffix":""}],"container-title":"Australian Journal of Water Resources","id":"ITEM-3","issue":"2","issued":{"date-parts":[["2013"]]},"page":"107-120","title":"Estimating the change in streamflow resulting from the 2003 and 2006/2007 bushfires in southeastern Australia","type":"article-journal","volume":"16"},"uris":["http://www.mendeley.com/documents/?uuid=b4868db4-c2b9-4c96-b6d7-011e970759e0"]},{"id":"ITEM-4","itemData":{"DOI":"10.1080/13241583.2008.11465354","author":[{"dropping-particle":"","family":"Hill","given":"P. I.","non-dropping-particle":"","parse-names":false,"suffix":""},{"dropping-particle":"","family":"Mordue","given":"Anna","non-dropping-particle":"","parse-names":false,"suffix":""},{"dropping-particle":"","family":"Nathan","given":"R J","non-dropping-particle":"","parse-names":false,"suffix":""},{"dropping-particle":"","family":"Daamen","given":"CC","non-dropping-particle":"","parse-names":false,"suffix":""},{"dropping-particle":"","family":"Williams","given":"K","non-dropping-particle":"","parse-names":false,"suffix":""},{"dropping-particle":"","family":"Murphy","given":"RE","non-dropping-particle":"","parse-names":false,"suffix":""}],"container-title":"Australian Journal of Water Resources","id":"ITEM-4","issue":"3","issued":{"date-parts":[["2008"]]},"page":"281-290","title":"Spatially explicit modelling of the hydrologic response of bushfires at the catchment scale","type":"article-journal","volume":"12"},"uris":["http://www.mendeley.com/documents/?uuid=c21033e1-948f-4906-9571-5e94650b3e12"]}],"mendeley":{"formattedCitation":"(Hill &lt;i&gt;et al.&lt;/i&gt;, 2006, 2008; Mannik &lt;i&gt;et al.&lt;/i&gt;, 2009, 2013)","plainTextFormattedCitation":"(Hill et al., 2006, 2008; Mannik et al., 2009, 2013)","previouslyFormattedCitation":"(Hill &lt;i&gt;et al.&lt;/i&gt;, 2006, 2008; Mannik &lt;i&gt;et al.&lt;/i&gt;, 2009, 2013)"},"properties":{"noteIndex":0},"schema":"https://github.com/citation-style-language/schema/raw/master/csl-citation.json"}</w:instrText>
            </w:r>
            <w:r w:rsidR="00540694">
              <w:rPr>
                <w:lang w:eastAsia="en-AU"/>
              </w:rPr>
              <w:fldChar w:fldCharType="separate"/>
            </w:r>
            <w:r w:rsidR="00540694" w:rsidRPr="00540694">
              <w:rPr>
                <w:noProof/>
                <w:lang w:eastAsia="en-AU"/>
              </w:rPr>
              <w:t xml:space="preserve">(Hill </w:t>
            </w:r>
            <w:r w:rsidR="00540694" w:rsidRPr="00540694">
              <w:rPr>
                <w:i/>
                <w:noProof/>
                <w:lang w:eastAsia="en-AU"/>
              </w:rPr>
              <w:t>et al.</w:t>
            </w:r>
            <w:r w:rsidR="00540694" w:rsidRPr="00540694">
              <w:rPr>
                <w:noProof/>
                <w:lang w:eastAsia="en-AU"/>
              </w:rPr>
              <w:t xml:space="preserve">, 2006, 2008; Mannik </w:t>
            </w:r>
            <w:r w:rsidR="00540694" w:rsidRPr="00540694">
              <w:rPr>
                <w:i/>
                <w:noProof/>
                <w:lang w:eastAsia="en-AU"/>
              </w:rPr>
              <w:t>et al.</w:t>
            </w:r>
            <w:r w:rsidR="00540694" w:rsidRPr="00540694">
              <w:rPr>
                <w:noProof/>
                <w:lang w:eastAsia="en-AU"/>
              </w:rPr>
              <w:t>, 2009, 2013)</w:t>
            </w:r>
            <w:r w:rsidR="00540694">
              <w:rPr>
                <w:lang w:eastAsia="en-AU"/>
              </w:rPr>
              <w:fldChar w:fldCharType="end"/>
            </w:r>
            <w:r w:rsidRPr="004B31A3">
              <w:rPr>
                <w:lang w:eastAsia="en-AU"/>
              </w:rPr>
              <w:t>.</w:t>
            </w:r>
          </w:p>
        </w:tc>
      </w:tr>
      <w:tr w:rsidR="008B4E2A" w:rsidRPr="004B31A3" w14:paraId="3EB6EC27" w14:textId="77777777" w:rsidTr="00B307DE">
        <w:trPr>
          <w:trHeight w:val="20"/>
        </w:trPr>
        <w:tc>
          <w:tcPr>
            <w:tcW w:w="1210" w:type="pct"/>
            <w:hideMark/>
          </w:tcPr>
          <w:p w14:paraId="286D8ED8" w14:textId="77777777" w:rsidR="008B4E2A" w:rsidRPr="004B31A3" w:rsidRDefault="008B4E2A" w:rsidP="00B307DE">
            <w:pPr>
              <w:pStyle w:val="Tabletext"/>
              <w:spacing w:before="0" w:afterLines="120" w:after="288"/>
              <w:rPr>
                <w:lang w:eastAsia="en-AU"/>
              </w:rPr>
            </w:pPr>
            <w:r w:rsidRPr="004B31A3">
              <w:rPr>
                <w:lang w:eastAsia="en-AU"/>
              </w:rPr>
              <w:t>BNHCRC</w:t>
            </w:r>
          </w:p>
        </w:tc>
        <w:tc>
          <w:tcPr>
            <w:tcW w:w="3790" w:type="pct"/>
            <w:hideMark/>
          </w:tcPr>
          <w:p w14:paraId="0E0DB3C9" w14:textId="02D26ED8" w:rsidR="008B4E2A" w:rsidRPr="004B31A3" w:rsidRDefault="008B4E2A" w:rsidP="00B307DE">
            <w:pPr>
              <w:pStyle w:val="Tabletext"/>
              <w:spacing w:before="0" w:afterLines="120" w:after="288"/>
              <w:rPr>
                <w:lang w:eastAsia="en-AU"/>
              </w:rPr>
            </w:pPr>
            <w:r w:rsidRPr="004B31A3">
              <w:rPr>
                <w:lang w:eastAsia="en-AU"/>
              </w:rPr>
              <w:t>Bushfire and Natural Hazards Cooperative Research Centre</w:t>
            </w:r>
            <w:r>
              <w:rPr>
                <w:lang w:eastAsia="en-AU"/>
              </w:rPr>
              <w:t>.</w:t>
            </w:r>
          </w:p>
        </w:tc>
      </w:tr>
      <w:tr w:rsidR="008B4E2A" w:rsidRPr="004B31A3" w14:paraId="5691B592" w14:textId="77777777" w:rsidTr="00B307DE">
        <w:trPr>
          <w:trHeight w:val="20"/>
        </w:trPr>
        <w:tc>
          <w:tcPr>
            <w:tcW w:w="1210" w:type="pct"/>
            <w:hideMark/>
          </w:tcPr>
          <w:p w14:paraId="0A8E6E9C" w14:textId="77777777" w:rsidR="008B4E2A" w:rsidRPr="004B31A3" w:rsidRDefault="008B4E2A" w:rsidP="00B307DE">
            <w:pPr>
              <w:pStyle w:val="Tabletext"/>
              <w:spacing w:before="0" w:afterLines="120" w:after="288"/>
              <w:rPr>
                <w:lang w:eastAsia="en-AU"/>
              </w:rPr>
            </w:pPr>
            <w:r w:rsidRPr="004B31A3">
              <w:rPr>
                <w:lang w:eastAsia="en-AU"/>
              </w:rPr>
              <w:t>BOM</w:t>
            </w:r>
          </w:p>
        </w:tc>
        <w:tc>
          <w:tcPr>
            <w:tcW w:w="3790" w:type="pct"/>
            <w:hideMark/>
          </w:tcPr>
          <w:p w14:paraId="1536135E" w14:textId="77777777" w:rsidR="008B4E2A" w:rsidRPr="004B31A3" w:rsidRDefault="008B4E2A" w:rsidP="00B307DE">
            <w:pPr>
              <w:pStyle w:val="Tabletext"/>
              <w:spacing w:before="0" w:afterLines="120" w:after="288"/>
              <w:rPr>
                <w:lang w:eastAsia="en-AU"/>
              </w:rPr>
            </w:pPr>
            <w:r w:rsidRPr="004B31A3">
              <w:rPr>
                <w:lang w:eastAsia="en-AU"/>
              </w:rPr>
              <w:t>Bureau of Meteorology.</w:t>
            </w:r>
          </w:p>
        </w:tc>
      </w:tr>
      <w:tr w:rsidR="008B4E2A" w:rsidRPr="004B31A3" w14:paraId="468F5C1C" w14:textId="77777777" w:rsidTr="00B307DE">
        <w:trPr>
          <w:trHeight w:val="20"/>
        </w:trPr>
        <w:tc>
          <w:tcPr>
            <w:tcW w:w="1210" w:type="pct"/>
            <w:hideMark/>
          </w:tcPr>
          <w:p w14:paraId="2EEF7343" w14:textId="77777777" w:rsidR="008B4E2A" w:rsidRPr="004B31A3" w:rsidRDefault="008B4E2A" w:rsidP="00B307DE">
            <w:pPr>
              <w:pStyle w:val="Tabletext"/>
              <w:spacing w:before="0" w:afterLines="120" w:after="288"/>
              <w:rPr>
                <w:lang w:eastAsia="en-AU"/>
              </w:rPr>
            </w:pPr>
            <w:r w:rsidRPr="004B31A3">
              <w:rPr>
                <w:lang w:eastAsia="en-AU"/>
              </w:rPr>
              <w:t>Climate scenario</w:t>
            </w:r>
          </w:p>
        </w:tc>
        <w:tc>
          <w:tcPr>
            <w:tcW w:w="3790" w:type="pct"/>
            <w:hideMark/>
          </w:tcPr>
          <w:p w14:paraId="3325A749" w14:textId="5DF30C83" w:rsidR="008B4E2A" w:rsidRPr="004B31A3" w:rsidRDefault="008B4E2A" w:rsidP="00B307DE">
            <w:pPr>
              <w:pStyle w:val="Tabletext"/>
              <w:spacing w:before="0" w:afterLines="120" w:after="288"/>
              <w:rPr>
                <w:lang w:eastAsia="en-AU"/>
              </w:rPr>
            </w:pPr>
            <w:r w:rsidRPr="004B31A3">
              <w:rPr>
                <w:lang w:eastAsia="en-AU"/>
              </w:rPr>
              <w:t xml:space="preserve">There are four climate scenarios presented in the </w:t>
            </w:r>
            <w:r w:rsidRPr="001333A4">
              <w:rPr>
                <w:lang w:eastAsia="en-AU"/>
              </w:rPr>
              <w:t>Guidelines for Assessing the Impact of Climate Change on Water Supplies in Victoria</w:t>
            </w:r>
            <w:r w:rsidRPr="004B31A3">
              <w:rPr>
                <w:lang w:eastAsia="en-AU"/>
              </w:rPr>
              <w:t xml:space="preserve"> (</w:t>
            </w:r>
            <w:r w:rsidR="001333A4" w:rsidRPr="0010108C">
              <w:rPr>
                <w:noProof/>
              </w:rPr>
              <w:t xml:space="preserve">Department of Environment Land Water and Planning, </w:t>
            </w:r>
            <w:r w:rsidRPr="004B31A3">
              <w:rPr>
                <w:lang w:eastAsia="en-AU"/>
              </w:rPr>
              <w:t xml:space="preserve">2016). The low, medium and high climate </w:t>
            </w:r>
            <w:r w:rsidR="002B3148">
              <w:rPr>
                <w:lang w:eastAsia="en-AU"/>
              </w:rPr>
              <w:t xml:space="preserve">change </w:t>
            </w:r>
            <w:r w:rsidRPr="004B31A3">
              <w:rPr>
                <w:lang w:eastAsia="en-AU"/>
              </w:rPr>
              <w:t>scenarios represent the range (10</w:t>
            </w:r>
            <w:r w:rsidRPr="0024602C">
              <w:rPr>
                <w:vertAlign w:val="superscript"/>
                <w:lang w:eastAsia="en-AU"/>
              </w:rPr>
              <w:t>th</w:t>
            </w:r>
            <w:r w:rsidRPr="004B31A3">
              <w:rPr>
                <w:lang w:eastAsia="en-AU"/>
              </w:rPr>
              <w:t xml:space="preserve"> to 90</w:t>
            </w:r>
            <w:r w:rsidRPr="0024602C">
              <w:rPr>
                <w:vertAlign w:val="superscript"/>
                <w:lang w:eastAsia="en-AU"/>
              </w:rPr>
              <w:t>th</w:t>
            </w:r>
            <w:r w:rsidRPr="004B31A3">
              <w:rPr>
                <w:lang w:eastAsia="en-AU"/>
              </w:rPr>
              <w:t xml:space="preserve"> percentile) of modelled outcomes from global climate models under the RCP8.5 emissions scenario. The fourth climate scenario is a step climate change scenario derived independently of the GCMs.</w:t>
            </w:r>
          </w:p>
        </w:tc>
      </w:tr>
      <w:tr w:rsidR="008B4E2A" w:rsidRPr="004B31A3" w14:paraId="7E08D210" w14:textId="77777777" w:rsidTr="00B307DE">
        <w:trPr>
          <w:trHeight w:val="20"/>
        </w:trPr>
        <w:tc>
          <w:tcPr>
            <w:tcW w:w="1210" w:type="pct"/>
            <w:hideMark/>
          </w:tcPr>
          <w:p w14:paraId="04CD67AE" w14:textId="77777777" w:rsidR="008B4E2A" w:rsidRPr="004B31A3" w:rsidRDefault="008B4E2A" w:rsidP="00B307DE">
            <w:pPr>
              <w:pStyle w:val="Tabletext"/>
              <w:spacing w:before="0" w:afterLines="120" w:after="288"/>
              <w:rPr>
                <w:lang w:eastAsia="en-AU"/>
              </w:rPr>
            </w:pPr>
            <w:r w:rsidRPr="004B31A3">
              <w:rPr>
                <w:lang w:eastAsia="en-AU"/>
              </w:rPr>
              <w:t>CO</w:t>
            </w:r>
            <w:r w:rsidRPr="004B31A3">
              <w:rPr>
                <w:vertAlign w:val="subscript"/>
                <w:lang w:eastAsia="en-AU"/>
              </w:rPr>
              <w:t>2</w:t>
            </w:r>
          </w:p>
        </w:tc>
        <w:tc>
          <w:tcPr>
            <w:tcW w:w="3790" w:type="pct"/>
            <w:hideMark/>
          </w:tcPr>
          <w:p w14:paraId="570F38F4" w14:textId="77777777" w:rsidR="008B4E2A" w:rsidRPr="004B31A3" w:rsidRDefault="008B4E2A" w:rsidP="00B307DE">
            <w:pPr>
              <w:pStyle w:val="Tabletext"/>
              <w:spacing w:before="0" w:afterLines="120" w:after="288"/>
              <w:rPr>
                <w:lang w:eastAsia="en-AU"/>
              </w:rPr>
            </w:pPr>
            <w:r w:rsidRPr="004B31A3">
              <w:rPr>
                <w:lang w:eastAsia="en-AU"/>
              </w:rPr>
              <w:t>Carbon dioxide.</w:t>
            </w:r>
          </w:p>
        </w:tc>
      </w:tr>
      <w:tr w:rsidR="008B4E2A" w:rsidRPr="004B31A3" w14:paraId="61B109EB" w14:textId="77777777" w:rsidTr="00B307DE">
        <w:trPr>
          <w:trHeight w:val="20"/>
        </w:trPr>
        <w:tc>
          <w:tcPr>
            <w:tcW w:w="1210" w:type="pct"/>
            <w:hideMark/>
          </w:tcPr>
          <w:p w14:paraId="336F9F75" w14:textId="77777777" w:rsidR="008B4E2A" w:rsidRPr="004B31A3" w:rsidRDefault="008B4E2A" w:rsidP="00B307DE">
            <w:pPr>
              <w:pStyle w:val="Tabletext"/>
              <w:spacing w:before="0" w:afterLines="120" w:after="288"/>
              <w:rPr>
                <w:lang w:eastAsia="en-AU"/>
              </w:rPr>
            </w:pPr>
            <w:r w:rsidRPr="004B31A3">
              <w:rPr>
                <w:lang w:eastAsia="en-AU"/>
              </w:rPr>
              <w:t>CRCCH</w:t>
            </w:r>
          </w:p>
        </w:tc>
        <w:tc>
          <w:tcPr>
            <w:tcW w:w="3790" w:type="pct"/>
            <w:hideMark/>
          </w:tcPr>
          <w:p w14:paraId="5C4517DB" w14:textId="77777777" w:rsidR="008B4E2A" w:rsidRPr="004B31A3" w:rsidRDefault="008B4E2A" w:rsidP="00B307DE">
            <w:pPr>
              <w:pStyle w:val="Tabletext"/>
              <w:spacing w:before="0" w:afterLines="120" w:after="288"/>
              <w:rPr>
                <w:lang w:eastAsia="en-AU"/>
              </w:rPr>
            </w:pPr>
            <w:r w:rsidRPr="004B31A3">
              <w:rPr>
                <w:lang w:eastAsia="en-AU"/>
              </w:rPr>
              <w:t>Cooperative Research Centre for Catchment Hydrology.</w:t>
            </w:r>
          </w:p>
        </w:tc>
      </w:tr>
      <w:tr w:rsidR="008B4E2A" w:rsidRPr="004B31A3" w14:paraId="34B6C520" w14:textId="77777777" w:rsidTr="00B307DE">
        <w:trPr>
          <w:trHeight w:val="20"/>
        </w:trPr>
        <w:tc>
          <w:tcPr>
            <w:tcW w:w="1210" w:type="pct"/>
            <w:hideMark/>
          </w:tcPr>
          <w:p w14:paraId="5FD662A6" w14:textId="77777777" w:rsidR="008B4E2A" w:rsidRPr="004B31A3" w:rsidRDefault="008B4E2A" w:rsidP="00B307DE">
            <w:pPr>
              <w:pStyle w:val="Tabletext"/>
              <w:spacing w:before="0" w:afterLines="120" w:after="288"/>
              <w:rPr>
                <w:lang w:eastAsia="en-AU"/>
              </w:rPr>
            </w:pPr>
            <w:r w:rsidRPr="004B31A3">
              <w:rPr>
                <w:lang w:eastAsia="en-AU"/>
              </w:rPr>
              <w:t>DELWP</w:t>
            </w:r>
          </w:p>
        </w:tc>
        <w:tc>
          <w:tcPr>
            <w:tcW w:w="3790" w:type="pct"/>
            <w:hideMark/>
          </w:tcPr>
          <w:p w14:paraId="3E9351D2" w14:textId="77777777" w:rsidR="008B4E2A" w:rsidRPr="004B31A3" w:rsidRDefault="008B4E2A" w:rsidP="00B307DE">
            <w:pPr>
              <w:pStyle w:val="Tabletext"/>
              <w:spacing w:before="0" w:afterLines="120" w:after="288"/>
              <w:rPr>
                <w:lang w:eastAsia="en-AU"/>
              </w:rPr>
            </w:pPr>
            <w:r w:rsidRPr="004B31A3">
              <w:rPr>
                <w:lang w:eastAsia="en-AU"/>
              </w:rPr>
              <w:t>Department of Environment, Land, Water and Planning.</w:t>
            </w:r>
          </w:p>
        </w:tc>
      </w:tr>
      <w:tr w:rsidR="008B4E2A" w:rsidRPr="004B31A3" w14:paraId="3F1CCF77" w14:textId="77777777" w:rsidTr="00B307DE">
        <w:trPr>
          <w:trHeight w:val="20"/>
        </w:trPr>
        <w:tc>
          <w:tcPr>
            <w:tcW w:w="1210" w:type="pct"/>
            <w:hideMark/>
          </w:tcPr>
          <w:p w14:paraId="62B51C50" w14:textId="77777777" w:rsidR="008B4E2A" w:rsidRPr="004B31A3" w:rsidRDefault="008B4E2A" w:rsidP="00B307DE">
            <w:pPr>
              <w:pStyle w:val="Tabletext"/>
              <w:spacing w:before="0" w:afterLines="120" w:after="288"/>
              <w:rPr>
                <w:lang w:eastAsia="en-AU"/>
              </w:rPr>
            </w:pPr>
            <w:r w:rsidRPr="004B31A3">
              <w:rPr>
                <w:lang w:eastAsia="en-AU"/>
              </w:rPr>
              <w:t>DSE</w:t>
            </w:r>
          </w:p>
        </w:tc>
        <w:tc>
          <w:tcPr>
            <w:tcW w:w="3790" w:type="pct"/>
            <w:hideMark/>
          </w:tcPr>
          <w:p w14:paraId="590C1209" w14:textId="77777777" w:rsidR="008B4E2A" w:rsidRPr="004B31A3" w:rsidRDefault="008B4E2A" w:rsidP="00B307DE">
            <w:pPr>
              <w:pStyle w:val="Tabletext"/>
              <w:spacing w:before="0" w:afterLines="120" w:after="288"/>
              <w:rPr>
                <w:lang w:eastAsia="en-AU"/>
              </w:rPr>
            </w:pPr>
            <w:r w:rsidRPr="004B31A3">
              <w:rPr>
                <w:lang w:eastAsia="en-AU"/>
              </w:rPr>
              <w:t>Department of Sustainability and Environment.</w:t>
            </w:r>
          </w:p>
        </w:tc>
      </w:tr>
      <w:tr w:rsidR="008B4E2A" w:rsidRPr="004B31A3" w14:paraId="5B978ED3" w14:textId="77777777" w:rsidTr="00B307DE">
        <w:trPr>
          <w:trHeight w:val="20"/>
        </w:trPr>
        <w:tc>
          <w:tcPr>
            <w:tcW w:w="1210" w:type="pct"/>
          </w:tcPr>
          <w:p w14:paraId="4F4FED29" w14:textId="0BBCDC17" w:rsidR="008B4E2A" w:rsidRPr="004C63FA" w:rsidRDefault="008B4E2A" w:rsidP="00B307DE">
            <w:pPr>
              <w:pStyle w:val="Tabletext"/>
              <w:spacing w:before="0" w:afterLines="120" w:after="288"/>
              <w:rPr>
                <w:i/>
                <w:iCs/>
                <w:lang w:eastAsia="en-AU"/>
              </w:rPr>
            </w:pPr>
            <w:r w:rsidRPr="004C63FA">
              <w:rPr>
                <w:i/>
                <w:iCs/>
                <w:lang w:eastAsia="en-AU"/>
              </w:rPr>
              <w:t xml:space="preserve">Eucalyptus </w:t>
            </w:r>
            <w:r w:rsidRPr="004C63FA">
              <w:rPr>
                <w:i/>
                <w:iCs/>
              </w:rPr>
              <w:t>delegaten</w:t>
            </w:r>
            <w:r w:rsidR="002B3148">
              <w:rPr>
                <w:i/>
                <w:iCs/>
              </w:rPr>
              <w:t>s</w:t>
            </w:r>
            <w:r w:rsidRPr="004C63FA">
              <w:rPr>
                <w:i/>
                <w:iCs/>
              </w:rPr>
              <w:t>is</w:t>
            </w:r>
          </w:p>
        </w:tc>
        <w:tc>
          <w:tcPr>
            <w:tcW w:w="3790" w:type="pct"/>
          </w:tcPr>
          <w:p w14:paraId="484A0B12" w14:textId="77777777" w:rsidR="008B4E2A" w:rsidRPr="004B31A3" w:rsidRDefault="008B4E2A" w:rsidP="00B307DE">
            <w:pPr>
              <w:pStyle w:val="Tabletext"/>
              <w:spacing w:before="0" w:afterLines="120" w:after="288"/>
              <w:rPr>
                <w:lang w:eastAsia="en-AU"/>
              </w:rPr>
            </w:pPr>
            <w:r>
              <w:rPr>
                <w:lang w:eastAsia="en-AU"/>
              </w:rPr>
              <w:t xml:space="preserve">Commonly known as </w:t>
            </w:r>
            <w:r w:rsidRPr="00EC6C2A">
              <w:rPr>
                <w:lang w:eastAsia="en-AU"/>
              </w:rPr>
              <w:t xml:space="preserve">alpine ash, gum-topped stringybark </w:t>
            </w:r>
            <w:r>
              <w:rPr>
                <w:lang w:eastAsia="en-AU"/>
              </w:rPr>
              <w:t>or</w:t>
            </w:r>
            <w:r w:rsidRPr="00EC6C2A">
              <w:rPr>
                <w:lang w:eastAsia="en-AU"/>
              </w:rPr>
              <w:t xml:space="preserve"> white-top</w:t>
            </w:r>
            <w:r>
              <w:rPr>
                <w:lang w:eastAsia="en-AU"/>
              </w:rPr>
              <w:t>, this tree typically grows 40 to 50 m tall.</w:t>
            </w:r>
          </w:p>
        </w:tc>
      </w:tr>
      <w:tr w:rsidR="008B4E2A" w:rsidRPr="004B31A3" w14:paraId="09B025D3" w14:textId="77777777" w:rsidTr="00B307DE">
        <w:trPr>
          <w:trHeight w:val="20"/>
        </w:trPr>
        <w:tc>
          <w:tcPr>
            <w:tcW w:w="1210" w:type="pct"/>
          </w:tcPr>
          <w:p w14:paraId="604F13F6" w14:textId="77777777" w:rsidR="008B4E2A" w:rsidRPr="004C63FA" w:rsidRDefault="008B4E2A" w:rsidP="00B307DE">
            <w:pPr>
              <w:pStyle w:val="Tabletext"/>
              <w:spacing w:before="0" w:afterLines="120" w:after="288"/>
              <w:rPr>
                <w:i/>
                <w:iCs/>
                <w:lang w:eastAsia="en-AU"/>
              </w:rPr>
            </w:pPr>
            <w:r w:rsidRPr="004C63FA">
              <w:rPr>
                <w:i/>
                <w:iCs/>
                <w:lang w:eastAsia="en-AU"/>
              </w:rPr>
              <w:t xml:space="preserve">Eucalyptus </w:t>
            </w:r>
            <w:r w:rsidRPr="004C63FA">
              <w:rPr>
                <w:i/>
                <w:iCs/>
              </w:rPr>
              <w:t>nitens</w:t>
            </w:r>
          </w:p>
        </w:tc>
        <w:tc>
          <w:tcPr>
            <w:tcW w:w="3790" w:type="pct"/>
          </w:tcPr>
          <w:p w14:paraId="54BDA001" w14:textId="77777777" w:rsidR="008B4E2A" w:rsidRPr="004B31A3" w:rsidRDefault="008B4E2A" w:rsidP="00B307DE">
            <w:pPr>
              <w:pStyle w:val="Tabletext"/>
              <w:spacing w:before="0" w:afterLines="120" w:after="288"/>
              <w:rPr>
                <w:lang w:eastAsia="en-AU"/>
              </w:rPr>
            </w:pPr>
            <w:r>
              <w:rPr>
                <w:lang w:eastAsia="en-AU"/>
              </w:rPr>
              <w:t xml:space="preserve">Commonly known as </w:t>
            </w:r>
            <w:r>
              <w:t>shining gum, this tree typically grows to 60 m tall.</w:t>
            </w:r>
          </w:p>
        </w:tc>
      </w:tr>
      <w:tr w:rsidR="009F5864" w:rsidRPr="004B31A3" w14:paraId="0A5F46EA" w14:textId="77777777" w:rsidTr="0020274D">
        <w:trPr>
          <w:trHeight w:val="20"/>
        </w:trPr>
        <w:tc>
          <w:tcPr>
            <w:tcW w:w="1210" w:type="pct"/>
          </w:tcPr>
          <w:p w14:paraId="12B46691" w14:textId="1A660976" w:rsidR="009F5864" w:rsidRPr="004C63FA" w:rsidRDefault="009F5864" w:rsidP="009F5864">
            <w:pPr>
              <w:pStyle w:val="Tabletext"/>
              <w:spacing w:before="0" w:afterLines="120" w:after="288"/>
              <w:rPr>
                <w:i/>
                <w:iCs/>
                <w:lang w:eastAsia="en-AU"/>
              </w:rPr>
            </w:pPr>
            <w:r w:rsidRPr="004C63FA">
              <w:rPr>
                <w:i/>
                <w:iCs/>
                <w:lang w:eastAsia="en-AU"/>
              </w:rPr>
              <w:t xml:space="preserve">Eucalyptus </w:t>
            </w:r>
            <w:r>
              <w:rPr>
                <w:i/>
                <w:iCs/>
              </w:rPr>
              <w:t>obliqua</w:t>
            </w:r>
          </w:p>
        </w:tc>
        <w:tc>
          <w:tcPr>
            <w:tcW w:w="3790" w:type="pct"/>
          </w:tcPr>
          <w:p w14:paraId="2DCF7243" w14:textId="06AD2329" w:rsidR="009F5864" w:rsidRPr="004B31A3" w:rsidRDefault="009F5864" w:rsidP="009F5864">
            <w:pPr>
              <w:pStyle w:val="Tabletext"/>
              <w:spacing w:before="0" w:afterLines="120" w:after="288"/>
              <w:rPr>
                <w:lang w:eastAsia="en-AU"/>
              </w:rPr>
            </w:pPr>
            <w:r>
              <w:rPr>
                <w:lang w:eastAsia="en-AU"/>
              </w:rPr>
              <w:t>C</w:t>
            </w:r>
            <w:r w:rsidRPr="009F5864">
              <w:rPr>
                <w:lang w:eastAsia="en-AU"/>
              </w:rPr>
              <w:t xml:space="preserve">ommonly </w:t>
            </w:r>
            <w:r>
              <w:rPr>
                <w:lang w:eastAsia="en-AU"/>
              </w:rPr>
              <w:t>known as messmate stringybark or messmate,</w:t>
            </w:r>
            <w:r w:rsidRPr="009F5864">
              <w:rPr>
                <w:lang w:eastAsia="en-AU"/>
              </w:rPr>
              <w:t xml:space="preserve"> but also known as brown top, brown top stringbark, stringybark or Tasmanian oak,</w:t>
            </w:r>
            <w:r>
              <w:rPr>
                <w:lang w:eastAsia="en-AU"/>
              </w:rPr>
              <w:t xml:space="preserve"> t</w:t>
            </w:r>
            <w:r w:rsidR="002F697F">
              <w:rPr>
                <w:lang w:eastAsia="en-AU"/>
              </w:rPr>
              <w:t>h</w:t>
            </w:r>
            <w:r>
              <w:rPr>
                <w:lang w:eastAsia="en-AU"/>
              </w:rPr>
              <w:t>is tree typically grows to 90 m tall.</w:t>
            </w:r>
          </w:p>
        </w:tc>
      </w:tr>
      <w:tr w:rsidR="008B4E2A" w:rsidRPr="004B31A3" w14:paraId="11FDFBD4" w14:textId="77777777" w:rsidTr="00B307DE">
        <w:trPr>
          <w:trHeight w:val="20"/>
        </w:trPr>
        <w:tc>
          <w:tcPr>
            <w:tcW w:w="1210" w:type="pct"/>
          </w:tcPr>
          <w:p w14:paraId="45A7D2DD" w14:textId="77777777" w:rsidR="008B4E2A" w:rsidRPr="004C63FA" w:rsidRDefault="008B4E2A" w:rsidP="00B307DE">
            <w:pPr>
              <w:pStyle w:val="Tabletext"/>
              <w:spacing w:before="0" w:afterLines="120" w:after="288"/>
              <w:rPr>
                <w:i/>
                <w:iCs/>
                <w:lang w:eastAsia="en-AU"/>
              </w:rPr>
            </w:pPr>
            <w:r w:rsidRPr="004C63FA">
              <w:rPr>
                <w:i/>
                <w:iCs/>
                <w:lang w:eastAsia="en-AU"/>
              </w:rPr>
              <w:lastRenderedPageBreak/>
              <w:t xml:space="preserve">Eucalyptus </w:t>
            </w:r>
            <w:r w:rsidRPr="004C63FA">
              <w:rPr>
                <w:i/>
                <w:iCs/>
              </w:rPr>
              <w:t>pauciflora</w:t>
            </w:r>
          </w:p>
        </w:tc>
        <w:tc>
          <w:tcPr>
            <w:tcW w:w="3790" w:type="pct"/>
          </w:tcPr>
          <w:p w14:paraId="52513F80" w14:textId="77777777" w:rsidR="008B4E2A" w:rsidRPr="004B31A3" w:rsidRDefault="008B4E2A" w:rsidP="00B307DE">
            <w:pPr>
              <w:pStyle w:val="Tabletext"/>
              <w:spacing w:before="0" w:afterLines="120" w:after="288"/>
              <w:rPr>
                <w:lang w:eastAsia="en-AU"/>
              </w:rPr>
            </w:pPr>
            <w:r>
              <w:rPr>
                <w:lang w:eastAsia="en-AU"/>
              </w:rPr>
              <w:t xml:space="preserve">Commonly known as </w:t>
            </w:r>
            <w:r w:rsidRPr="00EC6C2A">
              <w:rPr>
                <w:lang w:eastAsia="en-AU"/>
              </w:rPr>
              <w:t>snow gum or white sallee</w:t>
            </w:r>
            <w:r>
              <w:rPr>
                <w:lang w:eastAsia="en-AU"/>
              </w:rPr>
              <w:t xml:space="preserve">, this tree typically grows </w:t>
            </w:r>
            <w:r w:rsidRPr="00EC6C2A">
              <w:rPr>
                <w:lang w:eastAsia="en-AU"/>
              </w:rPr>
              <w:t>4 to 8 m</w:t>
            </w:r>
            <w:r>
              <w:rPr>
                <w:lang w:eastAsia="en-AU"/>
              </w:rPr>
              <w:t xml:space="preserve"> tall</w:t>
            </w:r>
            <w:r w:rsidRPr="00EC6C2A">
              <w:rPr>
                <w:lang w:eastAsia="en-AU"/>
              </w:rPr>
              <w:t xml:space="preserve">, occasionally reaching 20 m </w:t>
            </w:r>
            <w:r>
              <w:rPr>
                <w:lang w:eastAsia="en-AU"/>
              </w:rPr>
              <w:t>in height.</w:t>
            </w:r>
          </w:p>
        </w:tc>
      </w:tr>
      <w:tr w:rsidR="008B4E2A" w:rsidRPr="004B31A3" w14:paraId="7248B8E8" w14:textId="77777777" w:rsidTr="00B307DE">
        <w:trPr>
          <w:trHeight w:val="20"/>
        </w:trPr>
        <w:tc>
          <w:tcPr>
            <w:tcW w:w="1210" w:type="pct"/>
          </w:tcPr>
          <w:p w14:paraId="57B29DD3" w14:textId="77777777" w:rsidR="008B4E2A" w:rsidRPr="004C63FA" w:rsidRDefault="008B4E2A" w:rsidP="00B307DE">
            <w:pPr>
              <w:pStyle w:val="Tabletext"/>
              <w:spacing w:before="0" w:afterLines="120" w:after="288"/>
              <w:rPr>
                <w:i/>
                <w:iCs/>
                <w:lang w:eastAsia="en-AU"/>
              </w:rPr>
            </w:pPr>
            <w:r w:rsidRPr="004C63FA">
              <w:rPr>
                <w:i/>
                <w:iCs/>
                <w:lang w:eastAsia="en-AU"/>
              </w:rPr>
              <w:t>Eucalyptus regnans</w:t>
            </w:r>
          </w:p>
        </w:tc>
        <w:tc>
          <w:tcPr>
            <w:tcW w:w="3790" w:type="pct"/>
          </w:tcPr>
          <w:p w14:paraId="7A5D8F20" w14:textId="77777777" w:rsidR="008B4E2A" w:rsidRPr="004B31A3" w:rsidRDefault="008B4E2A" w:rsidP="00B307DE">
            <w:pPr>
              <w:pStyle w:val="Tabletext"/>
              <w:spacing w:before="0" w:afterLines="120" w:after="288"/>
              <w:rPr>
                <w:lang w:eastAsia="en-AU"/>
              </w:rPr>
            </w:pPr>
            <w:r>
              <w:rPr>
                <w:lang w:eastAsia="en-AU"/>
              </w:rPr>
              <w:t xml:space="preserve">Commonly known as </w:t>
            </w:r>
            <w:r w:rsidRPr="0024602C">
              <w:rPr>
                <w:lang w:eastAsia="en-AU"/>
              </w:rPr>
              <w:t>mountain ash, swamp gum, or stringy gum</w:t>
            </w:r>
            <w:r>
              <w:rPr>
                <w:lang w:eastAsia="en-AU"/>
              </w:rPr>
              <w:t>, this is the third tallest tree in the world, regularly growing to 85 m in height.</w:t>
            </w:r>
          </w:p>
        </w:tc>
      </w:tr>
      <w:tr w:rsidR="008B4E2A" w:rsidRPr="004B31A3" w14:paraId="1AE0B5AC" w14:textId="77777777" w:rsidTr="00B307DE">
        <w:trPr>
          <w:trHeight w:val="20"/>
        </w:trPr>
        <w:tc>
          <w:tcPr>
            <w:tcW w:w="1210" w:type="pct"/>
          </w:tcPr>
          <w:p w14:paraId="6AEA86E7" w14:textId="5033F8B3" w:rsidR="008B4E2A" w:rsidRPr="004C63FA" w:rsidRDefault="008B4E2A" w:rsidP="00B307DE">
            <w:pPr>
              <w:pStyle w:val="Tabletext"/>
              <w:spacing w:before="0" w:afterLines="120" w:after="288"/>
              <w:rPr>
                <w:i/>
                <w:iCs/>
                <w:lang w:eastAsia="en-AU"/>
              </w:rPr>
            </w:pPr>
            <w:r w:rsidRPr="004C63FA">
              <w:rPr>
                <w:i/>
                <w:iCs/>
                <w:lang w:eastAsia="en-AU"/>
              </w:rPr>
              <w:t xml:space="preserve">Eucalyptus </w:t>
            </w:r>
            <w:r w:rsidRPr="004C63FA">
              <w:rPr>
                <w:i/>
                <w:iCs/>
              </w:rPr>
              <w:t>s</w:t>
            </w:r>
            <w:r w:rsidR="002B3148">
              <w:rPr>
                <w:i/>
                <w:iCs/>
              </w:rPr>
              <w:t>i</w:t>
            </w:r>
            <w:r w:rsidRPr="004C63FA">
              <w:rPr>
                <w:i/>
                <w:iCs/>
              </w:rPr>
              <w:t>eberi</w:t>
            </w:r>
          </w:p>
        </w:tc>
        <w:tc>
          <w:tcPr>
            <w:tcW w:w="3790" w:type="pct"/>
          </w:tcPr>
          <w:p w14:paraId="4246380A" w14:textId="77777777" w:rsidR="008B4E2A" w:rsidRPr="004B31A3" w:rsidRDefault="008B4E2A" w:rsidP="00B307DE">
            <w:pPr>
              <w:pStyle w:val="Tabletext"/>
              <w:spacing w:before="0" w:afterLines="120" w:after="288"/>
              <w:rPr>
                <w:lang w:eastAsia="en-AU"/>
              </w:rPr>
            </w:pPr>
            <w:r>
              <w:rPr>
                <w:lang w:eastAsia="en-AU"/>
              </w:rPr>
              <w:t xml:space="preserve">Commonly known as </w:t>
            </w:r>
            <w:r w:rsidRPr="00EC6C2A">
              <w:rPr>
                <w:lang w:eastAsia="en-AU"/>
              </w:rPr>
              <w:t>silvertop ash or black ash</w:t>
            </w:r>
            <w:r>
              <w:rPr>
                <w:lang w:eastAsia="en-AU"/>
              </w:rPr>
              <w:t>, this tree typically grows 15 to 30 m tall.</w:t>
            </w:r>
          </w:p>
        </w:tc>
      </w:tr>
      <w:tr w:rsidR="008B4E2A" w:rsidRPr="004B31A3" w14:paraId="12A3C652" w14:textId="77777777" w:rsidTr="00B307DE">
        <w:trPr>
          <w:trHeight w:val="20"/>
        </w:trPr>
        <w:tc>
          <w:tcPr>
            <w:tcW w:w="1210" w:type="pct"/>
            <w:hideMark/>
          </w:tcPr>
          <w:p w14:paraId="39A63963" w14:textId="77777777" w:rsidR="008B4E2A" w:rsidRPr="004B31A3" w:rsidRDefault="008B4E2A" w:rsidP="00B307DE">
            <w:pPr>
              <w:pStyle w:val="Tabletext"/>
              <w:spacing w:before="0" w:afterLines="120" w:after="288"/>
              <w:rPr>
                <w:lang w:eastAsia="en-AU"/>
              </w:rPr>
            </w:pPr>
            <w:r w:rsidRPr="004B31A3">
              <w:rPr>
                <w:lang w:eastAsia="en-AU"/>
              </w:rPr>
              <w:t>ENSO</w:t>
            </w:r>
          </w:p>
        </w:tc>
        <w:tc>
          <w:tcPr>
            <w:tcW w:w="3790" w:type="pct"/>
            <w:hideMark/>
          </w:tcPr>
          <w:p w14:paraId="38F463C1" w14:textId="659DE447" w:rsidR="008B4E2A" w:rsidRPr="004B31A3" w:rsidRDefault="008B4E2A" w:rsidP="00B307DE">
            <w:pPr>
              <w:pStyle w:val="Tabletext"/>
              <w:spacing w:before="0" w:afterLines="120" w:after="288"/>
              <w:rPr>
                <w:lang w:eastAsia="en-AU"/>
              </w:rPr>
            </w:pPr>
            <w:r w:rsidRPr="004B31A3">
              <w:rPr>
                <w:lang w:eastAsia="en-AU"/>
              </w:rPr>
              <w:t xml:space="preserve">El Niño Southern Oscillation. Periodic variation of winds and sea surface temperatures over the tropical eastern Pacific Ocean, which affects the climate in the tropics and subtropics </w:t>
            </w:r>
            <w:r w:rsidR="00A77817">
              <w:rPr>
                <w:lang w:eastAsia="en-AU"/>
              </w:rPr>
              <w:fldChar w:fldCharType="begin" w:fldLock="1"/>
            </w:r>
            <w:r w:rsidR="00544257">
              <w:rPr>
                <w:lang w:eastAsia="en-AU"/>
              </w:rPr>
              <w:instrText>ADDIN CSL_CITATION {"citationItems":[{"id":"ITEM-1","itemData":{"URL":"http://www.bom.gov.au/climate/glossary/elnino.shtml","accessed":{"date-parts":[["2019","10","20"]]},"author":[{"dropping-particle":"","family":"Bureau of Meteorology","given":"","non-dropping-particle":"","parse-names":false,"suffix":""}],"id":"ITEM-1","issued":{"date-parts":[["0"]]},"title":"Climate Glossary","type":"webpage"},"uris":["http://www.mendeley.com/documents/?uuid=5da15a61-eaf3-4e3e-8737-f83a93047fe0","http://www.mendeley.com/documents/?uuid=faeed0de-4075-4d96-840c-612d57ddd22a"]}],"mendeley":{"formattedCitation":"(Bureau of Meteorology)","plainTextFormattedCitation":"(Bureau of Meteorology)","previouslyFormattedCitation":"(Bureau of Meteorology)"},"properties":{"noteIndex":0},"schema":"https://github.com/citation-style-language/schema/raw/master/csl-citation.json"}</w:instrText>
            </w:r>
            <w:r w:rsidR="00A77817">
              <w:rPr>
                <w:lang w:eastAsia="en-AU"/>
              </w:rPr>
              <w:fldChar w:fldCharType="separate"/>
            </w:r>
            <w:r w:rsidR="007416C7" w:rsidRPr="007416C7">
              <w:rPr>
                <w:noProof/>
                <w:lang w:eastAsia="en-AU"/>
              </w:rPr>
              <w:t>(Bureau of Meteorology)</w:t>
            </w:r>
            <w:r w:rsidR="00A77817">
              <w:rPr>
                <w:lang w:eastAsia="en-AU"/>
              </w:rPr>
              <w:fldChar w:fldCharType="end"/>
            </w:r>
            <w:r w:rsidRPr="004B31A3">
              <w:rPr>
                <w:lang w:eastAsia="en-AU"/>
              </w:rPr>
              <w:t>.</w:t>
            </w:r>
          </w:p>
        </w:tc>
      </w:tr>
      <w:tr w:rsidR="008B4E2A" w:rsidRPr="004B31A3" w14:paraId="685DB5B6" w14:textId="77777777" w:rsidTr="00B307DE">
        <w:trPr>
          <w:trHeight w:val="20"/>
        </w:trPr>
        <w:tc>
          <w:tcPr>
            <w:tcW w:w="1210" w:type="pct"/>
            <w:hideMark/>
          </w:tcPr>
          <w:p w14:paraId="2FFBFE26" w14:textId="77777777" w:rsidR="008B4E2A" w:rsidRPr="004B31A3" w:rsidRDefault="008B4E2A" w:rsidP="00B307DE">
            <w:pPr>
              <w:pStyle w:val="Tabletext"/>
              <w:spacing w:before="0" w:afterLines="120" w:after="288"/>
              <w:rPr>
                <w:lang w:eastAsia="en-AU"/>
              </w:rPr>
            </w:pPr>
            <w:r w:rsidRPr="004B31A3">
              <w:rPr>
                <w:lang w:eastAsia="en-AU"/>
              </w:rPr>
              <w:t>ET</w:t>
            </w:r>
          </w:p>
        </w:tc>
        <w:tc>
          <w:tcPr>
            <w:tcW w:w="3790" w:type="pct"/>
            <w:hideMark/>
          </w:tcPr>
          <w:p w14:paraId="7151C0C8" w14:textId="77777777" w:rsidR="008B4E2A" w:rsidRPr="004B31A3" w:rsidRDefault="008B4E2A" w:rsidP="00B307DE">
            <w:pPr>
              <w:pStyle w:val="Tabletext"/>
              <w:spacing w:before="0" w:afterLines="120" w:after="288"/>
              <w:rPr>
                <w:lang w:eastAsia="en-AU"/>
              </w:rPr>
            </w:pPr>
            <w:r w:rsidRPr="004B31A3">
              <w:rPr>
                <w:lang w:eastAsia="en-AU"/>
              </w:rPr>
              <w:t>Evapotranspiration. The sum of interception, transpiration and soil evaporation.</w:t>
            </w:r>
          </w:p>
        </w:tc>
      </w:tr>
      <w:tr w:rsidR="008B4E2A" w:rsidRPr="004B31A3" w14:paraId="2982F946" w14:textId="77777777" w:rsidTr="00B307DE">
        <w:trPr>
          <w:trHeight w:val="20"/>
        </w:trPr>
        <w:tc>
          <w:tcPr>
            <w:tcW w:w="1210" w:type="pct"/>
            <w:hideMark/>
          </w:tcPr>
          <w:p w14:paraId="6E10E719" w14:textId="77777777" w:rsidR="008B4E2A" w:rsidRPr="004B31A3" w:rsidRDefault="008B4E2A" w:rsidP="00B307DE">
            <w:pPr>
              <w:pStyle w:val="Tabletext"/>
              <w:spacing w:before="0" w:afterLines="120" w:after="288"/>
              <w:rPr>
                <w:lang w:eastAsia="en-AU"/>
              </w:rPr>
            </w:pPr>
            <w:r w:rsidRPr="004B31A3">
              <w:rPr>
                <w:lang w:eastAsia="en-AU"/>
              </w:rPr>
              <w:t>FMA</w:t>
            </w:r>
          </w:p>
        </w:tc>
        <w:tc>
          <w:tcPr>
            <w:tcW w:w="3790" w:type="pct"/>
            <w:hideMark/>
          </w:tcPr>
          <w:p w14:paraId="197E9E13" w14:textId="77777777" w:rsidR="008B4E2A" w:rsidRPr="004B31A3" w:rsidRDefault="008B4E2A" w:rsidP="00B307DE">
            <w:pPr>
              <w:pStyle w:val="Tabletext"/>
              <w:spacing w:before="0" w:afterLines="120" w:after="288"/>
              <w:rPr>
                <w:lang w:eastAsia="en-AU"/>
              </w:rPr>
            </w:pPr>
            <w:r w:rsidRPr="004B31A3">
              <w:rPr>
                <w:lang w:eastAsia="en-AU"/>
              </w:rPr>
              <w:t>Forest Management Area. Designated land area assigned by Department of Sustainability and Environment (DSE) for management and administrative purposes.</w:t>
            </w:r>
          </w:p>
        </w:tc>
      </w:tr>
      <w:tr w:rsidR="008B4E2A" w:rsidRPr="004B31A3" w14:paraId="74779225" w14:textId="77777777" w:rsidTr="00B307DE">
        <w:trPr>
          <w:trHeight w:val="20"/>
        </w:trPr>
        <w:tc>
          <w:tcPr>
            <w:tcW w:w="1210" w:type="pct"/>
            <w:hideMark/>
          </w:tcPr>
          <w:p w14:paraId="20A1B904" w14:textId="77777777" w:rsidR="008B4E2A" w:rsidRPr="004B31A3" w:rsidRDefault="008B4E2A" w:rsidP="00B307DE">
            <w:pPr>
              <w:pStyle w:val="Tabletext"/>
              <w:spacing w:before="0" w:afterLines="120" w:after="288"/>
              <w:rPr>
                <w:lang w:eastAsia="en-AU"/>
              </w:rPr>
            </w:pPr>
            <w:r w:rsidRPr="004B31A3">
              <w:rPr>
                <w:lang w:eastAsia="en-AU"/>
              </w:rPr>
              <w:t>GHG</w:t>
            </w:r>
          </w:p>
        </w:tc>
        <w:tc>
          <w:tcPr>
            <w:tcW w:w="3790" w:type="pct"/>
            <w:hideMark/>
          </w:tcPr>
          <w:p w14:paraId="774385F9" w14:textId="77777777" w:rsidR="008B4E2A" w:rsidRPr="004B31A3" w:rsidRDefault="008B4E2A" w:rsidP="00B307DE">
            <w:pPr>
              <w:pStyle w:val="Tabletext"/>
              <w:spacing w:before="0" w:afterLines="120" w:after="288"/>
              <w:rPr>
                <w:lang w:eastAsia="en-AU"/>
              </w:rPr>
            </w:pPr>
            <w:r w:rsidRPr="004B31A3">
              <w:rPr>
                <w:lang w:eastAsia="en-AU"/>
              </w:rPr>
              <w:t>Greenhouse Gas.</w:t>
            </w:r>
          </w:p>
        </w:tc>
      </w:tr>
      <w:tr w:rsidR="008B4E2A" w:rsidRPr="004B31A3" w14:paraId="126871CD" w14:textId="77777777" w:rsidTr="00B307DE">
        <w:trPr>
          <w:trHeight w:val="20"/>
        </w:trPr>
        <w:tc>
          <w:tcPr>
            <w:tcW w:w="1210" w:type="pct"/>
            <w:hideMark/>
          </w:tcPr>
          <w:p w14:paraId="2A2E9CD7" w14:textId="77777777" w:rsidR="008B4E2A" w:rsidRPr="004B31A3" w:rsidRDefault="008B4E2A" w:rsidP="00B307DE">
            <w:pPr>
              <w:pStyle w:val="Tabletext"/>
              <w:spacing w:before="0" w:afterLines="120" w:after="288"/>
              <w:rPr>
                <w:lang w:eastAsia="en-AU"/>
              </w:rPr>
            </w:pPr>
            <w:r w:rsidRPr="004B31A3">
              <w:rPr>
                <w:lang w:eastAsia="en-AU"/>
              </w:rPr>
              <w:t>IOD</w:t>
            </w:r>
          </w:p>
        </w:tc>
        <w:tc>
          <w:tcPr>
            <w:tcW w:w="3790" w:type="pct"/>
            <w:hideMark/>
          </w:tcPr>
          <w:p w14:paraId="5943A046" w14:textId="04599D0A" w:rsidR="008B4E2A" w:rsidRPr="004B31A3" w:rsidRDefault="008B4E2A" w:rsidP="00B307DE">
            <w:pPr>
              <w:pStyle w:val="Tabletext"/>
              <w:spacing w:before="0" w:afterLines="120" w:after="288"/>
              <w:rPr>
                <w:lang w:eastAsia="en-AU"/>
              </w:rPr>
            </w:pPr>
            <w:r w:rsidRPr="004B31A3">
              <w:rPr>
                <w:lang w:eastAsia="en-AU"/>
              </w:rPr>
              <w:t xml:space="preserve">Indian Ocean Dipole. Sustained changes in the difference between sea surface temperatures of the tropical western and eastern Indian Ocean </w:t>
            </w:r>
            <w:r w:rsidR="00A77817">
              <w:rPr>
                <w:lang w:eastAsia="en-AU"/>
              </w:rPr>
              <w:fldChar w:fldCharType="begin" w:fldLock="1"/>
            </w:r>
            <w:r w:rsidR="00544257">
              <w:rPr>
                <w:lang w:eastAsia="en-AU"/>
              </w:rPr>
              <w:instrText>ADDIN CSL_CITATION {"citationItems":[{"id":"ITEM-1","itemData":{"URL":"http://www.bom.gov.au/climate/iod/","accessed":{"date-parts":[["2019","10","20"]]},"author":[{"dropping-particle":"","family":"Bureau of Meteorology","given":"","non-dropping-particle":"","parse-names":false,"suffix":""}],"id":"ITEM-1","issued":{"date-parts":[["0"]]},"title":"Indian Ocean influences on Australian climate","type":"webpage"},"uris":["http://www.mendeley.com/documents/?uuid=82a2ad29-a032-4579-8ee6-8319025a8937","http://www.mendeley.com/documents/?uuid=853d4fc8-e253-4590-bd70-087aa3bfdd74"]}],"mendeley":{"formattedCitation":"(Bureau of Meteorology)","plainTextFormattedCitation":"(Bureau of Meteorology)","previouslyFormattedCitation":"(Bureau of Meteorology)"},"properties":{"noteIndex":0},"schema":"https://github.com/citation-style-language/schema/raw/master/csl-citation.json"}</w:instrText>
            </w:r>
            <w:r w:rsidR="00A77817">
              <w:rPr>
                <w:lang w:eastAsia="en-AU"/>
              </w:rPr>
              <w:fldChar w:fldCharType="separate"/>
            </w:r>
            <w:r w:rsidR="007416C7" w:rsidRPr="007416C7">
              <w:rPr>
                <w:noProof/>
                <w:lang w:eastAsia="en-AU"/>
              </w:rPr>
              <w:t>(Bureau of Meteorology)</w:t>
            </w:r>
            <w:r w:rsidR="00A77817">
              <w:rPr>
                <w:lang w:eastAsia="en-AU"/>
              </w:rPr>
              <w:fldChar w:fldCharType="end"/>
            </w:r>
            <w:r w:rsidRPr="004B31A3">
              <w:rPr>
                <w:lang w:eastAsia="en-AU"/>
              </w:rPr>
              <w:t>.</w:t>
            </w:r>
          </w:p>
        </w:tc>
      </w:tr>
      <w:tr w:rsidR="008B4E2A" w:rsidRPr="004B31A3" w14:paraId="68819925" w14:textId="77777777" w:rsidTr="00B307DE">
        <w:trPr>
          <w:trHeight w:val="20"/>
        </w:trPr>
        <w:tc>
          <w:tcPr>
            <w:tcW w:w="1210" w:type="pct"/>
            <w:hideMark/>
          </w:tcPr>
          <w:p w14:paraId="4BE28D2E" w14:textId="77777777" w:rsidR="008B4E2A" w:rsidRPr="004B31A3" w:rsidRDefault="008B4E2A" w:rsidP="00B307DE">
            <w:pPr>
              <w:pStyle w:val="Tabletext"/>
              <w:spacing w:before="0" w:afterLines="120" w:after="288"/>
              <w:rPr>
                <w:lang w:eastAsia="en-AU"/>
              </w:rPr>
            </w:pPr>
            <w:r w:rsidRPr="004B31A3">
              <w:rPr>
                <w:lang w:eastAsia="en-AU"/>
              </w:rPr>
              <w:t>Kuczera curve</w:t>
            </w:r>
          </w:p>
        </w:tc>
        <w:tc>
          <w:tcPr>
            <w:tcW w:w="3790" w:type="pct"/>
            <w:hideMark/>
          </w:tcPr>
          <w:p w14:paraId="4D4EF108" w14:textId="77777777" w:rsidR="008B4E2A" w:rsidRPr="004B31A3" w:rsidRDefault="008B4E2A" w:rsidP="00B307DE">
            <w:pPr>
              <w:pStyle w:val="Tabletext"/>
              <w:spacing w:before="0" w:afterLines="120" w:after="288"/>
              <w:rPr>
                <w:lang w:eastAsia="en-AU"/>
              </w:rPr>
            </w:pPr>
            <w:r w:rsidRPr="004B31A3">
              <w:rPr>
                <w:lang w:eastAsia="en-AU"/>
              </w:rPr>
              <w:t>Curve representing the change in streamflow with forest age (Kuczera, 1987).</w:t>
            </w:r>
          </w:p>
        </w:tc>
      </w:tr>
      <w:tr w:rsidR="008B4E2A" w:rsidRPr="004B31A3" w14:paraId="32DCF2B6" w14:textId="77777777" w:rsidTr="00B307DE">
        <w:trPr>
          <w:trHeight w:val="20"/>
        </w:trPr>
        <w:tc>
          <w:tcPr>
            <w:tcW w:w="1210" w:type="pct"/>
            <w:hideMark/>
          </w:tcPr>
          <w:p w14:paraId="4EDD0718" w14:textId="77777777" w:rsidR="008B4E2A" w:rsidRPr="004B31A3" w:rsidRDefault="008B4E2A" w:rsidP="00B307DE">
            <w:pPr>
              <w:pStyle w:val="Tabletext"/>
              <w:spacing w:before="0" w:afterLines="120" w:after="288"/>
              <w:rPr>
                <w:lang w:eastAsia="en-AU"/>
              </w:rPr>
            </w:pPr>
            <w:r w:rsidRPr="004B31A3">
              <w:rPr>
                <w:lang w:eastAsia="en-AU"/>
              </w:rPr>
              <w:t>LAI</w:t>
            </w:r>
          </w:p>
        </w:tc>
        <w:tc>
          <w:tcPr>
            <w:tcW w:w="3790" w:type="pct"/>
            <w:hideMark/>
          </w:tcPr>
          <w:p w14:paraId="1065F7B7" w14:textId="33FCCAAA" w:rsidR="008B4E2A" w:rsidRPr="004B31A3" w:rsidRDefault="008B4E2A" w:rsidP="00B307DE">
            <w:pPr>
              <w:pStyle w:val="Tabletext"/>
              <w:spacing w:before="0" w:afterLines="120" w:after="288"/>
              <w:rPr>
                <w:lang w:eastAsia="en-AU"/>
              </w:rPr>
            </w:pPr>
            <w:r w:rsidRPr="004B31A3">
              <w:rPr>
                <w:lang w:eastAsia="en-AU"/>
              </w:rPr>
              <w:t>Leaf Area Index. Unit leaf area per unit ground area</w:t>
            </w:r>
            <w:r w:rsidR="002B3148">
              <w:rPr>
                <w:lang w:eastAsia="en-AU"/>
              </w:rPr>
              <w:t>,</w:t>
            </w:r>
            <w:r w:rsidRPr="004B31A3">
              <w:rPr>
                <w:lang w:eastAsia="en-AU"/>
              </w:rPr>
              <w:t xml:space="preserve"> e.g. m</w:t>
            </w:r>
            <w:r w:rsidRPr="004C63FA">
              <w:rPr>
                <w:vertAlign w:val="superscript"/>
                <w:lang w:eastAsia="en-AU"/>
              </w:rPr>
              <w:t>2</w:t>
            </w:r>
            <w:r w:rsidRPr="004B31A3">
              <w:rPr>
                <w:lang w:eastAsia="en-AU"/>
              </w:rPr>
              <w:t xml:space="preserve"> of leaf per m</w:t>
            </w:r>
            <w:r w:rsidRPr="004C63FA">
              <w:rPr>
                <w:vertAlign w:val="superscript"/>
                <w:lang w:eastAsia="en-AU"/>
              </w:rPr>
              <w:t>2</w:t>
            </w:r>
            <w:r w:rsidRPr="004B31A3">
              <w:rPr>
                <w:lang w:eastAsia="en-AU"/>
              </w:rPr>
              <w:t xml:space="preserve"> of ground area.</w:t>
            </w:r>
          </w:p>
        </w:tc>
      </w:tr>
      <w:tr w:rsidR="008B4E2A" w:rsidRPr="004B31A3" w14:paraId="68FB3AA9" w14:textId="77777777" w:rsidTr="00B307DE">
        <w:trPr>
          <w:trHeight w:val="20"/>
        </w:trPr>
        <w:tc>
          <w:tcPr>
            <w:tcW w:w="1210" w:type="pct"/>
            <w:hideMark/>
          </w:tcPr>
          <w:p w14:paraId="6157F1AE" w14:textId="77777777" w:rsidR="008B4E2A" w:rsidRPr="004B31A3" w:rsidRDefault="008B4E2A" w:rsidP="00B307DE">
            <w:pPr>
              <w:pStyle w:val="Tabletext"/>
              <w:spacing w:before="0" w:afterLines="120" w:after="288"/>
              <w:rPr>
                <w:lang w:eastAsia="en-AU"/>
              </w:rPr>
            </w:pPr>
            <w:r w:rsidRPr="004B31A3">
              <w:rPr>
                <w:lang w:eastAsia="en-AU"/>
              </w:rPr>
              <w:t>Macaque</w:t>
            </w:r>
          </w:p>
        </w:tc>
        <w:tc>
          <w:tcPr>
            <w:tcW w:w="3790" w:type="pct"/>
            <w:hideMark/>
          </w:tcPr>
          <w:p w14:paraId="05DF7795" w14:textId="22449E7A" w:rsidR="008B4E2A" w:rsidRPr="004B31A3" w:rsidRDefault="008B4E2A" w:rsidP="00BE6972">
            <w:pPr>
              <w:pStyle w:val="Tabletext"/>
              <w:spacing w:before="0" w:afterLines="120" w:after="288"/>
              <w:rPr>
                <w:lang w:eastAsia="en-AU"/>
              </w:rPr>
            </w:pPr>
            <w:r w:rsidRPr="004B31A3">
              <w:rPr>
                <w:lang w:eastAsia="en-AU"/>
              </w:rPr>
              <w:t>Macaque hydrological model, which was specifically developed by Dr</w:t>
            </w:r>
            <w:r>
              <w:rPr>
                <w:lang w:eastAsia="en-AU"/>
              </w:rPr>
              <w:t> </w:t>
            </w:r>
            <w:r w:rsidRPr="004B31A3">
              <w:rPr>
                <w:lang w:eastAsia="en-AU"/>
              </w:rPr>
              <w:t>Fred Watson at the CRC for Catchment Hydrology (CRCCH)</w:t>
            </w:r>
            <w:r w:rsidR="00BE6972">
              <w:rPr>
                <w:lang w:eastAsia="en-AU"/>
              </w:rPr>
              <w:t xml:space="preserve"> </w:t>
            </w:r>
            <w:r w:rsidR="00BE6972">
              <w:rPr>
                <w:lang w:eastAsia="en-AU"/>
              </w:rPr>
              <w:fldChar w:fldCharType="begin" w:fldLock="1"/>
            </w:r>
            <w:r w:rsidR="00544257">
              <w:rPr>
                <w:lang w:eastAsia="en-AU"/>
              </w:rPr>
              <w:instrText>ADDIN CSL_CITATION {"citationItems":[{"id":"ITEM-1","itemData":{"author":[{"dropping-particle":"","family":"Watson","given":"Fred R","non-dropping-particle":"","parse-names":false,"suffix":""}],"id":"ITEM-1","issued":{"date-parts":[["1999"]]},"publisher":"University of Melbourne","title":"Large scale, long term, physically based modelling of the effects of land cover change on forest water yield","type":"thesis"},"uris":["http://www.mendeley.com/documents/?uuid=8795fcfe-317c-4793-be0a-6449a98ad40f"]}],"mendeley":{"formattedCitation":"(Watson, 1999)","plainTextFormattedCitation":"(Watson, 1999)","previouslyFormattedCitation":"(Watson, 1999)"},"properties":{"noteIndex":0},"schema":"https://github.com/citation-style-language/schema/raw/master/csl-citation.json"}</w:instrText>
            </w:r>
            <w:r w:rsidR="00BE6972">
              <w:rPr>
                <w:lang w:eastAsia="en-AU"/>
              </w:rPr>
              <w:fldChar w:fldCharType="separate"/>
            </w:r>
            <w:r w:rsidR="007416C7" w:rsidRPr="007416C7">
              <w:rPr>
                <w:noProof/>
                <w:lang w:eastAsia="en-AU"/>
              </w:rPr>
              <w:t>(Watson, 1999)</w:t>
            </w:r>
            <w:r w:rsidR="00BE6972">
              <w:rPr>
                <w:lang w:eastAsia="en-AU"/>
              </w:rPr>
              <w:fldChar w:fldCharType="end"/>
            </w:r>
            <w:r w:rsidRPr="004B31A3">
              <w:rPr>
                <w:lang w:eastAsia="en-AU"/>
              </w:rPr>
              <w:t>.</w:t>
            </w:r>
          </w:p>
        </w:tc>
      </w:tr>
      <w:tr w:rsidR="008B4E2A" w:rsidRPr="004B31A3" w14:paraId="7B466B22" w14:textId="77777777" w:rsidTr="00B307DE">
        <w:trPr>
          <w:trHeight w:val="20"/>
        </w:trPr>
        <w:tc>
          <w:tcPr>
            <w:tcW w:w="1210" w:type="pct"/>
            <w:hideMark/>
          </w:tcPr>
          <w:p w14:paraId="090653B1" w14:textId="74D8C636" w:rsidR="008B4E2A" w:rsidRPr="004B31A3" w:rsidRDefault="008B4E2A" w:rsidP="00B307DE">
            <w:pPr>
              <w:pStyle w:val="Tabletext"/>
              <w:spacing w:before="0" w:afterLines="120" w:after="288"/>
              <w:rPr>
                <w:lang w:eastAsia="en-AU"/>
              </w:rPr>
            </w:pPr>
            <w:r w:rsidRPr="004B31A3">
              <w:rPr>
                <w:lang w:eastAsia="en-AU"/>
              </w:rPr>
              <w:t xml:space="preserve">Millennium </w:t>
            </w:r>
            <w:r w:rsidR="002B3148">
              <w:rPr>
                <w:lang w:eastAsia="en-AU"/>
              </w:rPr>
              <w:t>d</w:t>
            </w:r>
            <w:r w:rsidRPr="004B31A3">
              <w:rPr>
                <w:lang w:eastAsia="en-AU"/>
              </w:rPr>
              <w:t>rought</w:t>
            </w:r>
          </w:p>
        </w:tc>
        <w:tc>
          <w:tcPr>
            <w:tcW w:w="3790" w:type="pct"/>
            <w:hideMark/>
          </w:tcPr>
          <w:p w14:paraId="52C56F29" w14:textId="77777777" w:rsidR="008B4E2A" w:rsidRPr="004B31A3" w:rsidRDefault="008B4E2A" w:rsidP="00B307DE">
            <w:pPr>
              <w:pStyle w:val="Tabletext"/>
              <w:spacing w:before="0" w:afterLines="120" w:after="288"/>
              <w:rPr>
                <w:lang w:eastAsia="en-AU"/>
              </w:rPr>
            </w:pPr>
            <w:r w:rsidRPr="004B31A3">
              <w:rPr>
                <w:lang w:eastAsia="en-AU"/>
              </w:rPr>
              <w:t xml:space="preserve">Prolonged period of dry conditions that affected </w:t>
            </w:r>
            <w:r w:rsidRPr="004B31A3">
              <w:rPr>
                <w:sz w:val="18"/>
                <w:szCs w:val="18"/>
                <w:lang w:eastAsia="en-AU"/>
              </w:rPr>
              <w:t>much of southern Australia</w:t>
            </w:r>
            <w:r w:rsidRPr="004B31A3">
              <w:rPr>
                <w:lang w:eastAsia="en-AU"/>
              </w:rPr>
              <w:t xml:space="preserve">, from late 1996 to mid-2010. </w:t>
            </w:r>
          </w:p>
        </w:tc>
      </w:tr>
      <w:tr w:rsidR="008B4E2A" w:rsidRPr="004B31A3" w14:paraId="3A6CC8E2" w14:textId="77777777" w:rsidTr="00B307DE">
        <w:trPr>
          <w:trHeight w:val="20"/>
        </w:trPr>
        <w:tc>
          <w:tcPr>
            <w:tcW w:w="1210" w:type="pct"/>
            <w:hideMark/>
          </w:tcPr>
          <w:p w14:paraId="5788DF20" w14:textId="3B3907FE" w:rsidR="008B4E2A" w:rsidRPr="004B31A3" w:rsidRDefault="008B4E2A" w:rsidP="00B307DE">
            <w:pPr>
              <w:pStyle w:val="Tabletext"/>
              <w:spacing w:before="0" w:afterLines="120" w:after="288"/>
              <w:rPr>
                <w:lang w:eastAsia="en-AU"/>
              </w:rPr>
            </w:pPr>
            <w:r w:rsidRPr="004B31A3">
              <w:rPr>
                <w:lang w:eastAsia="en-AU"/>
              </w:rPr>
              <w:t xml:space="preserve">Mixed </w:t>
            </w:r>
            <w:r w:rsidR="002B3148">
              <w:rPr>
                <w:lang w:eastAsia="en-AU"/>
              </w:rPr>
              <w:t>s</w:t>
            </w:r>
            <w:r w:rsidRPr="004B31A3">
              <w:rPr>
                <w:lang w:eastAsia="en-AU"/>
              </w:rPr>
              <w:t>pecies</w:t>
            </w:r>
          </w:p>
        </w:tc>
        <w:tc>
          <w:tcPr>
            <w:tcW w:w="3790" w:type="pct"/>
            <w:hideMark/>
          </w:tcPr>
          <w:p w14:paraId="38E4BE7E" w14:textId="77777777" w:rsidR="008B4E2A" w:rsidRPr="004B31A3" w:rsidRDefault="008B4E2A" w:rsidP="00B307DE">
            <w:pPr>
              <w:pStyle w:val="Tabletext"/>
              <w:spacing w:afterLines="120" w:after="288"/>
              <w:rPr>
                <w:lang w:eastAsia="en-AU"/>
              </w:rPr>
            </w:pPr>
            <w:r>
              <w:rPr>
                <w:lang w:eastAsia="en-AU"/>
              </w:rPr>
              <w:t>Forest typically comprised of a mixture of mainly non-</w:t>
            </w:r>
            <w:r w:rsidRPr="004B31A3">
              <w:rPr>
                <w:lang w:eastAsia="en-AU"/>
              </w:rPr>
              <w:t>ash speci</w:t>
            </w:r>
            <w:r>
              <w:rPr>
                <w:lang w:eastAsia="en-AU"/>
              </w:rPr>
              <w:t>es, mainly m</w:t>
            </w:r>
            <w:r w:rsidRPr="004B31A3">
              <w:rPr>
                <w:lang w:eastAsia="en-AU"/>
              </w:rPr>
              <w:t>essmate (</w:t>
            </w:r>
            <w:r w:rsidRPr="004C63FA">
              <w:rPr>
                <w:i/>
                <w:iCs/>
                <w:lang w:eastAsia="en-AU"/>
              </w:rPr>
              <w:t>E. obliqua</w:t>
            </w:r>
            <w:r w:rsidRPr="004B31A3">
              <w:rPr>
                <w:lang w:eastAsia="en-AU"/>
              </w:rPr>
              <w:t xml:space="preserve">), </w:t>
            </w:r>
            <w:r>
              <w:rPr>
                <w:lang w:eastAsia="en-AU"/>
              </w:rPr>
              <w:t>s</w:t>
            </w:r>
            <w:r w:rsidRPr="004B31A3">
              <w:rPr>
                <w:lang w:eastAsia="en-AU"/>
              </w:rPr>
              <w:t>ilvertop (</w:t>
            </w:r>
            <w:r w:rsidRPr="004C63FA">
              <w:rPr>
                <w:i/>
                <w:iCs/>
                <w:lang w:eastAsia="en-AU"/>
              </w:rPr>
              <w:t>E. sieberi</w:t>
            </w:r>
            <w:r>
              <w:rPr>
                <w:lang w:eastAsia="en-AU"/>
              </w:rPr>
              <w:t>), mountain g</w:t>
            </w:r>
            <w:r w:rsidRPr="004B31A3">
              <w:rPr>
                <w:lang w:eastAsia="en-AU"/>
              </w:rPr>
              <w:t>re</w:t>
            </w:r>
            <w:r>
              <w:rPr>
                <w:lang w:eastAsia="en-AU"/>
              </w:rPr>
              <w:t>y gum (</w:t>
            </w:r>
            <w:r w:rsidRPr="004C63FA">
              <w:rPr>
                <w:i/>
                <w:iCs/>
                <w:lang w:eastAsia="en-AU"/>
              </w:rPr>
              <w:t>E. cypellocarpa</w:t>
            </w:r>
            <w:r>
              <w:rPr>
                <w:lang w:eastAsia="en-AU"/>
              </w:rPr>
              <w:t>), manna gum (</w:t>
            </w:r>
            <w:r w:rsidRPr="004C63FA">
              <w:rPr>
                <w:i/>
                <w:iCs/>
                <w:lang w:eastAsia="en-AU"/>
              </w:rPr>
              <w:t>E. viminalis</w:t>
            </w:r>
            <w:r>
              <w:rPr>
                <w:lang w:eastAsia="en-AU"/>
              </w:rPr>
              <w:t>) and a suite of associated species.</w:t>
            </w:r>
          </w:p>
        </w:tc>
      </w:tr>
      <w:tr w:rsidR="008B4E2A" w:rsidRPr="004B31A3" w14:paraId="21E10F7D" w14:textId="77777777" w:rsidTr="00B307DE">
        <w:trPr>
          <w:trHeight w:val="20"/>
        </w:trPr>
        <w:tc>
          <w:tcPr>
            <w:tcW w:w="1210" w:type="pct"/>
            <w:hideMark/>
          </w:tcPr>
          <w:p w14:paraId="7A634929" w14:textId="77777777" w:rsidR="008B4E2A" w:rsidRPr="004B31A3" w:rsidRDefault="008B4E2A" w:rsidP="00B307DE">
            <w:pPr>
              <w:pStyle w:val="Tabletext"/>
              <w:spacing w:before="0" w:afterLines="120" w:after="288"/>
              <w:rPr>
                <w:lang w:eastAsia="en-AU"/>
              </w:rPr>
            </w:pPr>
            <w:r w:rsidRPr="004B31A3">
              <w:rPr>
                <w:lang w:eastAsia="en-AU"/>
              </w:rPr>
              <w:t>MoU</w:t>
            </w:r>
          </w:p>
        </w:tc>
        <w:tc>
          <w:tcPr>
            <w:tcW w:w="3790" w:type="pct"/>
            <w:hideMark/>
          </w:tcPr>
          <w:p w14:paraId="4DFA998A" w14:textId="332319B5" w:rsidR="008B4E2A" w:rsidRPr="004B31A3" w:rsidRDefault="008B4E2A" w:rsidP="00B307DE">
            <w:pPr>
              <w:pStyle w:val="Tabletext"/>
              <w:spacing w:before="0" w:afterLines="120" w:after="288"/>
              <w:rPr>
                <w:lang w:eastAsia="en-AU"/>
              </w:rPr>
            </w:pPr>
            <w:r w:rsidRPr="004B31A3">
              <w:rPr>
                <w:lang w:eastAsia="en-AU"/>
              </w:rPr>
              <w:t xml:space="preserve">Memorandum of Understanding. Document signed by Victoria and the Commonwealth </w:t>
            </w:r>
            <w:r w:rsidR="00472AE0">
              <w:rPr>
                <w:lang w:eastAsia="en-AU"/>
              </w:rPr>
              <w:t xml:space="preserve">of Australia </w:t>
            </w:r>
            <w:r w:rsidRPr="004B31A3">
              <w:rPr>
                <w:lang w:eastAsia="en-AU"/>
              </w:rPr>
              <w:t xml:space="preserve">that “set out actions to be undertaken by the Australian and Victorian governments to ensure that long term </w:t>
            </w:r>
            <w:r w:rsidRPr="004B31A3">
              <w:rPr>
                <w:lang w:eastAsia="en-AU"/>
              </w:rPr>
              <w:lastRenderedPageBreak/>
              <w:t>extensions and updates to the Victorian RFA framework can be undertaken by 31 March 2020”.</w:t>
            </w:r>
          </w:p>
        </w:tc>
      </w:tr>
      <w:tr w:rsidR="008B4E2A" w:rsidRPr="004B31A3" w14:paraId="19C7EFF8" w14:textId="77777777" w:rsidTr="00B307DE">
        <w:trPr>
          <w:trHeight w:val="20"/>
        </w:trPr>
        <w:tc>
          <w:tcPr>
            <w:tcW w:w="1210" w:type="pct"/>
            <w:hideMark/>
          </w:tcPr>
          <w:p w14:paraId="521BE568" w14:textId="77777777" w:rsidR="008B4E2A" w:rsidRPr="004B31A3" w:rsidRDefault="008B4E2A" w:rsidP="00B307DE">
            <w:pPr>
              <w:pStyle w:val="Tabletext"/>
              <w:spacing w:before="0" w:afterLines="120" w:after="288"/>
              <w:rPr>
                <w:lang w:eastAsia="en-AU"/>
              </w:rPr>
            </w:pPr>
            <w:r w:rsidRPr="004B31A3">
              <w:rPr>
                <w:lang w:eastAsia="en-AU"/>
              </w:rPr>
              <w:lastRenderedPageBreak/>
              <w:t>MSEF</w:t>
            </w:r>
          </w:p>
        </w:tc>
        <w:tc>
          <w:tcPr>
            <w:tcW w:w="3790" w:type="pct"/>
            <w:hideMark/>
          </w:tcPr>
          <w:p w14:paraId="133CAD10" w14:textId="1AB076FE" w:rsidR="008B4E2A" w:rsidRPr="004B31A3" w:rsidRDefault="008B4E2A" w:rsidP="00B307DE">
            <w:pPr>
              <w:pStyle w:val="Tabletext"/>
              <w:spacing w:before="0" w:afterLines="120" w:after="288"/>
              <w:rPr>
                <w:lang w:eastAsia="en-AU"/>
              </w:rPr>
            </w:pPr>
            <w:r w:rsidRPr="004B31A3">
              <w:rPr>
                <w:lang w:eastAsia="en-AU"/>
              </w:rPr>
              <w:t>Mixed</w:t>
            </w:r>
            <w:r w:rsidR="005A53E6">
              <w:rPr>
                <w:lang w:eastAsia="en-AU"/>
              </w:rPr>
              <w:t>-</w:t>
            </w:r>
            <w:r w:rsidRPr="004B31A3">
              <w:rPr>
                <w:lang w:eastAsia="en-AU"/>
              </w:rPr>
              <w:t>Species Eucalypt Forest.</w:t>
            </w:r>
          </w:p>
        </w:tc>
      </w:tr>
      <w:tr w:rsidR="008B4E2A" w:rsidRPr="004B31A3" w14:paraId="16248CB0" w14:textId="77777777" w:rsidTr="00B307DE">
        <w:trPr>
          <w:trHeight w:val="20"/>
        </w:trPr>
        <w:tc>
          <w:tcPr>
            <w:tcW w:w="1210" w:type="pct"/>
          </w:tcPr>
          <w:p w14:paraId="2FD2CEAD" w14:textId="77777777" w:rsidR="008B4E2A" w:rsidRPr="004B31A3" w:rsidRDefault="008B4E2A" w:rsidP="00B307DE">
            <w:pPr>
              <w:pStyle w:val="Tabletext"/>
              <w:spacing w:before="0" w:afterLines="120" w:after="288"/>
              <w:rPr>
                <w:lang w:eastAsia="en-AU"/>
              </w:rPr>
            </w:pPr>
            <w:r>
              <w:rPr>
                <w:lang w:eastAsia="en-AU"/>
              </w:rPr>
              <w:t>Obligate seeder</w:t>
            </w:r>
          </w:p>
        </w:tc>
        <w:tc>
          <w:tcPr>
            <w:tcW w:w="3790" w:type="pct"/>
          </w:tcPr>
          <w:p w14:paraId="454F816A" w14:textId="77777777" w:rsidR="008B4E2A" w:rsidRPr="004B31A3" w:rsidRDefault="008B4E2A" w:rsidP="00B307DE">
            <w:pPr>
              <w:pStyle w:val="Tabletext"/>
              <w:spacing w:before="0" w:afterLines="120" w:after="288"/>
              <w:rPr>
                <w:lang w:eastAsia="en-AU"/>
              </w:rPr>
            </w:pPr>
            <w:r>
              <w:rPr>
                <w:lang w:eastAsia="en-AU"/>
              </w:rPr>
              <w:t>P</w:t>
            </w:r>
            <w:r w:rsidRPr="0024602C">
              <w:rPr>
                <w:lang w:eastAsia="en-AU"/>
              </w:rPr>
              <w:t>lants that can only regenerate after fire from seed</w:t>
            </w:r>
            <w:r>
              <w:rPr>
                <w:lang w:eastAsia="en-AU"/>
              </w:rPr>
              <w:t xml:space="preserve">. This includes ash species, </w:t>
            </w:r>
            <w:r w:rsidRPr="002A792F">
              <w:rPr>
                <w:i/>
                <w:iCs/>
                <w:lang w:eastAsia="en-AU"/>
              </w:rPr>
              <w:t>E. regnans</w:t>
            </w:r>
            <w:r>
              <w:rPr>
                <w:lang w:eastAsia="en-AU"/>
              </w:rPr>
              <w:t xml:space="preserve">, </w:t>
            </w:r>
            <w:r w:rsidRPr="002A792F">
              <w:rPr>
                <w:i/>
                <w:lang w:eastAsia="en-AU"/>
              </w:rPr>
              <w:t>E. delegatensis</w:t>
            </w:r>
            <w:r>
              <w:rPr>
                <w:lang w:eastAsia="en-AU"/>
              </w:rPr>
              <w:t xml:space="preserve">, </w:t>
            </w:r>
            <w:r w:rsidRPr="002A792F">
              <w:rPr>
                <w:i/>
                <w:lang w:eastAsia="en-AU"/>
              </w:rPr>
              <w:t>E. nitens</w:t>
            </w:r>
            <w:r>
              <w:rPr>
                <w:lang w:eastAsia="en-AU"/>
              </w:rPr>
              <w:t xml:space="preserve"> and </w:t>
            </w:r>
            <w:r w:rsidRPr="002A792F">
              <w:rPr>
                <w:i/>
                <w:lang w:eastAsia="en-AU"/>
              </w:rPr>
              <w:t>E. pauciflora</w:t>
            </w:r>
            <w:r>
              <w:rPr>
                <w:i/>
                <w:lang w:eastAsia="en-AU"/>
              </w:rPr>
              <w:t>.</w:t>
            </w:r>
          </w:p>
        </w:tc>
      </w:tr>
      <w:tr w:rsidR="008B4E2A" w:rsidRPr="004B31A3" w14:paraId="3FABD012" w14:textId="77777777" w:rsidTr="00B307DE">
        <w:trPr>
          <w:trHeight w:val="20"/>
        </w:trPr>
        <w:tc>
          <w:tcPr>
            <w:tcW w:w="1210" w:type="pct"/>
          </w:tcPr>
          <w:p w14:paraId="1335F2DD" w14:textId="77777777" w:rsidR="008B4E2A" w:rsidRPr="004B31A3" w:rsidRDefault="008B4E2A" w:rsidP="00B307DE">
            <w:pPr>
              <w:pStyle w:val="Tabletext"/>
              <w:spacing w:before="0" w:afterLines="120" w:after="288"/>
              <w:rPr>
                <w:lang w:eastAsia="en-AU"/>
              </w:rPr>
            </w:pPr>
            <w:r>
              <w:rPr>
                <w:lang w:eastAsia="en-AU"/>
              </w:rPr>
              <w:t>PET</w:t>
            </w:r>
          </w:p>
        </w:tc>
        <w:tc>
          <w:tcPr>
            <w:tcW w:w="3790" w:type="pct"/>
          </w:tcPr>
          <w:p w14:paraId="17B2C13C" w14:textId="77777777" w:rsidR="008B4E2A" w:rsidRPr="004B31A3" w:rsidRDefault="008B4E2A" w:rsidP="00B307DE">
            <w:pPr>
              <w:pStyle w:val="Tabletext"/>
              <w:spacing w:before="0" w:afterLines="120" w:after="288"/>
              <w:rPr>
                <w:lang w:eastAsia="en-AU"/>
              </w:rPr>
            </w:pPr>
            <w:r>
              <w:rPr>
                <w:lang w:eastAsia="en-AU"/>
              </w:rPr>
              <w:t>The potential maximum ET determined by the climate, especially solar radiation, temperature, humidity and wind.</w:t>
            </w:r>
          </w:p>
        </w:tc>
      </w:tr>
      <w:tr w:rsidR="008B4E2A" w:rsidRPr="004B31A3" w14:paraId="688877D5" w14:textId="77777777" w:rsidTr="00B307DE">
        <w:trPr>
          <w:trHeight w:val="20"/>
        </w:trPr>
        <w:tc>
          <w:tcPr>
            <w:tcW w:w="1210" w:type="pct"/>
            <w:hideMark/>
          </w:tcPr>
          <w:p w14:paraId="3D5A2200" w14:textId="77777777" w:rsidR="008B4E2A" w:rsidRPr="004B31A3" w:rsidRDefault="008B4E2A" w:rsidP="00B307DE">
            <w:pPr>
              <w:pStyle w:val="Tabletext"/>
              <w:spacing w:before="0" w:afterLines="120" w:after="288"/>
              <w:rPr>
                <w:lang w:eastAsia="en-AU"/>
              </w:rPr>
            </w:pPr>
            <w:r w:rsidRPr="004B31A3">
              <w:rPr>
                <w:lang w:eastAsia="en-AU"/>
              </w:rPr>
              <w:t>RAFIS</w:t>
            </w:r>
          </w:p>
        </w:tc>
        <w:tc>
          <w:tcPr>
            <w:tcW w:w="3790" w:type="pct"/>
            <w:hideMark/>
          </w:tcPr>
          <w:p w14:paraId="45D71D36" w14:textId="37A6CACE" w:rsidR="008B4E2A" w:rsidRPr="004B31A3" w:rsidRDefault="008B4E2A" w:rsidP="00B307DE">
            <w:pPr>
              <w:pStyle w:val="Tabletext"/>
              <w:spacing w:before="0" w:afterLines="120" w:after="288"/>
              <w:rPr>
                <w:lang w:eastAsia="en-AU"/>
              </w:rPr>
            </w:pPr>
            <w:r w:rsidRPr="004B31A3">
              <w:rPr>
                <w:lang w:eastAsia="en-AU"/>
              </w:rPr>
              <w:t xml:space="preserve">Rapid Assessment of Fire Impacts on Streamflow model (Tan </w:t>
            </w:r>
            <w:r w:rsidR="001C1F9A" w:rsidRPr="001C1F9A">
              <w:rPr>
                <w:i/>
                <w:lang w:eastAsia="en-AU"/>
              </w:rPr>
              <w:t>et al.</w:t>
            </w:r>
            <w:r w:rsidRPr="004B31A3">
              <w:rPr>
                <w:lang w:eastAsia="en-AU"/>
              </w:rPr>
              <w:t>, 2015).</w:t>
            </w:r>
          </w:p>
        </w:tc>
      </w:tr>
      <w:tr w:rsidR="008B4E2A" w:rsidRPr="004B31A3" w14:paraId="778310C9" w14:textId="77777777" w:rsidTr="00B307DE">
        <w:trPr>
          <w:trHeight w:val="20"/>
        </w:trPr>
        <w:tc>
          <w:tcPr>
            <w:tcW w:w="1210" w:type="pct"/>
            <w:hideMark/>
          </w:tcPr>
          <w:p w14:paraId="566A10B3" w14:textId="77777777" w:rsidR="008B4E2A" w:rsidRPr="004B31A3" w:rsidRDefault="008B4E2A" w:rsidP="00B307DE">
            <w:pPr>
              <w:pStyle w:val="Tabletext"/>
              <w:spacing w:before="0" w:afterLines="120" w:after="288"/>
              <w:rPr>
                <w:lang w:eastAsia="en-AU"/>
              </w:rPr>
            </w:pPr>
            <w:r w:rsidRPr="004B31A3">
              <w:rPr>
                <w:lang w:eastAsia="en-AU"/>
              </w:rPr>
              <w:t>RFAs</w:t>
            </w:r>
          </w:p>
        </w:tc>
        <w:tc>
          <w:tcPr>
            <w:tcW w:w="3790" w:type="pct"/>
            <w:hideMark/>
          </w:tcPr>
          <w:p w14:paraId="3E0F9990" w14:textId="77777777" w:rsidR="008B4E2A" w:rsidRPr="004B31A3" w:rsidRDefault="008B4E2A" w:rsidP="00B307DE">
            <w:pPr>
              <w:pStyle w:val="Tabletext"/>
              <w:spacing w:before="0" w:afterLines="120" w:after="288"/>
              <w:rPr>
                <w:lang w:eastAsia="en-AU"/>
              </w:rPr>
            </w:pPr>
            <w:r w:rsidRPr="004B31A3">
              <w:rPr>
                <w:lang w:eastAsia="en-AU"/>
              </w:rPr>
              <w:t>Regional Forest Agreements. Agreements between the Australian government and states that establish the framework for the management of forests in an RFA region.</w:t>
            </w:r>
          </w:p>
        </w:tc>
      </w:tr>
      <w:tr w:rsidR="008B4E2A" w:rsidRPr="004B31A3" w14:paraId="4B98C857" w14:textId="77777777" w:rsidTr="00B307DE">
        <w:trPr>
          <w:trHeight w:val="20"/>
        </w:trPr>
        <w:tc>
          <w:tcPr>
            <w:tcW w:w="1210" w:type="pct"/>
            <w:hideMark/>
          </w:tcPr>
          <w:p w14:paraId="7A27E94D" w14:textId="77777777" w:rsidR="008B4E2A" w:rsidRPr="004B31A3" w:rsidRDefault="008B4E2A" w:rsidP="00B307DE">
            <w:pPr>
              <w:pStyle w:val="Tabletext"/>
              <w:spacing w:before="0" w:afterLines="120" w:after="288"/>
              <w:rPr>
                <w:lang w:eastAsia="en-AU"/>
              </w:rPr>
            </w:pPr>
            <w:r w:rsidRPr="004B31A3">
              <w:rPr>
                <w:lang w:eastAsia="en-AU"/>
              </w:rPr>
              <w:t>SAI</w:t>
            </w:r>
          </w:p>
        </w:tc>
        <w:tc>
          <w:tcPr>
            <w:tcW w:w="3790" w:type="pct"/>
            <w:hideMark/>
          </w:tcPr>
          <w:p w14:paraId="682E1998" w14:textId="72378497" w:rsidR="008B4E2A" w:rsidRPr="004B31A3" w:rsidRDefault="008B4E2A" w:rsidP="00B307DE">
            <w:pPr>
              <w:pStyle w:val="Tabletext"/>
              <w:spacing w:before="0" w:afterLines="120" w:after="288"/>
              <w:rPr>
                <w:lang w:eastAsia="en-AU"/>
              </w:rPr>
            </w:pPr>
            <w:r w:rsidRPr="004B31A3">
              <w:rPr>
                <w:lang w:eastAsia="en-AU"/>
              </w:rPr>
              <w:t xml:space="preserve">Sapwood Area Index. </w:t>
            </w:r>
            <w:r>
              <w:rPr>
                <w:lang w:eastAsia="en-AU"/>
              </w:rPr>
              <w:t>The ratio of sapwood cross-sectional area to ground area: often a strong predictor of</w:t>
            </w:r>
            <w:r w:rsidRPr="004B31A3">
              <w:rPr>
                <w:lang w:eastAsia="en-AU"/>
              </w:rPr>
              <w:t xml:space="preserve"> mean annual </w:t>
            </w:r>
            <w:r>
              <w:rPr>
                <w:lang w:eastAsia="en-AU"/>
              </w:rPr>
              <w:t xml:space="preserve">transpiration, actual </w:t>
            </w:r>
            <w:r w:rsidRPr="004B31A3">
              <w:rPr>
                <w:lang w:eastAsia="en-AU"/>
              </w:rPr>
              <w:t xml:space="preserve">evapotranspiration and streamflow in moist eucalypt forests (Benyon </w:t>
            </w:r>
            <w:r w:rsidRPr="009F5864">
              <w:rPr>
                <w:i/>
                <w:iCs/>
                <w:lang w:eastAsia="en-AU"/>
              </w:rPr>
              <w:t>et al</w:t>
            </w:r>
            <w:r w:rsidR="007E75C9">
              <w:rPr>
                <w:lang w:eastAsia="en-AU"/>
              </w:rPr>
              <w:t>.</w:t>
            </w:r>
            <w:r w:rsidRPr="004B31A3">
              <w:rPr>
                <w:lang w:eastAsia="en-AU"/>
              </w:rPr>
              <w:t>, 2015).</w:t>
            </w:r>
          </w:p>
        </w:tc>
      </w:tr>
      <w:tr w:rsidR="008B4E2A" w:rsidRPr="004B31A3" w14:paraId="057DF35F" w14:textId="77777777" w:rsidTr="00B307DE">
        <w:trPr>
          <w:trHeight w:val="20"/>
        </w:trPr>
        <w:tc>
          <w:tcPr>
            <w:tcW w:w="1210" w:type="pct"/>
            <w:hideMark/>
          </w:tcPr>
          <w:p w14:paraId="3F4A8F91" w14:textId="77777777" w:rsidR="008B4E2A" w:rsidRPr="004B31A3" w:rsidRDefault="008B4E2A" w:rsidP="00B307DE">
            <w:pPr>
              <w:pStyle w:val="Tabletext"/>
              <w:spacing w:before="0" w:afterLines="120" w:after="288"/>
              <w:rPr>
                <w:lang w:eastAsia="en-AU"/>
              </w:rPr>
            </w:pPr>
            <w:r w:rsidRPr="004B31A3">
              <w:rPr>
                <w:lang w:eastAsia="en-AU"/>
              </w:rPr>
              <w:t>SAM</w:t>
            </w:r>
          </w:p>
        </w:tc>
        <w:tc>
          <w:tcPr>
            <w:tcW w:w="3790" w:type="pct"/>
            <w:hideMark/>
          </w:tcPr>
          <w:p w14:paraId="2A727EFA" w14:textId="6EC59B06" w:rsidR="008B4E2A" w:rsidRPr="004B31A3" w:rsidRDefault="008B4E2A" w:rsidP="00B307DE">
            <w:pPr>
              <w:pStyle w:val="Tabletext"/>
              <w:spacing w:before="0" w:afterLines="120" w:after="288"/>
              <w:rPr>
                <w:lang w:eastAsia="en-AU"/>
              </w:rPr>
            </w:pPr>
            <w:r w:rsidRPr="004B31A3">
              <w:rPr>
                <w:lang w:eastAsia="en-AU"/>
              </w:rPr>
              <w:t xml:space="preserve">Southern Annular Mode. North–south movement of the westerly wind belt that circles Antarctica, dominating the middle to higher latitudes of the southern hemisphere </w:t>
            </w:r>
            <w:r w:rsidR="00A77817">
              <w:rPr>
                <w:lang w:eastAsia="en-AU"/>
              </w:rPr>
              <w:fldChar w:fldCharType="begin" w:fldLock="1"/>
            </w:r>
            <w:r w:rsidR="00544257">
              <w:rPr>
                <w:lang w:eastAsia="en-AU"/>
              </w:rPr>
              <w:instrText>ADDIN CSL_CITATION {"citationItems":[{"id":"ITEM-1","itemData":{"URL":"http://www.bom.gov.au/climate/sam/","accessed":{"date-parts":[["2019","10","20"]]},"author":[{"dropping-particle":"","family":"Bureau of Meteorology","given":"","non-dropping-particle":"","parse-names":false,"suffix":""}],"id":"ITEM-1","issued":{"date-parts":[["0"]]},"title":"Southern Annular Mode and the Australian climate","type":"webpage"},"uris":["http://www.mendeley.com/documents/?uuid=45c3fc20-ae5c-495a-8743-68caa7617170","http://www.mendeley.com/documents/?uuid=1f0ab3aa-47b4-4e73-b086-ed975601da3e"]}],"mendeley":{"formattedCitation":"(Bureau of Meteorology)","plainTextFormattedCitation":"(Bureau of Meteorology)","previouslyFormattedCitation":"(Bureau of Meteorology)"},"properties":{"noteIndex":0},"schema":"https://github.com/citation-style-language/schema/raw/master/csl-citation.json"}</w:instrText>
            </w:r>
            <w:r w:rsidR="00A77817">
              <w:rPr>
                <w:lang w:eastAsia="en-AU"/>
              </w:rPr>
              <w:fldChar w:fldCharType="separate"/>
            </w:r>
            <w:r w:rsidR="007416C7" w:rsidRPr="007416C7">
              <w:rPr>
                <w:noProof/>
                <w:lang w:eastAsia="en-AU"/>
              </w:rPr>
              <w:t>(Bureau of Meteorology)</w:t>
            </w:r>
            <w:r w:rsidR="00A77817">
              <w:rPr>
                <w:lang w:eastAsia="en-AU"/>
              </w:rPr>
              <w:fldChar w:fldCharType="end"/>
            </w:r>
            <w:r w:rsidRPr="004B31A3">
              <w:rPr>
                <w:lang w:eastAsia="en-AU"/>
              </w:rPr>
              <w:t>.</w:t>
            </w:r>
          </w:p>
        </w:tc>
      </w:tr>
      <w:tr w:rsidR="008B4E2A" w:rsidRPr="004B31A3" w14:paraId="7B3B2565" w14:textId="77777777" w:rsidTr="00B307DE">
        <w:trPr>
          <w:trHeight w:val="20"/>
        </w:trPr>
        <w:tc>
          <w:tcPr>
            <w:tcW w:w="1210" w:type="pct"/>
            <w:hideMark/>
          </w:tcPr>
          <w:p w14:paraId="4BEE3FFA" w14:textId="77777777" w:rsidR="008B4E2A" w:rsidRPr="004B31A3" w:rsidRDefault="008B4E2A" w:rsidP="00B307DE">
            <w:pPr>
              <w:pStyle w:val="Tabletext"/>
              <w:spacing w:before="0" w:afterLines="120" w:after="288"/>
              <w:rPr>
                <w:lang w:eastAsia="en-AU"/>
              </w:rPr>
            </w:pPr>
            <w:r w:rsidRPr="004B31A3">
              <w:rPr>
                <w:lang w:eastAsia="en-AU"/>
              </w:rPr>
              <w:t>Surface resistance</w:t>
            </w:r>
          </w:p>
        </w:tc>
        <w:tc>
          <w:tcPr>
            <w:tcW w:w="3790" w:type="pct"/>
            <w:hideMark/>
          </w:tcPr>
          <w:p w14:paraId="0E194A11" w14:textId="02DC6B9C" w:rsidR="008B4E2A" w:rsidRPr="004B31A3" w:rsidRDefault="008B4E2A" w:rsidP="00B307DE">
            <w:pPr>
              <w:pStyle w:val="Tabletext"/>
              <w:spacing w:before="0" w:afterLines="120" w:after="288"/>
              <w:rPr>
                <w:lang w:eastAsia="en-AU"/>
              </w:rPr>
            </w:pPr>
            <w:r w:rsidRPr="004B31A3">
              <w:rPr>
                <w:lang w:eastAsia="en-AU"/>
              </w:rPr>
              <w:t xml:space="preserve">Bulk resistance of all transmission mediums such as crop, soil and others (Li </w:t>
            </w:r>
            <w:r w:rsidR="001C1F9A" w:rsidRPr="001C1F9A">
              <w:rPr>
                <w:i/>
                <w:lang w:eastAsia="en-AU"/>
              </w:rPr>
              <w:t>et al.</w:t>
            </w:r>
            <w:r w:rsidRPr="004B31A3">
              <w:rPr>
                <w:lang w:eastAsia="en-AU"/>
              </w:rPr>
              <w:t>, 2013)</w:t>
            </w:r>
            <w:r>
              <w:rPr>
                <w:lang w:eastAsia="en-AU"/>
              </w:rPr>
              <w:t>.</w:t>
            </w:r>
          </w:p>
        </w:tc>
      </w:tr>
      <w:tr w:rsidR="008B4E2A" w:rsidRPr="004B31A3" w14:paraId="262C0601" w14:textId="77777777" w:rsidTr="00B307DE">
        <w:trPr>
          <w:trHeight w:val="20"/>
        </w:trPr>
        <w:tc>
          <w:tcPr>
            <w:tcW w:w="1210" w:type="pct"/>
          </w:tcPr>
          <w:p w14:paraId="27168EE0" w14:textId="77777777" w:rsidR="008B4E2A" w:rsidRPr="004B31A3" w:rsidRDefault="008B4E2A" w:rsidP="00B307DE">
            <w:pPr>
              <w:pStyle w:val="Tabletext"/>
              <w:spacing w:before="0" w:afterLines="120" w:after="288"/>
              <w:rPr>
                <w:lang w:eastAsia="en-AU"/>
              </w:rPr>
            </w:pPr>
            <w:r>
              <w:rPr>
                <w:lang w:eastAsia="en-AU"/>
              </w:rPr>
              <w:t>Transpiration</w:t>
            </w:r>
          </w:p>
        </w:tc>
        <w:tc>
          <w:tcPr>
            <w:tcW w:w="3790" w:type="pct"/>
          </w:tcPr>
          <w:p w14:paraId="2773F288" w14:textId="77777777" w:rsidR="008B4E2A" w:rsidRPr="004B31A3" w:rsidRDefault="008B4E2A" w:rsidP="00B307DE">
            <w:pPr>
              <w:pStyle w:val="Tabletext"/>
              <w:spacing w:before="0" w:afterLines="120" w:after="288"/>
              <w:rPr>
                <w:lang w:eastAsia="en-AU"/>
              </w:rPr>
            </w:pPr>
            <w:r>
              <w:rPr>
                <w:lang w:eastAsia="en-AU"/>
              </w:rPr>
              <w:t>Water taken up from the soil by vegetation and evaporated to the atmosphere, mainly through the leaves. Often the largest component of actual evapotranspiration in forests.</w:t>
            </w:r>
          </w:p>
        </w:tc>
      </w:tr>
      <w:tr w:rsidR="008B4E2A" w:rsidRPr="004B31A3" w14:paraId="13C4D76D" w14:textId="77777777" w:rsidTr="00B307DE">
        <w:trPr>
          <w:trHeight w:val="20"/>
        </w:trPr>
        <w:tc>
          <w:tcPr>
            <w:tcW w:w="1210" w:type="pct"/>
            <w:hideMark/>
          </w:tcPr>
          <w:p w14:paraId="70BC5643" w14:textId="77777777" w:rsidR="008B4E2A" w:rsidRPr="004B31A3" w:rsidRDefault="008B4E2A" w:rsidP="00B307DE">
            <w:pPr>
              <w:pStyle w:val="Tabletext"/>
              <w:spacing w:before="0" w:afterLines="120" w:after="288"/>
              <w:rPr>
                <w:lang w:eastAsia="en-AU"/>
              </w:rPr>
            </w:pPr>
            <w:r w:rsidRPr="004B31A3">
              <w:rPr>
                <w:lang w:eastAsia="en-AU"/>
              </w:rPr>
              <w:t>VEWH</w:t>
            </w:r>
          </w:p>
        </w:tc>
        <w:tc>
          <w:tcPr>
            <w:tcW w:w="3790" w:type="pct"/>
            <w:hideMark/>
          </w:tcPr>
          <w:p w14:paraId="044630A5" w14:textId="77777777" w:rsidR="008B4E2A" w:rsidRPr="004B31A3" w:rsidRDefault="008B4E2A" w:rsidP="00B307DE">
            <w:pPr>
              <w:pStyle w:val="Tabletext"/>
              <w:spacing w:before="0" w:afterLines="120" w:after="288"/>
              <w:rPr>
                <w:lang w:eastAsia="en-AU"/>
              </w:rPr>
            </w:pPr>
            <w:r w:rsidRPr="004B31A3">
              <w:rPr>
                <w:lang w:eastAsia="en-AU"/>
              </w:rPr>
              <w:t>Victorian Environmental Water Holder.</w:t>
            </w:r>
          </w:p>
        </w:tc>
      </w:tr>
      <w:tr w:rsidR="008B4E2A" w:rsidRPr="004B31A3" w14:paraId="01591679" w14:textId="77777777" w:rsidTr="00B307DE">
        <w:trPr>
          <w:trHeight w:val="20"/>
        </w:trPr>
        <w:tc>
          <w:tcPr>
            <w:tcW w:w="1210" w:type="pct"/>
            <w:hideMark/>
          </w:tcPr>
          <w:p w14:paraId="01892DE5" w14:textId="7ED1BCCB" w:rsidR="008B4E2A" w:rsidRPr="004B31A3" w:rsidRDefault="002B3148" w:rsidP="00B307DE">
            <w:pPr>
              <w:pStyle w:val="Tabletext"/>
              <w:spacing w:before="0" w:afterLines="120" w:after="288"/>
              <w:rPr>
                <w:lang w:eastAsia="en-AU"/>
              </w:rPr>
            </w:pPr>
            <w:r w:rsidRPr="004B31A3">
              <w:rPr>
                <w:lang w:eastAsia="en-AU"/>
              </w:rPr>
              <w:t>V</w:t>
            </w:r>
            <w:r>
              <w:rPr>
                <w:lang w:eastAsia="en-AU"/>
              </w:rPr>
              <w:t>ic</w:t>
            </w:r>
            <w:r w:rsidRPr="004B31A3">
              <w:rPr>
                <w:lang w:eastAsia="en-AU"/>
              </w:rPr>
              <w:t>CI</w:t>
            </w:r>
          </w:p>
        </w:tc>
        <w:tc>
          <w:tcPr>
            <w:tcW w:w="3790" w:type="pct"/>
            <w:hideMark/>
          </w:tcPr>
          <w:p w14:paraId="06B24DA3" w14:textId="77777777" w:rsidR="008B4E2A" w:rsidRPr="004B31A3" w:rsidRDefault="008B4E2A" w:rsidP="00B307DE">
            <w:pPr>
              <w:pStyle w:val="Tabletext"/>
              <w:spacing w:before="0" w:afterLines="120" w:after="288"/>
              <w:rPr>
                <w:lang w:eastAsia="en-AU"/>
              </w:rPr>
            </w:pPr>
            <w:r w:rsidRPr="004B31A3">
              <w:rPr>
                <w:lang w:eastAsia="en-AU"/>
              </w:rPr>
              <w:t>Victorian Climate Initiative.</w:t>
            </w:r>
          </w:p>
        </w:tc>
      </w:tr>
      <w:tr w:rsidR="008B4E2A" w:rsidRPr="004B31A3" w14:paraId="0347150F" w14:textId="77777777" w:rsidTr="00B307DE">
        <w:trPr>
          <w:trHeight w:val="20"/>
        </w:trPr>
        <w:tc>
          <w:tcPr>
            <w:tcW w:w="1210" w:type="pct"/>
            <w:hideMark/>
          </w:tcPr>
          <w:p w14:paraId="51BFDE09" w14:textId="77777777" w:rsidR="008B4E2A" w:rsidRPr="004B31A3" w:rsidRDefault="008B4E2A" w:rsidP="00B307DE">
            <w:pPr>
              <w:pStyle w:val="Tabletext"/>
              <w:spacing w:before="0" w:afterLines="120" w:after="288"/>
              <w:rPr>
                <w:lang w:eastAsia="en-AU"/>
              </w:rPr>
            </w:pPr>
            <w:r w:rsidRPr="004B31A3">
              <w:rPr>
                <w:lang w:eastAsia="en-AU"/>
              </w:rPr>
              <w:t>VicDRIP</w:t>
            </w:r>
          </w:p>
        </w:tc>
        <w:tc>
          <w:tcPr>
            <w:tcW w:w="3790" w:type="pct"/>
            <w:hideMark/>
          </w:tcPr>
          <w:p w14:paraId="48B5D8B3" w14:textId="77777777" w:rsidR="008B4E2A" w:rsidRPr="004B31A3" w:rsidRDefault="008B4E2A" w:rsidP="00B307DE">
            <w:pPr>
              <w:pStyle w:val="Tabletext"/>
              <w:spacing w:before="0" w:afterLines="120" w:after="288"/>
              <w:rPr>
                <w:lang w:eastAsia="en-AU"/>
              </w:rPr>
            </w:pPr>
            <w:r w:rsidRPr="004B31A3">
              <w:rPr>
                <w:lang w:eastAsia="en-AU"/>
              </w:rPr>
              <w:t>Victorian Drought Risk Inference Project.</w:t>
            </w:r>
          </w:p>
        </w:tc>
      </w:tr>
      <w:tr w:rsidR="008B4E2A" w:rsidRPr="004B31A3" w14:paraId="0E726029" w14:textId="77777777" w:rsidTr="00B307DE">
        <w:trPr>
          <w:trHeight w:val="20"/>
        </w:trPr>
        <w:tc>
          <w:tcPr>
            <w:tcW w:w="1210" w:type="pct"/>
            <w:hideMark/>
          </w:tcPr>
          <w:p w14:paraId="58FFA59B" w14:textId="77777777" w:rsidR="008B4E2A" w:rsidRPr="004B31A3" w:rsidRDefault="008B4E2A" w:rsidP="00B307DE">
            <w:pPr>
              <w:pStyle w:val="Tabletext"/>
              <w:spacing w:before="0" w:afterLines="120" w:after="288"/>
              <w:rPr>
                <w:lang w:eastAsia="en-AU"/>
              </w:rPr>
            </w:pPr>
            <w:r w:rsidRPr="004B31A3">
              <w:rPr>
                <w:lang w:eastAsia="en-AU"/>
              </w:rPr>
              <w:t>Victorian Water Grid</w:t>
            </w:r>
          </w:p>
        </w:tc>
        <w:tc>
          <w:tcPr>
            <w:tcW w:w="3790" w:type="pct"/>
            <w:hideMark/>
          </w:tcPr>
          <w:p w14:paraId="62811E40" w14:textId="77777777" w:rsidR="008B4E2A" w:rsidRPr="004B31A3" w:rsidRDefault="008B4E2A" w:rsidP="00B307DE">
            <w:pPr>
              <w:pStyle w:val="Tabletext"/>
              <w:spacing w:before="0" w:afterLines="120" w:after="288"/>
              <w:rPr>
                <w:lang w:eastAsia="en-AU"/>
              </w:rPr>
            </w:pPr>
            <w:r w:rsidRPr="004B31A3">
              <w:rPr>
                <w:lang w:eastAsia="en-AU"/>
              </w:rPr>
              <w:t>Water grid network, connecting sources such as dams, reservoirs, irrigation districts and the desalination plant via infrastructure including pipes and pumps, and natural elements like rivers.</w:t>
            </w:r>
          </w:p>
        </w:tc>
      </w:tr>
      <w:tr w:rsidR="008B4E2A" w:rsidRPr="004B31A3" w14:paraId="5D79CF95" w14:textId="77777777" w:rsidTr="00B307DE">
        <w:trPr>
          <w:trHeight w:val="20"/>
        </w:trPr>
        <w:tc>
          <w:tcPr>
            <w:tcW w:w="1210" w:type="pct"/>
            <w:hideMark/>
          </w:tcPr>
          <w:p w14:paraId="54DFAF61" w14:textId="77777777" w:rsidR="008B4E2A" w:rsidRPr="004B31A3" w:rsidRDefault="008B4E2A" w:rsidP="00B307DE">
            <w:pPr>
              <w:pStyle w:val="Tabletext"/>
              <w:spacing w:before="0" w:afterLines="120" w:after="288"/>
              <w:rPr>
                <w:lang w:eastAsia="en-AU"/>
              </w:rPr>
            </w:pPr>
            <w:r w:rsidRPr="004B31A3">
              <w:rPr>
                <w:lang w:eastAsia="en-AU"/>
              </w:rPr>
              <w:t>VicWaCI</w:t>
            </w:r>
          </w:p>
        </w:tc>
        <w:tc>
          <w:tcPr>
            <w:tcW w:w="3790" w:type="pct"/>
            <w:hideMark/>
          </w:tcPr>
          <w:p w14:paraId="2457F5B4" w14:textId="77777777" w:rsidR="008B4E2A" w:rsidRPr="004B31A3" w:rsidRDefault="008B4E2A" w:rsidP="00B307DE">
            <w:pPr>
              <w:pStyle w:val="Tabletext"/>
              <w:spacing w:before="0" w:afterLines="120" w:after="288"/>
              <w:rPr>
                <w:lang w:eastAsia="en-AU"/>
              </w:rPr>
            </w:pPr>
            <w:r w:rsidRPr="004B31A3">
              <w:rPr>
                <w:lang w:eastAsia="en-AU"/>
              </w:rPr>
              <w:t>Victorian Water and Climate Initiative.</w:t>
            </w:r>
          </w:p>
        </w:tc>
      </w:tr>
      <w:tr w:rsidR="008B4E2A" w:rsidRPr="004B31A3" w14:paraId="3B820C2E" w14:textId="77777777" w:rsidTr="00B307DE">
        <w:trPr>
          <w:trHeight w:val="20"/>
        </w:trPr>
        <w:tc>
          <w:tcPr>
            <w:tcW w:w="1210" w:type="pct"/>
            <w:hideMark/>
          </w:tcPr>
          <w:p w14:paraId="251D7520" w14:textId="77777777" w:rsidR="008B4E2A" w:rsidRPr="004B31A3" w:rsidRDefault="008B4E2A" w:rsidP="00B307DE">
            <w:pPr>
              <w:pStyle w:val="Tabletext"/>
              <w:spacing w:before="0" w:afterLines="120" w:after="288"/>
              <w:rPr>
                <w:lang w:eastAsia="en-AU"/>
              </w:rPr>
            </w:pPr>
            <w:r w:rsidRPr="004B31A3">
              <w:rPr>
                <w:lang w:eastAsia="en-AU"/>
              </w:rPr>
              <w:lastRenderedPageBreak/>
              <w:t>WWS2008</w:t>
            </w:r>
          </w:p>
        </w:tc>
        <w:tc>
          <w:tcPr>
            <w:tcW w:w="3790" w:type="pct"/>
            <w:hideMark/>
          </w:tcPr>
          <w:p w14:paraId="762318F9" w14:textId="77777777" w:rsidR="008B4E2A" w:rsidRPr="004B31A3" w:rsidRDefault="008B4E2A" w:rsidP="00B307DE">
            <w:pPr>
              <w:pStyle w:val="Tabletext"/>
              <w:spacing w:before="0" w:afterLines="120" w:after="288"/>
              <w:rPr>
                <w:lang w:eastAsia="en-AU"/>
              </w:rPr>
            </w:pPr>
            <w:r w:rsidRPr="004B31A3">
              <w:rPr>
                <w:lang w:eastAsia="en-AU"/>
              </w:rPr>
              <w:t xml:space="preserve">The </w:t>
            </w:r>
            <w:r w:rsidRPr="004B31A3">
              <w:rPr>
                <w:i/>
                <w:iCs/>
                <w:lang w:eastAsia="en-AU"/>
              </w:rPr>
              <w:t>Wood and Water Study</w:t>
            </w:r>
            <w:r w:rsidRPr="004B31A3">
              <w:rPr>
                <w:lang w:eastAsia="en-AU"/>
              </w:rPr>
              <w:t xml:space="preserve"> (2008), which comprised a group of studies undertaken by a team of researchers over 2006, 2007 and 2008.</w:t>
            </w:r>
          </w:p>
        </w:tc>
      </w:tr>
      <w:tr w:rsidR="008B4E2A" w:rsidRPr="004B31A3" w14:paraId="1D55FC37" w14:textId="77777777" w:rsidTr="00B307DE">
        <w:trPr>
          <w:trHeight w:val="20"/>
        </w:trPr>
        <w:tc>
          <w:tcPr>
            <w:tcW w:w="1210" w:type="pct"/>
            <w:hideMark/>
          </w:tcPr>
          <w:p w14:paraId="071A2724" w14:textId="77777777" w:rsidR="008B4E2A" w:rsidRPr="004B31A3" w:rsidRDefault="008B4E2A" w:rsidP="00B307DE">
            <w:pPr>
              <w:pStyle w:val="Tabletext"/>
              <w:spacing w:before="0" w:afterLines="120" w:after="288"/>
              <w:rPr>
                <w:lang w:eastAsia="en-AU"/>
              </w:rPr>
            </w:pPr>
            <w:r w:rsidRPr="004B31A3">
              <w:rPr>
                <w:lang w:eastAsia="en-AU"/>
              </w:rPr>
              <w:t>Yield</w:t>
            </w:r>
          </w:p>
        </w:tc>
        <w:tc>
          <w:tcPr>
            <w:tcW w:w="3790" w:type="pct"/>
            <w:hideMark/>
          </w:tcPr>
          <w:p w14:paraId="115C4F2C" w14:textId="75597187" w:rsidR="008B4E2A" w:rsidRPr="004B31A3" w:rsidRDefault="008B4E2A" w:rsidP="00B307DE">
            <w:pPr>
              <w:pStyle w:val="Tabletext"/>
              <w:spacing w:before="0" w:afterLines="120" w:after="288"/>
              <w:rPr>
                <w:lang w:eastAsia="en-AU"/>
              </w:rPr>
            </w:pPr>
            <w:r>
              <w:rPr>
                <w:lang w:eastAsia="en-AU"/>
              </w:rPr>
              <w:t>Streamflow or runoff generated from a particular catchment area</w:t>
            </w:r>
            <w:r w:rsidRPr="004B31A3">
              <w:rPr>
                <w:lang w:eastAsia="en-AU"/>
              </w:rPr>
              <w:t>.</w:t>
            </w:r>
          </w:p>
        </w:tc>
      </w:tr>
    </w:tbl>
    <w:p w14:paraId="465F081C" w14:textId="1F3D2A8F" w:rsidR="00F47D6E" w:rsidRDefault="00F47D6E" w:rsidP="00F47D6E">
      <w:pPr>
        <w:pStyle w:val="Appendix1"/>
      </w:pPr>
      <w:bookmarkStart w:id="59" w:name="_Ref24482703"/>
      <w:bookmarkStart w:id="60" w:name="_Ref24482718"/>
      <w:bookmarkStart w:id="61" w:name="_Toc36033100"/>
      <w:r>
        <w:lastRenderedPageBreak/>
        <w:t>Brief for this Review</w:t>
      </w:r>
      <w:bookmarkEnd w:id="59"/>
      <w:bookmarkEnd w:id="60"/>
      <w:bookmarkEnd w:id="61"/>
    </w:p>
    <w:p w14:paraId="46C6E387" w14:textId="77777777" w:rsidR="00F47D6E" w:rsidRDefault="00F47D6E" w:rsidP="00C155C3">
      <w:pPr>
        <w:pStyle w:val="Para0"/>
      </w:pPr>
    </w:p>
    <w:p w14:paraId="30E71D93" w14:textId="77777777" w:rsidR="00704009" w:rsidRPr="00C155C3" w:rsidRDefault="00704009" w:rsidP="00C155C3">
      <w:pPr>
        <w:pStyle w:val="Para0"/>
      </w:pPr>
    </w:p>
    <w:sectPr w:rsidR="00704009" w:rsidRPr="00C155C3" w:rsidSect="001B2119">
      <w:pgSz w:w="11907" w:h="16840" w:code="9"/>
      <w:pgMar w:top="2835" w:right="851" w:bottom="1701" w:left="2268" w:header="680" w:footer="250" w:gutter="0"/>
      <w:cols w:space="720"/>
      <w:formProt w:val="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778DD" w16cex:dateUtc="2020-05-26T01:15:00Z"/>
  <w16cex:commentExtensible w16cex:durableId="22777803" w16cex:dateUtc="2020-05-26T01:12:00Z"/>
  <w16cex:commentExtensible w16cex:durableId="22777997" w16cex:dateUtc="2020-05-26T01:18:00Z"/>
  <w16cex:commentExtensible w16cex:durableId="227A77EC" w16cex:dateUtc="2020-05-28T07:48:00Z"/>
  <w16cex:commentExtensible w16cex:durableId="227788AB" w16cex:dateUtc="2020-05-26T02:23:00Z"/>
  <w16cex:commentExtensible w16cex:durableId="2278BCAB" w16cex:dateUtc="2020-05-27T00:17:00Z"/>
  <w16cex:commentExtensible w16cex:durableId="2278BE8F" w16cex:dateUtc="2020-05-27T00:25:00Z"/>
  <w16cex:commentExtensible w16cex:durableId="228CFCB9" w16cex:dateUtc="2020-06-11T08:55:00Z"/>
  <w16cex:commentExtensible w16cex:durableId="228D07B3" w16cex:dateUtc="2020-06-11T09:42:00Z"/>
  <w16cex:commentExtensible w16cex:durableId="228D0BB6" w16cex:dateUtc="2020-06-11T09: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10FF5" w14:textId="77777777" w:rsidR="002F279D" w:rsidRDefault="002F279D">
      <w:r>
        <w:separator/>
      </w:r>
    </w:p>
  </w:endnote>
  <w:endnote w:type="continuationSeparator" w:id="0">
    <w:p w14:paraId="43754E62" w14:textId="77777777" w:rsidR="002F279D" w:rsidRDefault="002F279D">
      <w:r>
        <w:continuationSeparator/>
      </w:r>
    </w:p>
  </w:endnote>
  <w:endnote w:type="continuationNotice" w:id="1">
    <w:p w14:paraId="4E2A8377" w14:textId="77777777" w:rsidR="002F279D" w:rsidRDefault="002F27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A2141" w14:textId="77777777" w:rsidR="00BF1007" w:rsidRDefault="00BF1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FE353" w14:textId="5B29D5D7" w:rsidR="00BF1007" w:rsidRDefault="00BF1007">
    <w:pPr>
      <w:pStyle w:val="Footer"/>
    </w:pPr>
    <w:r>
      <mc:AlternateContent>
        <mc:Choice Requires="wps">
          <w:drawing>
            <wp:anchor distT="0" distB="0" distL="114300" distR="114300" simplePos="0" relativeHeight="251659264" behindDoc="0" locked="0" layoutInCell="0" allowOverlap="1" wp14:anchorId="6EFD7318" wp14:editId="354B450E">
              <wp:simplePos x="0" y="0"/>
              <wp:positionH relativeFrom="page">
                <wp:posOffset>0</wp:posOffset>
              </wp:positionH>
              <wp:positionV relativeFrom="page">
                <wp:posOffset>10229215</wp:posOffset>
              </wp:positionV>
              <wp:extent cx="7560945" cy="273050"/>
              <wp:effectExtent l="0" t="0" r="0" b="12700"/>
              <wp:wrapNone/>
              <wp:docPr id="8" name="MSIPCM2c4f4ddb87825ffc82bd0441" descr="{&quot;HashCode&quot;:-174724769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FC2ABC" w14:textId="78F36F6A" w:rsidR="00BF1007" w:rsidRPr="00BF1007" w:rsidRDefault="00BF1007" w:rsidP="00BF1007">
                          <w:pPr>
                            <w:spacing w:after="0"/>
                            <w:jc w:val="center"/>
                            <w:rPr>
                              <w:rFonts w:ascii="Calibri" w:hAnsi="Calibri" w:cs="Calibri"/>
                              <w:sz w:val="24"/>
                            </w:rPr>
                          </w:pPr>
                          <w:r w:rsidRPr="00BF1007">
                            <w:rPr>
                              <w:rFonts w:ascii="Calibri" w:hAnsi="Calibri" w:cs="Calibri"/>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FD7318" id="_x0000_t202" coordsize="21600,21600" o:spt="202" path="m,l,21600r21600,l21600,xe">
              <v:stroke joinstyle="miter"/>
              <v:path gradientshapeok="t" o:connecttype="rect"/>
            </v:shapetype>
            <v:shape id="MSIPCM2c4f4ddb87825ffc82bd0441" o:spid="_x0000_s1027" type="#_x0000_t202" alt="{&quot;HashCode&quot;:-1747247690,&quot;Height&quot;:842.0,&quot;Width&quot;:595.0,&quot;Placement&quot;:&quot;Footer&quot;,&quot;Index&quot;:&quot;Primary&quot;,&quot;Section&quot;:1,&quot;Top&quot;:0.0,&quot;Left&quot;:0.0}"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KcuzyR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1EFC2ABC" w14:textId="78F36F6A" w:rsidR="00BF1007" w:rsidRPr="00BF1007" w:rsidRDefault="00BF1007" w:rsidP="00BF1007">
                    <w:pPr>
                      <w:spacing w:after="0"/>
                      <w:jc w:val="center"/>
                      <w:rPr>
                        <w:rFonts w:ascii="Calibri" w:hAnsi="Calibri" w:cs="Calibri"/>
                        <w:sz w:val="24"/>
                      </w:rPr>
                    </w:pPr>
                    <w:r w:rsidRPr="00BF1007">
                      <w:rPr>
                        <w:rFonts w:ascii="Calibri" w:hAnsi="Calibri" w:cs="Calibri"/>
                        <w:sz w:val="24"/>
                      </w:rPr>
                      <w:t>OFFICIAL-Sensitive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6F243" w14:textId="77777777" w:rsidR="00BF1007" w:rsidRDefault="00BF10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D84E9" w14:textId="77777777" w:rsidR="002F279D" w:rsidRDefault="002F27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268"/>
    </w:tblGrid>
    <w:tr w:rsidR="002F279D" w14:paraId="30BE4EFE" w14:textId="77777777" w:rsidTr="00DA04ED">
      <w:tc>
        <w:tcPr>
          <w:tcW w:w="7513" w:type="dxa"/>
        </w:tcPr>
        <w:p w14:paraId="0D434C5C" w14:textId="0BDC750D" w:rsidR="002F279D" w:rsidRPr="00FB71F7" w:rsidRDefault="00BF1007" w:rsidP="00FB71F7">
          <w:pPr>
            <w:pStyle w:val="Footer"/>
          </w:pPr>
          <w:r>
            <mc:AlternateContent>
              <mc:Choice Requires="wps">
                <w:drawing>
                  <wp:anchor distT="0" distB="0" distL="114300" distR="114300" simplePos="0" relativeHeight="251660288" behindDoc="0" locked="0" layoutInCell="0" allowOverlap="1" wp14:anchorId="238321F5" wp14:editId="6CF6E804">
                    <wp:simplePos x="0" y="0"/>
                    <wp:positionH relativeFrom="page">
                      <wp:posOffset>0</wp:posOffset>
                    </wp:positionH>
                    <wp:positionV relativeFrom="page">
                      <wp:posOffset>10229215</wp:posOffset>
                    </wp:positionV>
                    <wp:extent cx="7560945" cy="273050"/>
                    <wp:effectExtent l="0" t="0" r="0" b="12700"/>
                    <wp:wrapNone/>
                    <wp:docPr id="9" name="MSIPCMc042410e9e58642d321e8832" descr="{&quot;HashCode&quot;:-174724769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7E97A" w14:textId="39F129B6" w:rsidR="00BF1007" w:rsidRPr="00BF1007" w:rsidRDefault="00BF1007" w:rsidP="00BF1007">
                                <w:pPr>
                                  <w:spacing w:after="0"/>
                                  <w:jc w:val="center"/>
                                  <w:rPr>
                                    <w:rFonts w:ascii="Calibri" w:hAnsi="Calibri" w:cs="Calibri"/>
                                    <w:sz w:val="24"/>
                                  </w:rPr>
                                </w:pPr>
                                <w:r w:rsidRPr="00BF1007">
                                  <w:rPr>
                                    <w:rFonts w:ascii="Calibri" w:hAnsi="Calibri" w:cs="Calibri"/>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8321F5" id="_x0000_t202" coordsize="21600,21600" o:spt="202" path="m,l,21600r21600,l21600,xe">
                    <v:stroke joinstyle="miter"/>
                    <v:path gradientshapeok="t" o:connecttype="rect"/>
                  </v:shapetype>
                  <v:shape id="MSIPCMc042410e9e58642d321e8832" o:spid="_x0000_s1028" type="#_x0000_t202" alt="{&quot;HashCode&quot;:-1747247690,&quot;Height&quot;:842.0,&quot;Width&quot;:595.0,&quot;Placement&quot;:&quot;Footer&quot;,&quot;Index&quot;:&quot;Primary&quot;,&quot;Section&quot;:2,&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" o:allowincell="f" filled="f" stroked="f" strokeweight=".5pt">
                    <v:fill o:detectmouseclick="t"/>
                    <v:textbox inset=",0,,0">
                      <w:txbxContent>
                        <w:p w14:paraId="4A87E97A" w14:textId="39F129B6" w:rsidR="00BF1007" w:rsidRPr="00BF1007" w:rsidRDefault="00BF1007" w:rsidP="00BF1007">
                          <w:pPr>
                            <w:spacing w:after="0"/>
                            <w:jc w:val="center"/>
                            <w:rPr>
                              <w:rFonts w:ascii="Calibri" w:hAnsi="Calibri" w:cs="Calibri"/>
                              <w:sz w:val="24"/>
                            </w:rPr>
                          </w:pPr>
                          <w:r w:rsidRPr="00BF1007">
                            <w:rPr>
                              <w:rFonts w:ascii="Calibri" w:hAnsi="Calibri" w:cs="Calibri"/>
                              <w:sz w:val="24"/>
                            </w:rPr>
                            <w:t>OFFICIAL-Sensitive</w:t>
                          </w:r>
                        </w:p>
                      </w:txbxContent>
                    </v:textbox>
                    <w10:wrap anchorx="page" anchory="page"/>
                  </v:shape>
                </w:pict>
              </mc:Fallback>
            </mc:AlternateContent>
          </w:r>
        </w:p>
      </w:tc>
      <w:tc>
        <w:tcPr>
          <w:tcW w:w="2268" w:type="dxa"/>
          <w:shd w:val="clear" w:color="auto" w:fill="365F91" w:themeFill="accent1" w:themeFillShade="BF"/>
        </w:tcPr>
        <w:p w14:paraId="69D52376" w14:textId="77777777" w:rsidR="002F279D" w:rsidRPr="00423F85" w:rsidRDefault="002F279D" w:rsidP="00FB71F7">
          <w:pPr>
            <w:pStyle w:val="Footer"/>
            <w:rPr>
              <w:rFonts w:ascii="Arial" w:hAnsi="Arial" w:cs="Arial"/>
              <w:sz w:val="20"/>
            </w:rPr>
          </w:pPr>
          <w:r w:rsidRPr="00423F85">
            <w:rPr>
              <w:rFonts w:ascii="Arial" w:hAnsi="Arial" w:cs="Arial"/>
              <w:noProof w:val="0"/>
              <w:color w:val="auto"/>
              <w:sz w:val="20"/>
              <w14:numForm w14:val="lining"/>
            </w:rPr>
            <w:fldChar w:fldCharType="begin"/>
          </w:r>
          <w:r w:rsidRPr="00423F85">
            <w:rPr>
              <w:rFonts w:ascii="Arial" w:hAnsi="Arial" w:cs="Arial"/>
              <w:sz w:val="20"/>
              <w14:numForm w14:val="lining"/>
            </w:rPr>
            <w:instrText xml:space="preserve"> PAGE   \* MERGEFORMAT </w:instrText>
          </w:r>
          <w:r w:rsidRPr="00423F85">
            <w:rPr>
              <w:rFonts w:ascii="Arial" w:hAnsi="Arial" w:cs="Arial"/>
              <w:noProof w:val="0"/>
              <w:color w:val="auto"/>
              <w:sz w:val="20"/>
              <w14:numForm w14:val="lining"/>
            </w:rPr>
            <w:fldChar w:fldCharType="separate"/>
          </w:r>
          <w:r w:rsidR="00062E08" w:rsidRPr="00062E08">
            <w:rPr>
              <w:rFonts w:ascii="Arial" w:hAnsi="Arial" w:cs="Arial"/>
              <w:color w:val="FFFFFF" w:themeColor="background1"/>
              <w:sz w:val="20"/>
              <w14:numForm w14:val="lining"/>
            </w:rPr>
            <w:t>ii</w:t>
          </w:r>
          <w:r w:rsidRPr="00423F85">
            <w:rPr>
              <w:rFonts w:ascii="Arial" w:hAnsi="Arial" w:cs="Arial"/>
              <w:color w:val="FFFFFF" w:themeColor="background1"/>
              <w:sz w:val="20"/>
              <w14:numForm w14:val="lining"/>
            </w:rPr>
            <w:fldChar w:fldCharType="end"/>
          </w:r>
        </w:p>
      </w:tc>
    </w:tr>
    <w:tr w:rsidR="002F279D" w14:paraId="0AA8CB81" w14:textId="77777777" w:rsidTr="00FB71F7">
      <w:tc>
        <w:tcPr>
          <w:tcW w:w="7513" w:type="dxa"/>
        </w:tcPr>
        <w:p w14:paraId="0FE93A0C" w14:textId="4D4C9CC1" w:rsidR="002F279D" w:rsidRPr="00FB71F7" w:rsidRDefault="002F279D" w:rsidP="00FB71F7">
          <w:pPr>
            <w:pStyle w:val="Footer"/>
          </w:pPr>
          <w:r>
            <w:fldChar w:fldCharType="begin"/>
          </w:r>
          <w:r>
            <w:instrText xml:space="preserve"> FILENAME </w:instrText>
          </w:r>
          <w:r>
            <w:fldChar w:fldCharType="separate"/>
          </w:r>
          <w:r w:rsidR="00062E08">
            <w:t>VIC00055_RP_WoodAndWaterReview_v1CE.docx</w:t>
          </w:r>
          <w:r>
            <w:fldChar w:fldCharType="end"/>
          </w:r>
        </w:p>
      </w:tc>
      <w:tc>
        <w:tcPr>
          <w:tcW w:w="2268" w:type="dxa"/>
        </w:tcPr>
        <w:p w14:paraId="016494B0" w14:textId="77777777" w:rsidR="002F279D" w:rsidRPr="00FB71F7" w:rsidRDefault="002F279D" w:rsidP="00FB71F7">
          <w:pPr>
            <w:pStyle w:val="Footer"/>
          </w:pPr>
        </w:p>
      </w:tc>
    </w:tr>
  </w:tbl>
  <w:p w14:paraId="0893C3BF" w14:textId="77777777" w:rsidR="002F279D" w:rsidRDefault="002F279D" w:rsidP="00FB71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540B" w14:textId="6650468F" w:rsidR="002F279D" w:rsidRDefault="002F279D" w:rsidP="005F3E70">
    <w:pPr>
      <w:pStyle w:val="Footer"/>
      <w:rPr>
        <w:b/>
        <w:szCs w:val="16"/>
      </w:rPr>
    </w:pPr>
    <w:r>
      <w:t>SINCLAIR KNIGHT MERZ</w:t>
    </w:r>
    <w:r>
      <w:tab/>
    </w:r>
    <w:r>
      <w:rPr>
        <w:b/>
        <w:szCs w:val="16"/>
      </w:rPr>
      <w:fldChar w:fldCharType="begin"/>
    </w:r>
    <w:r>
      <w:rPr>
        <w:szCs w:val="16"/>
      </w:rPr>
      <w:instrText xml:space="preserve"> DOCPROPERTY "WiSE Document ID"  \* MERGEFORMAT </w:instrText>
    </w:r>
    <w:r>
      <w:rPr>
        <w:b/>
        <w:szCs w:val="16"/>
      </w:rPr>
      <w:fldChar w:fldCharType="separate"/>
    </w:r>
    <w:r w:rsidR="00062E08">
      <w:rPr>
        <w:bCs/>
        <w:szCs w:val="16"/>
        <w:lang w:val="en-US"/>
      </w:rPr>
      <w:t>Error! Unknown document property name.</w:t>
    </w:r>
    <w:r>
      <w:rPr>
        <w:b/>
        <w:szCs w:val="16"/>
      </w:rPr>
      <w:fldChar w:fldCharType="end"/>
    </w:r>
  </w:p>
  <w:p w14:paraId="0D370F3A" w14:textId="77777777" w:rsidR="002F279D" w:rsidRDefault="002F279D" w:rsidP="005F3E70">
    <w:pPr>
      <w:pStyle w:val="Footer"/>
      <w:rPr>
        <w:b/>
        <w:szCs w:val="16"/>
      </w:rPr>
    </w:pPr>
  </w:p>
  <w:p w14:paraId="144FE6C2" w14:textId="6039D3EA" w:rsidR="002F279D" w:rsidRDefault="002F279D">
    <w:pPr>
      <w:pStyle w:val="Footer"/>
    </w:pPr>
    <w:r>
      <w:fldChar w:fldCharType="begin"/>
    </w:r>
    <w:r>
      <w:instrText xml:space="preserve"> FILENAME </w:instrText>
    </w:r>
    <w:r>
      <w:fldChar w:fldCharType="separate"/>
    </w:r>
    <w:r w:rsidR="00062E08">
      <w:t>VIC00055_RP_WoodAndWaterReview_v1CE.docx</w:t>
    </w:r>
    <w:r>
      <w:fldChar w:fldCharType="end"/>
    </w:r>
    <w:r>
      <w:tab/>
      <w:t xml:space="preserve">PAGE </w:t>
    </w:r>
    <w:r>
      <w:fldChar w:fldCharType="begin"/>
    </w:r>
    <w:r>
      <w:instrText xml:space="preserve"> PAGE </w:instrText>
    </w:r>
    <w:r>
      <w:fldChar w:fldCharType="separate"/>
    </w:r>
    <w:r>
      <w:t>0</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268"/>
    </w:tblGrid>
    <w:tr w:rsidR="002F279D" w14:paraId="6E4763E6" w14:textId="77777777" w:rsidTr="00DA04ED">
      <w:tc>
        <w:tcPr>
          <w:tcW w:w="7513" w:type="dxa"/>
        </w:tcPr>
        <w:p w14:paraId="39F11D9A" w14:textId="5E814EC9" w:rsidR="002F279D" w:rsidRPr="00FB71F7" w:rsidRDefault="00BF1007" w:rsidP="00FB71F7">
          <w:pPr>
            <w:pStyle w:val="Footer"/>
          </w:pPr>
          <w:r>
            <mc:AlternateContent>
              <mc:Choice Requires="wps">
                <w:drawing>
                  <wp:anchor distT="0" distB="0" distL="114300" distR="114300" simplePos="0" relativeHeight="251661312" behindDoc="0" locked="0" layoutInCell="0" allowOverlap="1" wp14:anchorId="21B85EF8" wp14:editId="7E919B85">
                    <wp:simplePos x="0" y="0"/>
                    <wp:positionH relativeFrom="page">
                      <wp:posOffset>0</wp:posOffset>
                    </wp:positionH>
                    <wp:positionV relativeFrom="page">
                      <wp:posOffset>10229215</wp:posOffset>
                    </wp:positionV>
                    <wp:extent cx="7560945" cy="273050"/>
                    <wp:effectExtent l="0" t="0" r="0" b="12700"/>
                    <wp:wrapNone/>
                    <wp:docPr id="22" name="MSIPCMba61416e8cb5f23614794b3a" descr="{&quot;HashCode&quot;:-174724769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CE017F" w14:textId="26D63765" w:rsidR="00BF1007" w:rsidRPr="00BF1007" w:rsidRDefault="00BF1007" w:rsidP="00BF1007">
                                <w:pPr>
                                  <w:spacing w:after="0"/>
                                  <w:jc w:val="center"/>
                                  <w:rPr>
                                    <w:rFonts w:ascii="Calibri" w:hAnsi="Calibri" w:cs="Calibri"/>
                                    <w:sz w:val="24"/>
                                  </w:rPr>
                                </w:pPr>
                                <w:r w:rsidRPr="00BF1007">
                                  <w:rPr>
                                    <w:rFonts w:ascii="Calibri" w:hAnsi="Calibri" w:cs="Calibri"/>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B85EF8" id="_x0000_t202" coordsize="21600,21600" o:spt="202" path="m,l,21600r21600,l21600,xe">
                    <v:stroke joinstyle="miter"/>
                    <v:path gradientshapeok="t" o:connecttype="rect"/>
                  </v:shapetype>
                  <v:shape id="MSIPCMba61416e8cb5f23614794b3a" o:spid="_x0000_s1032" type="#_x0000_t202" alt="{&quot;HashCode&quot;:-1747247690,&quot;Height&quot;:842.0,&quot;Width&quot;:595.0,&quot;Placement&quot;:&quot;Footer&quot;,&quot;Index&quot;:&quot;Primary&quot;,&quot;Section&quot;:3,&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MjrF10ZAwAAPwYAAA4AAAAAAAAAAAAA&#10;AAAALgIAAGRycy9lMm9Eb2MueG1sUEsBAi0AFAAGAAgAAAAhABFyp37fAAAACwEAAA8AAAAAAAAA&#10;AAAAAAAAcwUAAGRycy9kb3ducmV2LnhtbFBLBQYAAAAABAAEAPMAAAB/BgAAAAA=&#10;" o:allowincell="f" filled="f" stroked="f" strokeweight=".5pt">
                    <v:fill o:detectmouseclick="t"/>
                    <v:textbox inset=",0,,0">
                      <w:txbxContent>
                        <w:p w14:paraId="10CE017F" w14:textId="26D63765" w:rsidR="00BF1007" w:rsidRPr="00BF1007" w:rsidRDefault="00BF1007" w:rsidP="00BF1007">
                          <w:pPr>
                            <w:spacing w:after="0"/>
                            <w:jc w:val="center"/>
                            <w:rPr>
                              <w:rFonts w:ascii="Calibri" w:hAnsi="Calibri" w:cs="Calibri"/>
                              <w:sz w:val="24"/>
                            </w:rPr>
                          </w:pPr>
                          <w:r w:rsidRPr="00BF1007">
                            <w:rPr>
                              <w:rFonts w:ascii="Calibri" w:hAnsi="Calibri" w:cs="Calibri"/>
                              <w:sz w:val="24"/>
                            </w:rPr>
                            <w:t>OFFICIAL-Sensitive</w:t>
                          </w:r>
                        </w:p>
                      </w:txbxContent>
                    </v:textbox>
                    <w10:wrap anchorx="page" anchory="page"/>
                  </v:shape>
                </w:pict>
              </mc:Fallback>
            </mc:AlternateContent>
          </w:r>
        </w:p>
      </w:tc>
      <w:tc>
        <w:tcPr>
          <w:tcW w:w="2268" w:type="dxa"/>
          <w:shd w:val="clear" w:color="auto" w:fill="365F91" w:themeFill="accent1" w:themeFillShade="BF"/>
        </w:tcPr>
        <w:p w14:paraId="72096A7E" w14:textId="77777777" w:rsidR="002F279D" w:rsidRPr="00423F85" w:rsidRDefault="002F279D" w:rsidP="00FB71F7">
          <w:pPr>
            <w:pStyle w:val="Footer"/>
            <w:rPr>
              <w:rFonts w:ascii="Arial" w:hAnsi="Arial" w:cs="Arial"/>
              <w:sz w:val="20"/>
            </w:rPr>
          </w:pPr>
          <w:r w:rsidRPr="00423F85">
            <w:rPr>
              <w:rFonts w:ascii="Arial" w:hAnsi="Arial" w:cs="Arial"/>
              <w:noProof w:val="0"/>
              <w:color w:val="auto"/>
              <w:sz w:val="20"/>
              <w14:numForm w14:val="lining"/>
            </w:rPr>
            <w:fldChar w:fldCharType="begin"/>
          </w:r>
          <w:r w:rsidRPr="00423F85">
            <w:rPr>
              <w:rFonts w:ascii="Arial" w:hAnsi="Arial" w:cs="Arial"/>
              <w:sz w:val="20"/>
              <w14:numForm w14:val="lining"/>
            </w:rPr>
            <w:instrText xml:space="preserve"> PAGE   \* MERGEFORMAT </w:instrText>
          </w:r>
          <w:r w:rsidRPr="00423F85">
            <w:rPr>
              <w:rFonts w:ascii="Arial" w:hAnsi="Arial" w:cs="Arial"/>
              <w:noProof w:val="0"/>
              <w:color w:val="auto"/>
              <w:sz w:val="20"/>
              <w14:numForm w14:val="lining"/>
            </w:rPr>
            <w:fldChar w:fldCharType="separate"/>
          </w:r>
          <w:r w:rsidR="00062E08" w:rsidRPr="00062E08">
            <w:rPr>
              <w:rFonts w:ascii="Arial" w:hAnsi="Arial" w:cs="Arial"/>
              <w:color w:val="FFFFFF" w:themeColor="background1"/>
              <w:sz w:val="20"/>
              <w14:numForm w14:val="lining"/>
            </w:rPr>
            <w:t>viii</w:t>
          </w:r>
          <w:r w:rsidRPr="00423F85">
            <w:rPr>
              <w:rFonts w:ascii="Arial" w:hAnsi="Arial" w:cs="Arial"/>
              <w:color w:val="FFFFFF" w:themeColor="background1"/>
              <w:sz w:val="20"/>
              <w14:numForm w14:val="lining"/>
            </w:rPr>
            <w:fldChar w:fldCharType="end"/>
          </w:r>
        </w:p>
      </w:tc>
    </w:tr>
    <w:tr w:rsidR="002F279D" w14:paraId="3BFEE2EF" w14:textId="77777777" w:rsidTr="00FB71F7">
      <w:tc>
        <w:tcPr>
          <w:tcW w:w="7513" w:type="dxa"/>
        </w:tcPr>
        <w:p w14:paraId="43D05FC5" w14:textId="46A99F09" w:rsidR="002F279D" w:rsidRPr="00FB71F7" w:rsidRDefault="002F279D" w:rsidP="00FB71F7">
          <w:pPr>
            <w:pStyle w:val="Footer"/>
          </w:pPr>
          <w:r>
            <w:fldChar w:fldCharType="begin"/>
          </w:r>
          <w:r>
            <w:instrText xml:space="preserve"> FILENAME </w:instrText>
          </w:r>
          <w:r>
            <w:fldChar w:fldCharType="separate"/>
          </w:r>
          <w:r w:rsidR="00062E08">
            <w:t>VIC00055_RP_WoodAndWaterReview_v1CE.docx</w:t>
          </w:r>
          <w:r>
            <w:fldChar w:fldCharType="end"/>
          </w:r>
        </w:p>
      </w:tc>
      <w:tc>
        <w:tcPr>
          <w:tcW w:w="2268" w:type="dxa"/>
        </w:tcPr>
        <w:p w14:paraId="2BF6F417" w14:textId="77777777" w:rsidR="002F279D" w:rsidRPr="00FB71F7" w:rsidRDefault="002F279D" w:rsidP="00FB71F7">
          <w:pPr>
            <w:pStyle w:val="Footer"/>
          </w:pPr>
        </w:p>
      </w:tc>
    </w:tr>
  </w:tbl>
  <w:p w14:paraId="3C54B6BA" w14:textId="77777777" w:rsidR="002F279D" w:rsidRDefault="002F279D" w:rsidP="00FB71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268"/>
    </w:tblGrid>
    <w:tr w:rsidR="002F279D" w14:paraId="49EC6064" w14:textId="77777777" w:rsidTr="00DA04ED">
      <w:tc>
        <w:tcPr>
          <w:tcW w:w="7513" w:type="dxa"/>
        </w:tcPr>
        <w:p w14:paraId="0636D18E" w14:textId="5EBCA298" w:rsidR="002F279D" w:rsidRPr="00FB71F7" w:rsidRDefault="00BF1007" w:rsidP="00FB71F7">
          <w:pPr>
            <w:pStyle w:val="Footer"/>
          </w:pPr>
          <w:r>
            <mc:AlternateContent>
              <mc:Choice Requires="wps">
                <w:drawing>
                  <wp:anchor distT="0" distB="0" distL="114300" distR="114300" simplePos="0" relativeHeight="251662336" behindDoc="0" locked="0" layoutInCell="0" allowOverlap="1" wp14:anchorId="05B699B5" wp14:editId="4A8CFD1F">
                    <wp:simplePos x="0" y="0"/>
                    <wp:positionH relativeFrom="page">
                      <wp:posOffset>0</wp:posOffset>
                    </wp:positionH>
                    <wp:positionV relativeFrom="page">
                      <wp:posOffset>10229215</wp:posOffset>
                    </wp:positionV>
                    <wp:extent cx="7560945" cy="273050"/>
                    <wp:effectExtent l="0" t="0" r="0" b="12700"/>
                    <wp:wrapNone/>
                    <wp:docPr id="24" name="MSIPCM7bc44269b743fe256368e539" descr="{&quot;HashCode&quot;:-1747247690,&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A7DD3" w14:textId="563C3481" w:rsidR="00BF1007" w:rsidRPr="00BF1007" w:rsidRDefault="00BF1007" w:rsidP="00BF1007">
                                <w:pPr>
                                  <w:spacing w:after="0"/>
                                  <w:jc w:val="center"/>
                                  <w:rPr>
                                    <w:rFonts w:ascii="Calibri" w:hAnsi="Calibri" w:cs="Calibri"/>
                                    <w:sz w:val="24"/>
                                  </w:rPr>
                                </w:pPr>
                                <w:r w:rsidRPr="00BF1007">
                                  <w:rPr>
                                    <w:rFonts w:ascii="Calibri" w:hAnsi="Calibri" w:cs="Calibri"/>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B699B5" id="_x0000_t202" coordsize="21600,21600" o:spt="202" path="m,l,21600r21600,l21600,xe">
                    <v:stroke joinstyle="miter"/>
                    <v:path gradientshapeok="t" o:connecttype="rect"/>
                  </v:shapetype>
                  <v:shape id="MSIPCM7bc44269b743fe256368e539" o:spid="_x0000_s1033" type="#_x0000_t202" alt="{&quot;HashCode&quot;:-1747247690,&quot;Height&quot;:842.0,&quot;Width&quot;:595.0,&quot;Placement&quot;:&quot;Footer&quot;,&quot;Index&quot;:&quot;Primary&quot;,&quot;Section&quot;:4,&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" o:allowincell="f" filled="f" stroked="f" strokeweight=".5pt">
                    <v:fill o:detectmouseclick="t"/>
                    <v:textbox inset=",0,,0">
                      <w:txbxContent>
                        <w:p w14:paraId="692A7DD3" w14:textId="563C3481" w:rsidR="00BF1007" w:rsidRPr="00BF1007" w:rsidRDefault="00BF1007" w:rsidP="00BF1007">
                          <w:pPr>
                            <w:spacing w:after="0"/>
                            <w:jc w:val="center"/>
                            <w:rPr>
                              <w:rFonts w:ascii="Calibri" w:hAnsi="Calibri" w:cs="Calibri"/>
                              <w:sz w:val="24"/>
                            </w:rPr>
                          </w:pPr>
                          <w:r w:rsidRPr="00BF1007">
                            <w:rPr>
                              <w:rFonts w:ascii="Calibri" w:hAnsi="Calibri" w:cs="Calibri"/>
                              <w:sz w:val="24"/>
                            </w:rPr>
                            <w:t>OFFICIAL-Sensitive</w:t>
                          </w:r>
                        </w:p>
                      </w:txbxContent>
                    </v:textbox>
                    <w10:wrap anchorx="page" anchory="page"/>
                  </v:shape>
                </w:pict>
              </mc:Fallback>
            </mc:AlternateContent>
          </w:r>
        </w:p>
      </w:tc>
      <w:tc>
        <w:tcPr>
          <w:tcW w:w="2268" w:type="dxa"/>
          <w:shd w:val="clear" w:color="auto" w:fill="365F91" w:themeFill="accent1" w:themeFillShade="BF"/>
        </w:tcPr>
        <w:p w14:paraId="0011E78B" w14:textId="77777777" w:rsidR="002F279D" w:rsidRPr="00423F85" w:rsidRDefault="002F279D" w:rsidP="00FB71F7">
          <w:pPr>
            <w:pStyle w:val="Footer"/>
            <w:rPr>
              <w:rFonts w:ascii="Arial" w:hAnsi="Arial" w:cs="Arial"/>
              <w:sz w:val="20"/>
            </w:rPr>
          </w:pPr>
          <w:r w:rsidRPr="00423F85">
            <w:rPr>
              <w:rFonts w:ascii="Arial" w:hAnsi="Arial" w:cs="Arial"/>
              <w:noProof w:val="0"/>
              <w:color w:val="auto"/>
              <w:sz w:val="20"/>
              <w14:numForm w14:val="lining"/>
            </w:rPr>
            <w:fldChar w:fldCharType="begin"/>
          </w:r>
          <w:r w:rsidRPr="00423F85">
            <w:rPr>
              <w:rFonts w:ascii="Arial" w:hAnsi="Arial" w:cs="Arial"/>
              <w:sz w:val="20"/>
              <w14:numForm w14:val="lining"/>
            </w:rPr>
            <w:instrText xml:space="preserve"> PAGE   \* MERGEFORMAT </w:instrText>
          </w:r>
          <w:r w:rsidRPr="00423F85">
            <w:rPr>
              <w:rFonts w:ascii="Arial" w:hAnsi="Arial" w:cs="Arial"/>
              <w:noProof w:val="0"/>
              <w:color w:val="auto"/>
              <w:sz w:val="20"/>
              <w14:numForm w14:val="lining"/>
            </w:rPr>
            <w:fldChar w:fldCharType="separate"/>
          </w:r>
          <w:r w:rsidR="00062E08" w:rsidRPr="00062E08">
            <w:rPr>
              <w:rFonts w:ascii="Arial" w:hAnsi="Arial" w:cs="Arial"/>
              <w:color w:val="FFFFFF" w:themeColor="background1"/>
              <w:sz w:val="20"/>
              <w14:numForm w14:val="lining"/>
            </w:rPr>
            <w:t>66</w:t>
          </w:r>
          <w:r w:rsidRPr="00423F85">
            <w:rPr>
              <w:rFonts w:ascii="Arial" w:hAnsi="Arial" w:cs="Arial"/>
              <w:color w:val="FFFFFF" w:themeColor="background1"/>
              <w:sz w:val="20"/>
              <w14:numForm w14:val="lining"/>
            </w:rPr>
            <w:fldChar w:fldCharType="end"/>
          </w:r>
        </w:p>
      </w:tc>
    </w:tr>
    <w:tr w:rsidR="002F279D" w14:paraId="40F678A4" w14:textId="77777777" w:rsidTr="00FB71F7">
      <w:tc>
        <w:tcPr>
          <w:tcW w:w="7513" w:type="dxa"/>
        </w:tcPr>
        <w:p w14:paraId="0C3AAC35" w14:textId="5F9BF604" w:rsidR="002F279D" w:rsidRPr="00FB71F7" w:rsidRDefault="002F279D" w:rsidP="00FB71F7">
          <w:pPr>
            <w:pStyle w:val="Footer"/>
          </w:pPr>
          <w:r>
            <w:fldChar w:fldCharType="begin"/>
          </w:r>
          <w:r>
            <w:instrText xml:space="preserve"> FILENAME </w:instrText>
          </w:r>
          <w:r>
            <w:fldChar w:fldCharType="separate"/>
          </w:r>
          <w:r w:rsidR="00062E08">
            <w:t>VIC00055_RP_WoodAndWaterReview_v1CE.docx</w:t>
          </w:r>
          <w:r>
            <w:fldChar w:fldCharType="end"/>
          </w:r>
        </w:p>
      </w:tc>
      <w:tc>
        <w:tcPr>
          <w:tcW w:w="2268" w:type="dxa"/>
        </w:tcPr>
        <w:p w14:paraId="41ED2021" w14:textId="77777777" w:rsidR="002F279D" w:rsidRPr="00FB71F7" w:rsidRDefault="002F279D" w:rsidP="00FB71F7">
          <w:pPr>
            <w:pStyle w:val="Footer"/>
          </w:pPr>
        </w:p>
      </w:tc>
    </w:tr>
  </w:tbl>
  <w:p w14:paraId="4A7EFF93" w14:textId="77777777" w:rsidR="002F279D" w:rsidRDefault="002F279D" w:rsidP="00FB7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A3642" w14:textId="77777777" w:rsidR="002F279D" w:rsidRDefault="002F279D">
      <w:r>
        <w:separator/>
      </w:r>
    </w:p>
  </w:footnote>
  <w:footnote w:type="continuationSeparator" w:id="0">
    <w:p w14:paraId="075E3598" w14:textId="77777777" w:rsidR="002F279D" w:rsidRDefault="002F279D">
      <w:r>
        <w:continuationSeparator/>
      </w:r>
    </w:p>
  </w:footnote>
  <w:footnote w:type="continuationNotice" w:id="1">
    <w:p w14:paraId="1A2305A7" w14:textId="77777777" w:rsidR="002F279D" w:rsidRDefault="002F279D">
      <w:pPr>
        <w:spacing w:after="0" w:line="240" w:lineRule="auto"/>
      </w:pPr>
    </w:p>
  </w:footnote>
  <w:footnote w:id="2">
    <w:p w14:paraId="7F91CA0E" w14:textId="7DFF99A4" w:rsidR="002F279D" w:rsidRPr="00CD334C" w:rsidRDefault="002F279D" w:rsidP="002D05F9">
      <w:pPr>
        <w:pStyle w:val="FootnoteText"/>
        <w:rPr>
          <w:lang w:val="en-AU"/>
        </w:rPr>
      </w:pPr>
      <w:r w:rsidRPr="00354494">
        <w:rPr>
          <w:rStyle w:val="FootnoteReference"/>
        </w:rPr>
        <w:footnoteRef/>
      </w:r>
      <w:r>
        <w:t xml:space="preserve"> </w:t>
      </w:r>
      <w:r>
        <w:rPr>
          <w:lang w:val="en-AU"/>
        </w:rPr>
        <w:t>The long-term average would have been assessed, for each catchment, based upon the rainfall and streamflow data that were available to WWS2008, at the time the project was undertaken.</w:t>
      </w:r>
    </w:p>
  </w:footnote>
  <w:footnote w:id="3">
    <w:p w14:paraId="0B1157BC" w14:textId="51B614EC" w:rsidR="002F279D" w:rsidRPr="007F20C5" w:rsidRDefault="002F279D" w:rsidP="00FC2DB2">
      <w:pPr>
        <w:pStyle w:val="FootnoteText"/>
        <w:rPr>
          <w:lang w:val="en-AU"/>
        </w:rPr>
      </w:pPr>
      <w:r w:rsidRPr="00354494">
        <w:rPr>
          <w:rStyle w:val="FootnoteReference"/>
        </w:rPr>
        <w:footnoteRef/>
      </w:r>
      <w:r>
        <w:t xml:space="preserve"> </w:t>
      </w:r>
      <w:r>
        <w:rPr>
          <w:lang w:val="en-AU"/>
        </w:rPr>
        <w:t xml:space="preserve">Lake Eildon water allocation can only be used when Melbourne’s water storages are less than 30% full on 30 November of any year, see </w:t>
      </w:r>
      <w:r w:rsidRPr="007F20C5">
        <w:rPr>
          <w:lang w:val="en-AU"/>
        </w:rPr>
        <w:t>https://www.melbournewater.com.au/water/securing-our-water-supply/how-water-sector-taking-action/north-south-pipeline</w:t>
      </w:r>
    </w:p>
  </w:footnote>
  <w:footnote w:id="4">
    <w:p w14:paraId="27CDB16F" w14:textId="77777777" w:rsidR="002F279D" w:rsidRPr="0070334A" w:rsidRDefault="002F279D" w:rsidP="0049618C">
      <w:pPr>
        <w:pStyle w:val="FootnoteText"/>
        <w:rPr>
          <w:lang w:val="en-AU"/>
        </w:rPr>
      </w:pPr>
      <w:r w:rsidRPr="00354494">
        <w:rPr>
          <w:rStyle w:val="FootnoteReference"/>
        </w:rPr>
        <w:footnoteRef/>
      </w:r>
      <w:r>
        <w:t xml:space="preserve"> </w:t>
      </w:r>
      <w:r>
        <w:rPr>
          <w:rStyle w:val="FootnoteReference"/>
        </w:rPr>
        <w:fldChar w:fldCharType="begin" w:fldLock="1"/>
      </w:r>
      <w:r>
        <w:instrText>ADDIN CSL_CITATION {"citationItems":[{"id":"ITEM-1","itemData":{"DOI":"10.1016/j.scitotenv.2019.06.298","ISSN":"18791026","abstract":"Natural and human disturbance along with climate change pose major challenges for resource management. This is relevant in natural forests, where conflict can occur between water provision and industrial logging. As a result, conversion of old forests to young, fast-growing stands through logging can dramatically reduce streamflow and water yield. We modelled changes in stream run-off and hence water yield from a forest catchment in response to clearcut logging and compared this with projected climate change (using a Representative Climate Futures [RCFs] approach). We focused on the Thomson Catchment, which is the largest single catchment for the city of Melbourne, south-eastern Australia. Within this catchment, we targeted our analysis at montane ash-type eucalypt forests, as these receive the most rainfall and are subject to clearcutting. We used several forest management scenarios to model changes in water yield over time. For our analysis of projected climate change, we employed a range of RCFs that represent ‘consensus’, ‘wettest’ and ‘driest’ scenarios to model the impacts of multiple Representative Concentration Pathways (RCPs). Our initial spatial analysis revealed that 42% of the ash-type eucalypt forests in the Thomson Catchment have been logged. Under historical and continued logging, stream runoff decreases by 40,211 ML by 2090 compared with a hypothetical baseline if logging had ceased in 1995 and 34,059 ML if logging continues beyond 2019. These losses exceed the projected impacts of climate change under the consensus and wettest scenarios, but the driest scenarios are projected to exceed these losses, consisting of 49,998 ML and 69,474 ML for RCP 4.5 and RCP 8.5, respectively. We suggest logging be excluded from the Thomson Catchment because of decreasing stream flows due to climate change and an increasing water demand due to human population growth. This study provides a quantitative approach for highlighting how resource conflicts can be magnified under climate change.","author":[{"dropping-particle":"","family":"Taylor","given":"Chris","non-dropping-particle":"","parse-names":false,"suffix":""},{"dropping-particle":"","family":"Blair","given":"David","non-dropping-particle":"","parse-names":false,"suffix":""},{"dropping-particle":"","family":"Keith","given":"Heather","non-dropping-particle":"","parse-names":false,"suffix":""},{"dropping-particle":"","family":"Lindenmayer","given":"David","non-dropping-particle":"","parse-names":false,"suffix":""}],"container-title":"Science of the Total Environment","id":"ITEM-1","issued":{"date-parts":[["2019"]]},"page":"890-902","publisher":"Elsevier B.V.","title":"Modelling water yields in response to logging and Representative Climate Futures","type":"article-journal","volume":"688"},"uris":["http://www.mendeley.com/documents/?uuid=795c626b-8dac-4fb8-9ceb-eae2400fc9f4"]}],"mendeley":{"formattedCitation":"(Taylor &lt;i&gt;et al.&lt;/i&gt;, 2019)","manualFormatting":"Taylor et al. (2019)","plainTextFormattedCitation":"(Taylor et al., 2019)","previouslyFormattedCitation":"(Taylor &lt;i&gt;et al.&lt;/i&gt;, 2019)"},"properties":{"noteIndex":0},"schema":"https://github.com/citation-style-language/schema/raw/master/csl-citation.json"}</w:instrText>
      </w:r>
      <w:r>
        <w:rPr>
          <w:rStyle w:val="FootnoteReference"/>
        </w:rPr>
        <w:fldChar w:fldCharType="separate"/>
      </w:r>
      <w:r w:rsidRPr="00D34D46">
        <w:rPr>
          <w:noProof/>
        </w:rPr>
        <w:t xml:space="preserve">Taylor </w:t>
      </w:r>
      <w:r w:rsidRPr="001C1F9A">
        <w:rPr>
          <w:i/>
          <w:iCs/>
          <w:noProof/>
        </w:rPr>
        <w:t>et al.</w:t>
      </w:r>
      <w:r w:rsidRPr="00D34D46">
        <w:rPr>
          <w:noProof/>
        </w:rPr>
        <w:t xml:space="preserve"> </w:t>
      </w:r>
      <w:r>
        <w:rPr>
          <w:noProof/>
        </w:rPr>
        <w:t>(</w:t>
      </w:r>
      <w:r w:rsidRPr="00D34D46">
        <w:rPr>
          <w:noProof/>
        </w:rPr>
        <w:t>2019)</w:t>
      </w:r>
      <w:r>
        <w:rPr>
          <w:rStyle w:val="FootnoteReference"/>
        </w:rPr>
        <w:fldChar w:fldCharType="end"/>
      </w:r>
      <w:r>
        <w:rPr>
          <w:lang w:val="en-AU"/>
        </w:rPr>
        <w:t xml:space="preserve"> present statistics for calibration of their SimHyd model, which was used for estimating climate change impacts, but do not present calibration statistics for their timber harvesting impact model. The calibration statistics for the SimHyd modelling were likely to be artificially high, as they were computed by comparison with results from another model (AWRA-L), rather than from calibration to gauged streamflow.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3F02C" w14:textId="77777777" w:rsidR="00BF1007" w:rsidRDefault="00BF10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92A7A" w14:textId="77777777" w:rsidR="00BF1007" w:rsidRDefault="00BF10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BF80B" w14:textId="77777777" w:rsidR="00BF1007" w:rsidRDefault="00BF10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5FE7B" w14:textId="77777777" w:rsidR="002F279D" w:rsidRDefault="002F279D" w:rsidP="00FB71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118"/>
    </w:tblGrid>
    <w:tr w:rsidR="002F279D" w14:paraId="48FE0A73" w14:textId="77777777" w:rsidTr="00F17EC5">
      <w:tc>
        <w:tcPr>
          <w:tcW w:w="5671" w:type="dxa"/>
        </w:tcPr>
        <w:p w14:paraId="775A4CC2" w14:textId="77777777" w:rsidR="002F279D" w:rsidRDefault="002F279D" w:rsidP="000503B8">
          <w:pPr>
            <w:pStyle w:val="Header"/>
            <w:spacing w:after="0"/>
          </w:pPr>
        </w:p>
      </w:tc>
      <w:tc>
        <w:tcPr>
          <w:tcW w:w="3118" w:type="dxa"/>
          <w:vMerge w:val="restart"/>
          <w:vAlign w:val="center"/>
        </w:tcPr>
        <w:p w14:paraId="5E3F99D9" w14:textId="77777777" w:rsidR="002F279D" w:rsidRDefault="002F279D" w:rsidP="00FB71F7">
          <w:pPr>
            <w:pStyle w:val="Header"/>
            <w:jc w:val="right"/>
          </w:pPr>
          <w:r>
            <w:rPr>
              <w:noProof/>
            </w:rPr>
            <w:drawing>
              <wp:inline distT="0" distB="0" distL="0" distR="0" wp14:anchorId="68259D34" wp14:editId="060CC8DC">
                <wp:extent cx="1069954" cy="276447"/>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C ICON.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4540" cy="277632"/>
                        </a:xfrm>
                        <a:prstGeom prst="rect">
                          <a:avLst/>
                        </a:prstGeom>
                      </pic:spPr>
                    </pic:pic>
                  </a:graphicData>
                </a:graphic>
              </wp:inline>
            </w:drawing>
          </w:r>
          <w:r>
            <w:t xml:space="preserve">    </w:t>
          </w:r>
          <w:r>
            <w:rPr>
              <w:noProof/>
            </w:rPr>
            <w:drawing>
              <wp:inline distT="0" distB="0" distL="0" distR="0" wp14:anchorId="338241CA" wp14:editId="2722C01F">
                <wp:extent cx="521485" cy="528452"/>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yOfMelbourneSquare.jpg"/>
                        <pic:cNvPicPr/>
                      </pic:nvPicPr>
                      <pic:blipFill>
                        <a:blip r:embed="rId2">
                          <a:extLst>
                            <a:ext uri="{28A0092B-C50C-407E-A947-70E740481C1C}">
                              <a14:useLocalDpi xmlns:a14="http://schemas.microsoft.com/office/drawing/2010/main" val="0"/>
                            </a:ext>
                          </a:extLst>
                        </a:blip>
                        <a:stretch>
                          <a:fillRect/>
                        </a:stretch>
                      </pic:blipFill>
                      <pic:spPr>
                        <a:xfrm>
                          <a:off x="0" y="0"/>
                          <a:ext cx="536344" cy="543510"/>
                        </a:xfrm>
                        <a:prstGeom prst="rect">
                          <a:avLst/>
                        </a:prstGeom>
                      </pic:spPr>
                    </pic:pic>
                  </a:graphicData>
                </a:graphic>
              </wp:inline>
            </w:drawing>
          </w:r>
        </w:p>
      </w:tc>
    </w:tr>
    <w:tr w:rsidR="002F279D" w14:paraId="7AE49B99" w14:textId="77777777" w:rsidTr="00F17EC5">
      <w:tc>
        <w:tcPr>
          <w:tcW w:w="5671" w:type="dxa"/>
        </w:tcPr>
        <w:p w14:paraId="54E3B7D7" w14:textId="77777777" w:rsidR="002F279D" w:rsidRDefault="002F279D" w:rsidP="000503B8">
          <w:pPr>
            <w:pStyle w:val="Header"/>
            <w:spacing w:after="0"/>
          </w:pPr>
        </w:p>
      </w:tc>
      <w:tc>
        <w:tcPr>
          <w:tcW w:w="3118" w:type="dxa"/>
          <w:vMerge/>
        </w:tcPr>
        <w:p w14:paraId="3F1099AF" w14:textId="77777777" w:rsidR="002F279D" w:rsidRDefault="002F279D" w:rsidP="00FB71F7">
          <w:pPr>
            <w:pStyle w:val="Header"/>
          </w:pPr>
        </w:p>
      </w:tc>
    </w:tr>
    <w:tr w:rsidR="002F279D" w14:paraId="739EA2DE" w14:textId="77777777" w:rsidTr="00F17EC5">
      <w:tc>
        <w:tcPr>
          <w:tcW w:w="5671" w:type="dxa"/>
        </w:tcPr>
        <w:p w14:paraId="2F32324C" w14:textId="2731D762" w:rsidR="002F279D" w:rsidRDefault="002F279D" w:rsidP="000503B8">
          <w:pPr>
            <w:pStyle w:val="Header"/>
            <w:spacing w:after="0"/>
          </w:pPr>
          <w:r w:rsidRPr="00FB71F7">
            <w:rPr>
              <w:sz w:val="22"/>
            </w:rPr>
            <w:fldChar w:fldCharType="begin"/>
          </w:r>
          <w:r w:rsidRPr="00FB71F7">
            <w:rPr>
              <w:sz w:val="22"/>
            </w:rPr>
            <w:instrText xml:space="preserve"> DOCPROPERTY  "Project name"  \* MERGEFORMAT </w:instrText>
          </w:r>
          <w:r w:rsidRPr="00FB71F7">
            <w:rPr>
              <w:sz w:val="22"/>
            </w:rPr>
            <w:fldChar w:fldCharType="separate"/>
          </w:r>
          <w:r w:rsidR="00062E08">
            <w:rPr>
              <w:sz w:val="22"/>
            </w:rPr>
            <w:t>ERP25 - Review of 2008 Wood and Water Study</w:t>
          </w:r>
          <w:r w:rsidRPr="00FB71F7">
            <w:rPr>
              <w:sz w:val="22"/>
            </w:rPr>
            <w:fldChar w:fldCharType="end"/>
          </w:r>
        </w:p>
      </w:tc>
      <w:tc>
        <w:tcPr>
          <w:tcW w:w="3118" w:type="dxa"/>
          <w:vMerge/>
        </w:tcPr>
        <w:p w14:paraId="33C04EDF" w14:textId="77777777" w:rsidR="002F279D" w:rsidRDefault="002F279D" w:rsidP="00FB71F7">
          <w:pPr>
            <w:pStyle w:val="Header"/>
          </w:pPr>
        </w:p>
      </w:tc>
    </w:tr>
    <w:tr w:rsidR="002F279D" w14:paraId="3BD6F76D" w14:textId="77777777" w:rsidTr="00F17EC5">
      <w:tc>
        <w:tcPr>
          <w:tcW w:w="5671" w:type="dxa"/>
        </w:tcPr>
        <w:p w14:paraId="27DB0108" w14:textId="6971052D" w:rsidR="002F279D" w:rsidRDefault="00BF1007" w:rsidP="000503B8">
          <w:pPr>
            <w:pStyle w:val="Header"/>
            <w:spacing w:after="0"/>
          </w:pPr>
          <w:r>
            <w:fldChar w:fldCharType="begin"/>
          </w:r>
          <w:r>
            <w:instrText xml:space="preserve"> DOCPROPERTY  "Report name"  \* MERGEFORMAT </w:instrText>
          </w:r>
          <w:r>
            <w:fldChar w:fldCharType="separate"/>
          </w:r>
          <w:r w:rsidR="00062E08">
            <w:t>Report</w:t>
          </w:r>
          <w:r>
            <w:fldChar w:fldCharType="end"/>
          </w:r>
          <w:r w:rsidR="002F279D">
            <w:t xml:space="preserve">, </w:t>
          </w:r>
          <w:r>
            <w:fldChar w:fldCharType="begin"/>
          </w:r>
          <w:r>
            <w:instrText xml:space="preserve"> DOCPROPERTY  Version  \* MERGEFORMAT </w:instrText>
          </w:r>
          <w:r>
            <w:fldChar w:fldCharType="separate"/>
          </w:r>
          <w:r w:rsidR="00062E08">
            <w:t>Version 1</w:t>
          </w:r>
          <w:r>
            <w:fldChar w:fldCharType="end"/>
          </w:r>
        </w:p>
      </w:tc>
      <w:tc>
        <w:tcPr>
          <w:tcW w:w="3118" w:type="dxa"/>
          <w:vMerge/>
        </w:tcPr>
        <w:p w14:paraId="17C3566B" w14:textId="77777777" w:rsidR="002F279D" w:rsidRDefault="002F279D" w:rsidP="00FB71F7">
          <w:pPr>
            <w:pStyle w:val="Header"/>
          </w:pPr>
        </w:p>
      </w:tc>
    </w:tr>
    <w:tr w:rsidR="002F279D" w14:paraId="77B06F6D" w14:textId="77777777" w:rsidTr="00F17EC5">
      <w:tc>
        <w:tcPr>
          <w:tcW w:w="5671" w:type="dxa"/>
        </w:tcPr>
        <w:p w14:paraId="40DEDF0C" w14:textId="77777777" w:rsidR="002F279D" w:rsidRDefault="002F279D" w:rsidP="000503B8">
          <w:pPr>
            <w:pStyle w:val="Header"/>
            <w:spacing w:after="0"/>
          </w:pPr>
        </w:p>
      </w:tc>
      <w:tc>
        <w:tcPr>
          <w:tcW w:w="3118" w:type="dxa"/>
          <w:vMerge/>
        </w:tcPr>
        <w:p w14:paraId="411FB004" w14:textId="77777777" w:rsidR="002F279D" w:rsidRDefault="002F279D" w:rsidP="00FB71F7">
          <w:pPr>
            <w:pStyle w:val="Header"/>
          </w:pPr>
        </w:p>
      </w:tc>
    </w:tr>
  </w:tbl>
  <w:p w14:paraId="46AFB0F8" w14:textId="4A3ED5F6" w:rsidR="002F279D" w:rsidRPr="00FB71F7" w:rsidRDefault="002F279D" w:rsidP="00FB71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5AC94" w14:textId="77777777" w:rsidR="002F279D" w:rsidRPr="008D5EE0" w:rsidRDefault="002F279D" w:rsidP="00FB71F7">
    <w:pPr>
      <w:pStyle w:val="Header"/>
    </w:pPr>
    <w:r>
      <w:rPr>
        <w:noProof/>
      </w:rPr>
      <mc:AlternateContent>
        <mc:Choice Requires="wps">
          <w:drawing>
            <wp:anchor distT="0" distB="0" distL="114300" distR="114300" simplePos="0" relativeHeight="251657216" behindDoc="0" locked="0" layoutInCell="0" allowOverlap="1" wp14:anchorId="26E4ECF2" wp14:editId="3762BB55">
              <wp:simplePos x="0" y="0"/>
              <wp:positionH relativeFrom="margin">
                <wp:posOffset>2422</wp:posOffset>
              </wp:positionH>
              <wp:positionV relativeFrom="topMargin">
                <wp:posOffset>498475</wp:posOffset>
              </wp:positionV>
              <wp:extent cx="5699051" cy="640715"/>
              <wp:effectExtent l="0" t="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051" cy="6407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E869" w14:textId="0DEE01B3" w:rsidR="002F279D" w:rsidRDefault="00BF1007">
                          <w:pPr>
                            <w:spacing w:after="0" w:line="240" w:lineRule="auto"/>
                          </w:pPr>
                          <w:sdt>
                            <w:sdtPr>
                              <w:alias w:val="Title"/>
                              <w:id w:val="-1251810008"/>
                              <w:dataBinding w:prefixMappings="xmlns:ns0='http://schemas.openxmlformats.org/package/2006/metadata/core-properties' xmlns:ns1='http://purl.org/dc/elements/1.1/'" w:xpath="/ns0:coreProperties[1]/ns1:title[1]" w:storeItemID="{6C3C8BC8-F283-45AE-878A-BAB7291924A1}"/>
                              <w:text/>
                            </w:sdtPr>
                            <w:sdtEndPr/>
                            <w:sdtContent>
                              <w:r w:rsidR="008F6FA2">
                                <w:t>Final Wood and Water Refresh report - word version</w:t>
                              </w:r>
                            </w:sdtContent>
                          </w:sdt>
                          <w:r w:rsidR="002F279D">
                            <w:t xml:space="preserve">          </w:t>
                          </w:r>
                          <w:r w:rsidR="002F279D">
                            <w:tab/>
                            <w:t xml:space="preserve">                    </w:t>
                          </w:r>
                          <w:r w:rsidR="002F279D">
                            <w:rPr>
                              <w:noProof/>
                              <w:lang w:val="en-AU" w:eastAsia="en-AU"/>
                            </w:rPr>
                            <w:drawing>
                              <wp:inline distT="0" distB="0" distL="0" distR="0" wp14:anchorId="44433ABC" wp14:editId="62311FED">
                                <wp:extent cx="1069954" cy="276447"/>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C ICON.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4540" cy="277632"/>
                                        </a:xfrm>
                                        <a:prstGeom prst="rect">
                                          <a:avLst/>
                                        </a:prstGeom>
                                      </pic:spPr>
                                    </pic:pic>
                                  </a:graphicData>
                                </a:graphic>
                              </wp:inline>
                            </w:drawing>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6E4ECF2" id="_x0000_t202" coordsize="21600,21600" o:spt="202" path="m,l,21600r21600,l21600,xe">
              <v:stroke joinstyle="miter"/>
              <v:path gradientshapeok="t" o:connecttype="rect"/>
            </v:shapetype>
            <v:shape id="Text Box 451" o:spid="_x0000_s1029" type="#_x0000_t202" style="position:absolute;margin-left:.2pt;margin-top:39.25pt;width:448.75pt;height:50.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" o:allowincell="f" filled="f" stroked="f">
              <v:textbox inset=",0,,0">
                <w:txbxContent>
                  <w:p w14:paraId="476FE869" w14:textId="0DEE01B3" w:rsidR="002F279D" w:rsidRDefault="00BF1007">
                    <w:pPr>
                      <w:spacing w:after="0" w:line="240" w:lineRule="auto"/>
                    </w:pPr>
                    <w:sdt>
                      <w:sdtPr>
                        <w:alias w:val="Title"/>
                        <w:id w:val="-1251810008"/>
                        <w:dataBinding w:prefixMappings="xmlns:ns0='http://schemas.openxmlformats.org/package/2006/metadata/core-properties' xmlns:ns1='http://purl.org/dc/elements/1.1/'" w:xpath="/ns0:coreProperties[1]/ns1:title[1]" w:storeItemID="{6C3C8BC8-F283-45AE-878A-BAB7291924A1}"/>
                        <w:text/>
                      </w:sdtPr>
                      <w:sdtEndPr/>
                      <w:sdtContent>
                        <w:r w:rsidR="008F6FA2">
                          <w:t>Final Wood and Water Refresh report - word version</w:t>
                        </w:r>
                      </w:sdtContent>
                    </w:sdt>
                    <w:r w:rsidR="002F279D">
                      <w:t xml:space="preserve">          </w:t>
                    </w:r>
                    <w:r w:rsidR="002F279D">
                      <w:tab/>
                      <w:t xml:space="preserve">                    </w:t>
                    </w:r>
                    <w:r w:rsidR="002F279D">
                      <w:rPr>
                        <w:noProof/>
                        <w:lang w:val="en-AU" w:eastAsia="en-AU"/>
                      </w:rPr>
                      <w:drawing>
                        <wp:inline distT="0" distB="0" distL="0" distR="0" wp14:anchorId="44433ABC" wp14:editId="62311FED">
                          <wp:extent cx="1069954" cy="276447"/>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C ICON.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4540" cy="277632"/>
                                  </a:xfrm>
                                  <a:prstGeom prst="rect">
                                    <a:avLst/>
                                  </a:prstGeom>
                                </pic:spPr>
                              </pic:pic>
                            </a:graphicData>
                          </a:graphic>
                        </wp:inline>
                      </w:drawing>
                    </w:r>
                  </w:p>
                </w:txbxContent>
              </v:textbox>
              <w10:wrap anchorx="margin" anchory="margin"/>
            </v:shape>
          </w:pict>
        </mc:Fallback>
      </mc:AlternateContent>
    </w:r>
  </w:p>
  <w:p w14:paraId="566A8CC8" w14:textId="6B285105" w:rsidR="002F279D" w:rsidRPr="008D5EE0" w:rsidRDefault="002F279D" w:rsidP="00FB71F7">
    <w:pPr>
      <w:pStyle w:val="Header"/>
    </w:pPr>
    <w:r>
      <w:rPr>
        <w:noProof/>
      </w:rPr>
      <mc:AlternateContent>
        <mc:Choice Requires="wps">
          <w:drawing>
            <wp:anchor distT="0" distB="0" distL="114300" distR="114300" simplePos="0" relativeHeight="251658240" behindDoc="0" locked="0" layoutInCell="0" allowOverlap="1" wp14:anchorId="61B9874A" wp14:editId="258812CD">
              <wp:simplePos x="0" y="0"/>
              <wp:positionH relativeFrom="page">
                <wp:align>left</wp:align>
              </wp:positionH>
              <wp:positionV relativeFrom="topMargin">
                <wp:align>center</wp:align>
              </wp:positionV>
              <wp:extent cx="914400" cy="170815"/>
              <wp:effectExtent l="0" t="0" r="762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AEEF"/>
                      </a:solidFill>
                    </wps:spPr>
                    <wps:txbx>
                      <w:txbxContent>
                        <w:p w14:paraId="279F2233" w14:textId="77777777" w:rsidR="002F279D" w:rsidRDefault="002F279D">
                          <w:pPr>
                            <w:spacing w:after="0" w:line="240" w:lineRule="auto"/>
                            <w:jc w:val="right"/>
                            <w:rPr>
                              <w:color w:val="FFFFFF" w:themeColor="background1"/>
                              <w14:numForm w14:val="lining"/>
                            </w:rPr>
                          </w:pPr>
                          <w:r>
                            <w:rPr>
                              <w:color w:val="auto"/>
                              <w14:numForm w14:val="lining"/>
                            </w:rPr>
                            <w:fldChar w:fldCharType="begin"/>
                          </w:r>
                          <w:r>
                            <w:rPr>
                              <w14:numForm w14:val="lining"/>
                            </w:rPr>
                            <w:instrText xml:space="preserve"> PAGE   \* MERGEFORMAT </w:instrText>
                          </w:r>
                          <w:r>
                            <w:rPr>
                              <w:color w:val="auto"/>
                              <w14:numForm w14:val="lining"/>
                            </w:rPr>
                            <w:fldChar w:fldCharType="separate"/>
                          </w:r>
                          <w:r w:rsidRPr="006F7695">
                            <w:rPr>
                              <w:noProof/>
                              <w:color w:val="FFFFFF" w:themeColor="background1"/>
                              <w14:numForm w14:val="lining"/>
                            </w:rPr>
                            <w:t>24</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1B9874A" id="Text Box 31" o:spid="_x0000_s1028"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" o:allowincell="f" fillcolor="#00aeef" stroked="f">
              <v:textbox style="mso-fit-shape-to-text:t" inset=",0,,0">
                <w:txbxContent>
                  <w:p w14:paraId="279F2233" w14:textId="77777777" w:rsidR="002F279D" w:rsidRDefault="002F279D">
                    <w:pPr>
                      <w:spacing w:after="0" w:line="240" w:lineRule="auto"/>
                      <w:jc w:val="right"/>
                      <w:rPr>
                        <w:color w:val="FFFFFF" w:themeColor="background1"/>
                        <w14:numForm w14:val="lining"/>
                      </w:rPr>
                    </w:pPr>
                    <w:r>
                      <w:rPr>
                        <w:color w:val="auto"/>
                        <w14:numForm w14:val="lining"/>
                      </w:rPr>
                      <w:fldChar w:fldCharType="begin"/>
                    </w:r>
                    <w:r>
                      <w:rPr>
                        <w14:numForm w14:val="lining"/>
                      </w:rPr>
                      <w:instrText xml:space="preserve"> PAGE   \* MERGEFORMAT </w:instrText>
                    </w:r>
                    <w:r>
                      <w:rPr>
                        <w:color w:val="auto"/>
                        <w14:numForm w14:val="lining"/>
                      </w:rPr>
                      <w:fldChar w:fldCharType="separate"/>
                    </w:r>
                    <w:r w:rsidRPr="006F7695">
                      <w:rPr>
                        <w:noProof/>
                        <w:color w:val="FFFFFF" w:themeColor="background1"/>
                        <w14:numForm w14:val="lining"/>
                      </w:rPr>
                      <w:t>24</w:t>
                    </w:r>
                    <w:r>
                      <w:rPr>
                        <w:noProof/>
                        <w:color w:val="FFFFFF" w:themeColor="background1"/>
                        <w14:numForm w14:val="lining"/>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56192" behindDoc="0" locked="0" layoutInCell="0" allowOverlap="1" wp14:anchorId="194FDA6B" wp14:editId="5D726E21">
              <wp:simplePos x="0" y="0"/>
              <wp:positionH relativeFrom="page">
                <wp:align>left</wp:align>
              </wp:positionH>
              <wp:positionV relativeFrom="topMargin">
                <wp:align>center</wp:align>
              </wp:positionV>
              <wp:extent cx="914400" cy="170815"/>
              <wp:effectExtent l="0" t="0" r="762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AEEF"/>
                      </a:solidFill>
                    </wps:spPr>
                    <wps:txbx>
                      <w:txbxContent>
                        <w:p w14:paraId="7F08E787" w14:textId="77777777" w:rsidR="002F279D" w:rsidRDefault="002F279D">
                          <w:pPr>
                            <w:spacing w:after="0" w:line="240" w:lineRule="auto"/>
                            <w:jc w:val="right"/>
                            <w:rPr>
                              <w:color w:val="FFFFFF" w:themeColor="background1"/>
                              <w14:numForm w14:val="lining"/>
                            </w:rPr>
                          </w:pPr>
                          <w:r>
                            <w:rPr>
                              <w:color w:val="auto"/>
                              <w14:numForm w14:val="lining"/>
                            </w:rPr>
                            <w:fldChar w:fldCharType="begin"/>
                          </w:r>
                          <w:r>
                            <w:rPr>
                              <w14:numForm w14:val="lining"/>
                            </w:rPr>
                            <w:instrText xml:space="preserve"> PAGE   \* MERGEFORMAT </w:instrText>
                          </w:r>
                          <w:r>
                            <w:rPr>
                              <w:color w:val="auto"/>
                              <w14:numForm w14:val="lining"/>
                            </w:rPr>
                            <w:fldChar w:fldCharType="separate"/>
                          </w:r>
                          <w:r w:rsidRPr="006F7695">
                            <w:rPr>
                              <w:noProof/>
                              <w:color w:val="FFFFFF" w:themeColor="background1"/>
                              <w14:numForm w14:val="lining"/>
                            </w:rPr>
                            <w:t>24</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94FDA6B" id="Text Box 452" o:spid="_x0000_s1029" type="#_x0000_t202" style="position:absolute;margin-left:0;margin-top:0;width:1in;height:13.45pt;z-index:2516561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" o:allowincell="f" fillcolor="#00aeef" stroked="f">
              <v:textbox style="mso-fit-shape-to-text:t" inset=",0,,0">
                <w:txbxContent>
                  <w:p w14:paraId="7F08E787" w14:textId="77777777" w:rsidR="002F279D" w:rsidRDefault="002F279D">
                    <w:pPr>
                      <w:spacing w:after="0" w:line="240" w:lineRule="auto"/>
                      <w:jc w:val="right"/>
                      <w:rPr>
                        <w:color w:val="FFFFFF" w:themeColor="background1"/>
                        <w14:numForm w14:val="lining"/>
                      </w:rPr>
                    </w:pPr>
                    <w:r>
                      <w:rPr>
                        <w:color w:val="auto"/>
                        <w14:numForm w14:val="lining"/>
                      </w:rPr>
                      <w:fldChar w:fldCharType="begin"/>
                    </w:r>
                    <w:r>
                      <w:rPr>
                        <w14:numForm w14:val="lining"/>
                      </w:rPr>
                      <w:instrText xml:space="preserve"> PAGE   \* MERGEFORMAT </w:instrText>
                    </w:r>
                    <w:r>
                      <w:rPr>
                        <w:color w:val="auto"/>
                        <w14:numForm w14:val="lining"/>
                      </w:rPr>
                      <w:fldChar w:fldCharType="separate"/>
                    </w:r>
                    <w:r w:rsidRPr="006F7695">
                      <w:rPr>
                        <w:noProof/>
                        <w:color w:val="FFFFFF" w:themeColor="background1"/>
                        <w14:numForm w14:val="lining"/>
                      </w:rPr>
                      <w:t>24</w:t>
                    </w:r>
                    <w:r>
                      <w:rPr>
                        <w:noProof/>
                        <w:color w:val="FFFFFF" w:themeColor="background1"/>
                        <w14:numForm w14:val="lining"/>
                      </w:rPr>
                      <w:fldChar w:fldCharType="end"/>
                    </w:r>
                  </w:p>
                </w:txbxContent>
              </v:textbox>
              <w10:wrap anchorx="page" anchory="margin"/>
            </v:shape>
          </w:pict>
        </mc:Fallback>
      </mc:AlternateContent>
    </w:r>
  </w:p>
  <w:p w14:paraId="50A7C32D" w14:textId="77777777" w:rsidR="002F279D" w:rsidRDefault="002F279D"/>
  <w:p w14:paraId="4EF76C1D" w14:textId="77777777" w:rsidR="002F279D" w:rsidRPr="008D5EE0" w:rsidRDefault="002F279D" w:rsidP="00FB71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0074"/>
    <w:multiLevelType w:val="hybridMultilevel"/>
    <w:tmpl w:val="174876B6"/>
    <w:lvl w:ilvl="0" w:tplc="0C090005">
      <w:start w:val="1"/>
      <w:numFmt w:val="bullet"/>
      <w:lvlText w:val=""/>
      <w:lvlJc w:val="left"/>
      <w:pPr>
        <w:ind w:left="6959" w:hanging="360"/>
      </w:pPr>
      <w:rPr>
        <w:rFonts w:ascii="Wingdings" w:hAnsi="Wingdings" w:hint="default"/>
      </w:rPr>
    </w:lvl>
    <w:lvl w:ilvl="1" w:tplc="0C090003" w:tentative="1">
      <w:start w:val="1"/>
      <w:numFmt w:val="bullet"/>
      <w:lvlText w:val="o"/>
      <w:lvlJc w:val="left"/>
      <w:pPr>
        <w:ind w:left="7679" w:hanging="360"/>
      </w:pPr>
      <w:rPr>
        <w:rFonts w:ascii="Courier New" w:hAnsi="Courier New" w:cs="Courier New" w:hint="default"/>
      </w:rPr>
    </w:lvl>
    <w:lvl w:ilvl="2" w:tplc="0C090005" w:tentative="1">
      <w:start w:val="1"/>
      <w:numFmt w:val="bullet"/>
      <w:lvlText w:val=""/>
      <w:lvlJc w:val="left"/>
      <w:pPr>
        <w:ind w:left="8399" w:hanging="360"/>
      </w:pPr>
      <w:rPr>
        <w:rFonts w:ascii="Wingdings" w:hAnsi="Wingdings" w:hint="default"/>
      </w:rPr>
    </w:lvl>
    <w:lvl w:ilvl="3" w:tplc="0C090001" w:tentative="1">
      <w:start w:val="1"/>
      <w:numFmt w:val="bullet"/>
      <w:lvlText w:val=""/>
      <w:lvlJc w:val="left"/>
      <w:pPr>
        <w:ind w:left="9119" w:hanging="360"/>
      </w:pPr>
      <w:rPr>
        <w:rFonts w:ascii="Symbol" w:hAnsi="Symbol" w:hint="default"/>
      </w:rPr>
    </w:lvl>
    <w:lvl w:ilvl="4" w:tplc="0C090003" w:tentative="1">
      <w:start w:val="1"/>
      <w:numFmt w:val="bullet"/>
      <w:lvlText w:val="o"/>
      <w:lvlJc w:val="left"/>
      <w:pPr>
        <w:ind w:left="9839" w:hanging="360"/>
      </w:pPr>
      <w:rPr>
        <w:rFonts w:ascii="Courier New" w:hAnsi="Courier New" w:cs="Courier New" w:hint="default"/>
      </w:rPr>
    </w:lvl>
    <w:lvl w:ilvl="5" w:tplc="0C090005" w:tentative="1">
      <w:start w:val="1"/>
      <w:numFmt w:val="bullet"/>
      <w:lvlText w:val=""/>
      <w:lvlJc w:val="left"/>
      <w:pPr>
        <w:ind w:left="10559" w:hanging="360"/>
      </w:pPr>
      <w:rPr>
        <w:rFonts w:ascii="Wingdings" w:hAnsi="Wingdings" w:hint="default"/>
      </w:rPr>
    </w:lvl>
    <w:lvl w:ilvl="6" w:tplc="0C090001" w:tentative="1">
      <w:start w:val="1"/>
      <w:numFmt w:val="bullet"/>
      <w:lvlText w:val=""/>
      <w:lvlJc w:val="left"/>
      <w:pPr>
        <w:ind w:left="11279" w:hanging="360"/>
      </w:pPr>
      <w:rPr>
        <w:rFonts w:ascii="Symbol" w:hAnsi="Symbol" w:hint="default"/>
      </w:rPr>
    </w:lvl>
    <w:lvl w:ilvl="7" w:tplc="0C090003" w:tentative="1">
      <w:start w:val="1"/>
      <w:numFmt w:val="bullet"/>
      <w:lvlText w:val="o"/>
      <w:lvlJc w:val="left"/>
      <w:pPr>
        <w:ind w:left="11999" w:hanging="360"/>
      </w:pPr>
      <w:rPr>
        <w:rFonts w:ascii="Courier New" w:hAnsi="Courier New" w:cs="Courier New" w:hint="default"/>
      </w:rPr>
    </w:lvl>
    <w:lvl w:ilvl="8" w:tplc="0C090005" w:tentative="1">
      <w:start w:val="1"/>
      <w:numFmt w:val="bullet"/>
      <w:lvlText w:val=""/>
      <w:lvlJc w:val="left"/>
      <w:pPr>
        <w:ind w:left="12719" w:hanging="360"/>
      </w:pPr>
      <w:rPr>
        <w:rFonts w:ascii="Wingdings" w:hAnsi="Wingdings" w:hint="default"/>
      </w:rPr>
    </w:lvl>
  </w:abstractNum>
  <w:abstractNum w:abstractNumId="1" w15:restartNumberingAfterBreak="0">
    <w:nsid w:val="0A020D15"/>
    <w:multiLevelType w:val="multilevel"/>
    <w:tmpl w:val="66C40CD6"/>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1440"/>
        </w:tabs>
        <w:ind w:left="992" w:hanging="992"/>
      </w:pPr>
    </w:lvl>
    <w:lvl w:ilvl="4">
      <w:start w:val="1"/>
      <w:numFmt w:val="decimal"/>
      <w:pStyle w:val="Heading5"/>
      <w:lvlText w:val="%1.%2.%3.%4.%5"/>
      <w:lvlJc w:val="left"/>
      <w:pPr>
        <w:tabs>
          <w:tab w:val="num" w:pos="1440"/>
        </w:tabs>
        <w:ind w:left="1134" w:hanging="1134"/>
      </w:pPr>
    </w:lvl>
    <w:lvl w:ilvl="5">
      <w:start w:val="1"/>
      <w:numFmt w:val="decimal"/>
      <w:pStyle w:val="Heading6"/>
      <w:lvlText w:val="%1.%2.%3.%4.%5.%6"/>
      <w:lvlJc w:val="left"/>
      <w:pPr>
        <w:tabs>
          <w:tab w:val="num" w:pos="1800"/>
        </w:tabs>
        <w:ind w:left="1276" w:hanging="1276"/>
      </w:pPr>
    </w:lvl>
    <w:lvl w:ilvl="6">
      <w:start w:val="1"/>
      <w:numFmt w:val="decimal"/>
      <w:pStyle w:val="Heading7"/>
      <w:lvlText w:val="%1.%2.%3.%4.%5.%6.%7"/>
      <w:lvlJc w:val="left"/>
      <w:pPr>
        <w:tabs>
          <w:tab w:val="num" w:pos="2160"/>
        </w:tabs>
        <w:ind w:left="1418" w:hanging="1418"/>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3915AC3"/>
    <w:multiLevelType w:val="hybridMultilevel"/>
    <w:tmpl w:val="6AF0F5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220C7"/>
    <w:multiLevelType w:val="multilevel"/>
    <w:tmpl w:val="3BA44F1A"/>
    <w:numStyleLink w:val="SKMTableList1"/>
  </w:abstractNum>
  <w:abstractNum w:abstractNumId="4" w15:restartNumberingAfterBreak="0">
    <w:nsid w:val="15F926BD"/>
    <w:multiLevelType w:val="hybridMultilevel"/>
    <w:tmpl w:val="A0E623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B619F"/>
    <w:multiLevelType w:val="hybridMultilevel"/>
    <w:tmpl w:val="C05E8C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97DE7"/>
    <w:multiLevelType w:val="singleLevel"/>
    <w:tmpl w:val="D1344144"/>
    <w:lvl w:ilvl="0">
      <w:start w:val="1"/>
      <w:numFmt w:val="decimal"/>
      <w:lvlText w:val="%1)"/>
      <w:lvlJc w:val="left"/>
      <w:pPr>
        <w:ind w:left="360" w:hanging="360"/>
      </w:pPr>
      <w:rPr>
        <w:rFonts w:hint="default"/>
        <w:sz w:val="20"/>
      </w:rPr>
    </w:lvl>
  </w:abstractNum>
  <w:abstractNum w:abstractNumId="7" w15:restartNumberingAfterBreak="0">
    <w:nsid w:val="189E10A2"/>
    <w:multiLevelType w:val="singleLevel"/>
    <w:tmpl w:val="9E92DC8E"/>
    <w:lvl w:ilvl="0">
      <w:start w:val="1"/>
      <w:numFmt w:val="bullet"/>
      <w:pStyle w:val="Caption"/>
      <w:lvlText w:val=""/>
      <w:lvlJc w:val="left"/>
      <w:pPr>
        <w:tabs>
          <w:tab w:val="num" w:pos="397"/>
        </w:tabs>
        <w:ind w:left="397" w:hanging="397"/>
      </w:pPr>
      <w:rPr>
        <w:rFonts w:ascii="Wingdings" w:hAnsi="Wingdings" w:hint="default"/>
        <w:sz w:val="12"/>
      </w:rPr>
    </w:lvl>
  </w:abstractNum>
  <w:abstractNum w:abstractNumId="8" w15:restartNumberingAfterBreak="0">
    <w:nsid w:val="1AE867B0"/>
    <w:multiLevelType w:val="hybridMultilevel"/>
    <w:tmpl w:val="29E80F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9B437E"/>
    <w:multiLevelType w:val="hybridMultilevel"/>
    <w:tmpl w:val="01F6B5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14B2D"/>
    <w:multiLevelType w:val="hybridMultilevel"/>
    <w:tmpl w:val="79624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CE11640"/>
    <w:multiLevelType w:val="hybridMultilevel"/>
    <w:tmpl w:val="B1CC6852"/>
    <w:lvl w:ilvl="0" w:tplc="147E8AD2">
      <w:start w:val="1"/>
      <w:numFmt w:val="lowerRoman"/>
      <w:lvlText w:val="%1."/>
      <w:lvlJc w:val="right"/>
      <w:pPr>
        <w:ind w:left="-134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B45752"/>
    <w:multiLevelType w:val="hybridMultilevel"/>
    <w:tmpl w:val="BC5459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CB2F72"/>
    <w:multiLevelType w:val="hybridMultilevel"/>
    <w:tmpl w:val="A922ED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6" w15:restartNumberingAfterBreak="0">
    <w:nsid w:val="46597676"/>
    <w:multiLevelType w:val="hybridMultilevel"/>
    <w:tmpl w:val="B036785E"/>
    <w:lvl w:ilvl="0" w:tplc="0876FEDA">
      <w:start w:val="1"/>
      <w:numFmt w:val="bullet"/>
      <w:pStyle w:val="Para0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D23207"/>
    <w:multiLevelType w:val="multilevel"/>
    <w:tmpl w:val="BFACDB88"/>
    <w:styleLink w:val="SKM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18" w15:restartNumberingAfterBreak="0">
    <w:nsid w:val="4CFD472B"/>
    <w:multiLevelType w:val="hybridMultilevel"/>
    <w:tmpl w:val="2E8E72F4"/>
    <w:lvl w:ilvl="0" w:tplc="456E096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4062E4"/>
    <w:multiLevelType w:val="hybridMultilevel"/>
    <w:tmpl w:val="0CB4D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D350F1"/>
    <w:multiLevelType w:val="hybridMultilevel"/>
    <w:tmpl w:val="00A649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22" w15:restartNumberingAfterBreak="0">
    <w:nsid w:val="567B678A"/>
    <w:multiLevelType w:val="hybridMultilevel"/>
    <w:tmpl w:val="A718DB76"/>
    <w:lvl w:ilvl="0" w:tplc="0C09001B">
      <w:start w:val="1"/>
      <w:numFmt w:val="lowerRoman"/>
      <w:lvlText w:val="%1."/>
      <w:lvlJc w:val="right"/>
      <w:pPr>
        <w:ind w:left="-1342" w:hanging="360"/>
      </w:pPr>
    </w:lvl>
    <w:lvl w:ilvl="1" w:tplc="0C090019" w:tentative="1">
      <w:start w:val="1"/>
      <w:numFmt w:val="lowerLetter"/>
      <w:lvlText w:val="%2."/>
      <w:lvlJc w:val="left"/>
      <w:pPr>
        <w:ind w:left="-622" w:hanging="360"/>
      </w:pPr>
    </w:lvl>
    <w:lvl w:ilvl="2" w:tplc="0C09001B" w:tentative="1">
      <w:start w:val="1"/>
      <w:numFmt w:val="lowerRoman"/>
      <w:lvlText w:val="%3."/>
      <w:lvlJc w:val="right"/>
      <w:pPr>
        <w:ind w:left="98" w:hanging="180"/>
      </w:pPr>
    </w:lvl>
    <w:lvl w:ilvl="3" w:tplc="0C09000F" w:tentative="1">
      <w:start w:val="1"/>
      <w:numFmt w:val="decimal"/>
      <w:lvlText w:val="%4."/>
      <w:lvlJc w:val="left"/>
      <w:pPr>
        <w:ind w:left="818" w:hanging="360"/>
      </w:pPr>
    </w:lvl>
    <w:lvl w:ilvl="4" w:tplc="0C090019" w:tentative="1">
      <w:start w:val="1"/>
      <w:numFmt w:val="lowerLetter"/>
      <w:lvlText w:val="%5."/>
      <w:lvlJc w:val="left"/>
      <w:pPr>
        <w:ind w:left="1538" w:hanging="360"/>
      </w:pPr>
    </w:lvl>
    <w:lvl w:ilvl="5" w:tplc="0C09001B" w:tentative="1">
      <w:start w:val="1"/>
      <w:numFmt w:val="lowerRoman"/>
      <w:lvlText w:val="%6."/>
      <w:lvlJc w:val="right"/>
      <w:pPr>
        <w:ind w:left="2258" w:hanging="180"/>
      </w:pPr>
    </w:lvl>
    <w:lvl w:ilvl="6" w:tplc="0C09000F" w:tentative="1">
      <w:start w:val="1"/>
      <w:numFmt w:val="decimal"/>
      <w:lvlText w:val="%7."/>
      <w:lvlJc w:val="left"/>
      <w:pPr>
        <w:ind w:left="2978" w:hanging="360"/>
      </w:pPr>
    </w:lvl>
    <w:lvl w:ilvl="7" w:tplc="0C090019" w:tentative="1">
      <w:start w:val="1"/>
      <w:numFmt w:val="lowerLetter"/>
      <w:lvlText w:val="%8."/>
      <w:lvlJc w:val="left"/>
      <w:pPr>
        <w:ind w:left="3698" w:hanging="360"/>
      </w:pPr>
    </w:lvl>
    <w:lvl w:ilvl="8" w:tplc="0C09001B" w:tentative="1">
      <w:start w:val="1"/>
      <w:numFmt w:val="lowerRoman"/>
      <w:lvlText w:val="%9."/>
      <w:lvlJc w:val="right"/>
      <w:pPr>
        <w:ind w:left="4418" w:hanging="180"/>
      </w:pPr>
    </w:lvl>
  </w:abstractNum>
  <w:abstractNum w:abstractNumId="23" w15:restartNumberingAfterBreak="0">
    <w:nsid w:val="575C214F"/>
    <w:multiLevelType w:val="hybridMultilevel"/>
    <w:tmpl w:val="FD1E17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BF69BB"/>
    <w:multiLevelType w:val="hybridMultilevel"/>
    <w:tmpl w:val="067620B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1E771D"/>
    <w:multiLevelType w:val="hybridMultilevel"/>
    <w:tmpl w:val="EF1EEA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6156EA"/>
    <w:multiLevelType w:val="hybridMultilevel"/>
    <w:tmpl w:val="33BAB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28" w15:restartNumberingAfterBreak="0">
    <w:nsid w:val="6DF80629"/>
    <w:multiLevelType w:val="hybridMultilevel"/>
    <w:tmpl w:val="ED5215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103426"/>
    <w:multiLevelType w:val="hybridMultilevel"/>
    <w:tmpl w:val="A718DB76"/>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9E346E5"/>
    <w:multiLevelType w:val="multilevel"/>
    <w:tmpl w:val="8364F614"/>
    <w:styleLink w:val="Para0sub-bullet"/>
    <w:lvl w:ilvl="0">
      <w:start w:val="1"/>
      <w:numFmt w:val="bullet"/>
      <w:lvlText w:val=""/>
      <w:lvlJc w:val="left"/>
      <w:pPr>
        <w:ind w:left="720" w:hanging="360"/>
      </w:pPr>
      <w:rPr>
        <w:rFonts w:ascii="Symbol" w:hAnsi="Symbol"/>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1"/>
  </w:num>
  <w:num w:numId="4">
    <w:abstractNumId w:val="1"/>
  </w:num>
  <w:num w:numId="5">
    <w:abstractNumId w:val="14"/>
  </w:num>
  <w:num w:numId="6">
    <w:abstractNumId w:val="27"/>
  </w:num>
  <w:num w:numId="7">
    <w:abstractNumId w:val="30"/>
  </w:num>
  <w:num w:numId="8">
    <w:abstractNumId w:val="16"/>
  </w:num>
  <w:num w:numId="9">
    <w:abstractNumId w:val="17"/>
  </w:num>
  <w:num w:numId="10">
    <w:abstractNumId w:val="15"/>
  </w:num>
  <w:num w:numId="11">
    <w:abstractNumId w:val="3"/>
  </w:num>
  <w:num w:numId="12">
    <w:abstractNumId w:val="22"/>
  </w:num>
  <w:num w:numId="13">
    <w:abstractNumId w:val="29"/>
  </w:num>
  <w:num w:numId="14">
    <w:abstractNumId w:val="8"/>
  </w:num>
  <w:num w:numId="15">
    <w:abstractNumId w:val="25"/>
  </w:num>
  <w:num w:numId="16">
    <w:abstractNumId w:val="24"/>
  </w:num>
  <w:num w:numId="17">
    <w:abstractNumId w:val="0"/>
  </w:num>
  <w:num w:numId="18">
    <w:abstractNumId w:val="23"/>
  </w:num>
  <w:num w:numId="19">
    <w:abstractNumId w:val="4"/>
  </w:num>
  <w:num w:numId="20">
    <w:abstractNumId w:val="9"/>
  </w:num>
  <w:num w:numId="21">
    <w:abstractNumId w:val="2"/>
  </w:num>
  <w:num w:numId="22">
    <w:abstractNumId w:val="13"/>
  </w:num>
  <w:num w:numId="23">
    <w:abstractNumId w:val="20"/>
  </w:num>
  <w:num w:numId="24">
    <w:abstractNumId w:val="28"/>
  </w:num>
  <w:num w:numId="25">
    <w:abstractNumId w:val="5"/>
  </w:num>
  <w:num w:numId="26">
    <w:abstractNumId w:val="10"/>
  </w:num>
  <w:num w:numId="27">
    <w:abstractNumId w:val="19"/>
  </w:num>
  <w:num w:numId="28">
    <w:abstractNumId w:val="26"/>
  </w:num>
  <w:num w:numId="29">
    <w:abstractNumId w:val="18"/>
  </w:num>
  <w:num w:numId="30">
    <w:abstractNumId w:val="11"/>
  </w:num>
  <w:num w:numId="31">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1134"/>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lue Lines" w:val="Yes"/>
    <w:docVar w:name="DocType" w:val="CV"/>
    <w:docVar w:name="IncLine" w:val="2"/>
    <w:docVar w:name="LastUNC" w:val="C:\Program Files\skmword\Template New\CV.dot"/>
    <w:docVar w:name="TemplateCreated" w:val=" 15-Dec-1999  16:47"/>
    <w:docVar w:name="TemplateSize" w:val="280,064 Bytes"/>
  </w:docVars>
  <w:rsids>
    <w:rsidRoot w:val="00835396"/>
    <w:rsid w:val="0000010A"/>
    <w:rsid w:val="00001765"/>
    <w:rsid w:val="0000187B"/>
    <w:rsid w:val="00001C79"/>
    <w:rsid w:val="000049FD"/>
    <w:rsid w:val="00010508"/>
    <w:rsid w:val="000118C9"/>
    <w:rsid w:val="00011973"/>
    <w:rsid w:val="00011F23"/>
    <w:rsid w:val="00012ED5"/>
    <w:rsid w:val="0001334E"/>
    <w:rsid w:val="00013507"/>
    <w:rsid w:val="00013890"/>
    <w:rsid w:val="00013D59"/>
    <w:rsid w:val="00014017"/>
    <w:rsid w:val="000140FB"/>
    <w:rsid w:val="0001462B"/>
    <w:rsid w:val="000147E0"/>
    <w:rsid w:val="00015087"/>
    <w:rsid w:val="000151E8"/>
    <w:rsid w:val="000152F6"/>
    <w:rsid w:val="00015D90"/>
    <w:rsid w:val="00015E94"/>
    <w:rsid w:val="0001726B"/>
    <w:rsid w:val="0001771A"/>
    <w:rsid w:val="00020084"/>
    <w:rsid w:val="00020DB0"/>
    <w:rsid w:val="000215E0"/>
    <w:rsid w:val="00022403"/>
    <w:rsid w:val="000229C5"/>
    <w:rsid w:val="00022B9A"/>
    <w:rsid w:val="000239DB"/>
    <w:rsid w:val="00023CF8"/>
    <w:rsid w:val="000242BD"/>
    <w:rsid w:val="00025134"/>
    <w:rsid w:val="0002757B"/>
    <w:rsid w:val="00030211"/>
    <w:rsid w:val="00030EFF"/>
    <w:rsid w:val="000316B6"/>
    <w:rsid w:val="000316E8"/>
    <w:rsid w:val="00031EA8"/>
    <w:rsid w:val="00032D7D"/>
    <w:rsid w:val="00032E10"/>
    <w:rsid w:val="00034900"/>
    <w:rsid w:val="00035325"/>
    <w:rsid w:val="0003770D"/>
    <w:rsid w:val="000378E1"/>
    <w:rsid w:val="000428C9"/>
    <w:rsid w:val="00043072"/>
    <w:rsid w:val="00043C78"/>
    <w:rsid w:val="00044438"/>
    <w:rsid w:val="000448EC"/>
    <w:rsid w:val="00044E7C"/>
    <w:rsid w:val="0004736B"/>
    <w:rsid w:val="000503B8"/>
    <w:rsid w:val="0005078D"/>
    <w:rsid w:val="0005134E"/>
    <w:rsid w:val="000517A1"/>
    <w:rsid w:val="00051AB0"/>
    <w:rsid w:val="000523CB"/>
    <w:rsid w:val="00054750"/>
    <w:rsid w:val="00060771"/>
    <w:rsid w:val="00060909"/>
    <w:rsid w:val="00060A1A"/>
    <w:rsid w:val="00061457"/>
    <w:rsid w:val="000618DE"/>
    <w:rsid w:val="00062E08"/>
    <w:rsid w:val="00063141"/>
    <w:rsid w:val="00065478"/>
    <w:rsid w:val="00065571"/>
    <w:rsid w:val="0006622C"/>
    <w:rsid w:val="00066AA1"/>
    <w:rsid w:val="00066D74"/>
    <w:rsid w:val="00070549"/>
    <w:rsid w:val="00070957"/>
    <w:rsid w:val="00070D61"/>
    <w:rsid w:val="00071690"/>
    <w:rsid w:val="00071B77"/>
    <w:rsid w:val="000727DA"/>
    <w:rsid w:val="0007511E"/>
    <w:rsid w:val="0007561A"/>
    <w:rsid w:val="00075730"/>
    <w:rsid w:val="000763CA"/>
    <w:rsid w:val="00077140"/>
    <w:rsid w:val="00077D36"/>
    <w:rsid w:val="00077E29"/>
    <w:rsid w:val="0008012A"/>
    <w:rsid w:val="00081024"/>
    <w:rsid w:val="00081E85"/>
    <w:rsid w:val="00082001"/>
    <w:rsid w:val="000828A5"/>
    <w:rsid w:val="00084A3D"/>
    <w:rsid w:val="00085234"/>
    <w:rsid w:val="0008526D"/>
    <w:rsid w:val="00085C21"/>
    <w:rsid w:val="00085D16"/>
    <w:rsid w:val="0008607C"/>
    <w:rsid w:val="00086B03"/>
    <w:rsid w:val="00087D3D"/>
    <w:rsid w:val="00087DA4"/>
    <w:rsid w:val="00090A2F"/>
    <w:rsid w:val="00090FFF"/>
    <w:rsid w:val="00093F2D"/>
    <w:rsid w:val="00096D45"/>
    <w:rsid w:val="000A02AA"/>
    <w:rsid w:val="000A0331"/>
    <w:rsid w:val="000A05F4"/>
    <w:rsid w:val="000A10C6"/>
    <w:rsid w:val="000A1AA3"/>
    <w:rsid w:val="000A1FBC"/>
    <w:rsid w:val="000A2027"/>
    <w:rsid w:val="000A41E1"/>
    <w:rsid w:val="000A434F"/>
    <w:rsid w:val="000A5509"/>
    <w:rsid w:val="000A6466"/>
    <w:rsid w:val="000A66C1"/>
    <w:rsid w:val="000A6CBC"/>
    <w:rsid w:val="000A6F4C"/>
    <w:rsid w:val="000A7689"/>
    <w:rsid w:val="000A76D9"/>
    <w:rsid w:val="000B04A5"/>
    <w:rsid w:val="000B050C"/>
    <w:rsid w:val="000B2B21"/>
    <w:rsid w:val="000B3A59"/>
    <w:rsid w:val="000B438C"/>
    <w:rsid w:val="000B4A3F"/>
    <w:rsid w:val="000B4C2C"/>
    <w:rsid w:val="000B56FB"/>
    <w:rsid w:val="000B5DE5"/>
    <w:rsid w:val="000B612E"/>
    <w:rsid w:val="000B68D5"/>
    <w:rsid w:val="000C144F"/>
    <w:rsid w:val="000C1A33"/>
    <w:rsid w:val="000C2B66"/>
    <w:rsid w:val="000C2EB7"/>
    <w:rsid w:val="000C2F88"/>
    <w:rsid w:val="000C5464"/>
    <w:rsid w:val="000C588C"/>
    <w:rsid w:val="000C640A"/>
    <w:rsid w:val="000C6BC8"/>
    <w:rsid w:val="000D0971"/>
    <w:rsid w:val="000D266A"/>
    <w:rsid w:val="000D2AD8"/>
    <w:rsid w:val="000D2C1D"/>
    <w:rsid w:val="000D3261"/>
    <w:rsid w:val="000D3664"/>
    <w:rsid w:val="000D496C"/>
    <w:rsid w:val="000D702A"/>
    <w:rsid w:val="000E2018"/>
    <w:rsid w:val="000E27D8"/>
    <w:rsid w:val="000E2DB7"/>
    <w:rsid w:val="000E36A9"/>
    <w:rsid w:val="000E4046"/>
    <w:rsid w:val="000E47A4"/>
    <w:rsid w:val="000E4C4C"/>
    <w:rsid w:val="000E5D84"/>
    <w:rsid w:val="000E6623"/>
    <w:rsid w:val="000E67B4"/>
    <w:rsid w:val="000E7824"/>
    <w:rsid w:val="000F0905"/>
    <w:rsid w:val="000F0ECB"/>
    <w:rsid w:val="000F0FF6"/>
    <w:rsid w:val="000F1D69"/>
    <w:rsid w:val="000F1ED0"/>
    <w:rsid w:val="000F289C"/>
    <w:rsid w:val="000F300D"/>
    <w:rsid w:val="000F7509"/>
    <w:rsid w:val="000F76D5"/>
    <w:rsid w:val="000F7EDF"/>
    <w:rsid w:val="001003FB"/>
    <w:rsid w:val="0010108C"/>
    <w:rsid w:val="0010122B"/>
    <w:rsid w:val="00101635"/>
    <w:rsid w:val="00101891"/>
    <w:rsid w:val="00101A67"/>
    <w:rsid w:val="00101F2E"/>
    <w:rsid w:val="001023C3"/>
    <w:rsid w:val="001031D3"/>
    <w:rsid w:val="00103D6B"/>
    <w:rsid w:val="00104617"/>
    <w:rsid w:val="00111C92"/>
    <w:rsid w:val="0011354C"/>
    <w:rsid w:val="00113A2F"/>
    <w:rsid w:val="00113F12"/>
    <w:rsid w:val="00113FAA"/>
    <w:rsid w:val="00113FB9"/>
    <w:rsid w:val="001159A0"/>
    <w:rsid w:val="00115FE3"/>
    <w:rsid w:val="00116456"/>
    <w:rsid w:val="001172BC"/>
    <w:rsid w:val="0011735B"/>
    <w:rsid w:val="00117A28"/>
    <w:rsid w:val="001207A2"/>
    <w:rsid w:val="00120B86"/>
    <w:rsid w:val="00120DC0"/>
    <w:rsid w:val="00121736"/>
    <w:rsid w:val="001218AD"/>
    <w:rsid w:val="0012241A"/>
    <w:rsid w:val="0012311E"/>
    <w:rsid w:val="001245B3"/>
    <w:rsid w:val="00125A66"/>
    <w:rsid w:val="00126138"/>
    <w:rsid w:val="00126862"/>
    <w:rsid w:val="00131BF0"/>
    <w:rsid w:val="00131DB2"/>
    <w:rsid w:val="00131FE2"/>
    <w:rsid w:val="00133140"/>
    <w:rsid w:val="001333A4"/>
    <w:rsid w:val="00136071"/>
    <w:rsid w:val="00136A30"/>
    <w:rsid w:val="00136BA7"/>
    <w:rsid w:val="00136D77"/>
    <w:rsid w:val="0014457C"/>
    <w:rsid w:val="0014550A"/>
    <w:rsid w:val="00145D17"/>
    <w:rsid w:val="00145F6F"/>
    <w:rsid w:val="00145FCE"/>
    <w:rsid w:val="00146792"/>
    <w:rsid w:val="00146D02"/>
    <w:rsid w:val="00150910"/>
    <w:rsid w:val="00151028"/>
    <w:rsid w:val="001524C5"/>
    <w:rsid w:val="00152680"/>
    <w:rsid w:val="001534DC"/>
    <w:rsid w:val="00153EB3"/>
    <w:rsid w:val="00154E76"/>
    <w:rsid w:val="00156856"/>
    <w:rsid w:val="00157267"/>
    <w:rsid w:val="00160BD6"/>
    <w:rsid w:val="00163140"/>
    <w:rsid w:val="00163BBC"/>
    <w:rsid w:val="00163D64"/>
    <w:rsid w:val="00163E72"/>
    <w:rsid w:val="00164AAB"/>
    <w:rsid w:val="001653B6"/>
    <w:rsid w:val="00166B44"/>
    <w:rsid w:val="00166BA6"/>
    <w:rsid w:val="00170B20"/>
    <w:rsid w:val="00171410"/>
    <w:rsid w:val="001714E5"/>
    <w:rsid w:val="0017262C"/>
    <w:rsid w:val="001743CA"/>
    <w:rsid w:val="00174C08"/>
    <w:rsid w:val="00175877"/>
    <w:rsid w:val="001768B0"/>
    <w:rsid w:val="001770B6"/>
    <w:rsid w:val="001771E6"/>
    <w:rsid w:val="00177865"/>
    <w:rsid w:val="00180098"/>
    <w:rsid w:val="001834A2"/>
    <w:rsid w:val="00184303"/>
    <w:rsid w:val="00184EE9"/>
    <w:rsid w:val="00185E6F"/>
    <w:rsid w:val="001879E7"/>
    <w:rsid w:val="00190095"/>
    <w:rsid w:val="00190D36"/>
    <w:rsid w:val="00190F63"/>
    <w:rsid w:val="00191CF5"/>
    <w:rsid w:val="00191D4F"/>
    <w:rsid w:val="0019347B"/>
    <w:rsid w:val="00194800"/>
    <w:rsid w:val="00194A77"/>
    <w:rsid w:val="00195517"/>
    <w:rsid w:val="00195B7A"/>
    <w:rsid w:val="0019611D"/>
    <w:rsid w:val="001A0966"/>
    <w:rsid w:val="001A19FD"/>
    <w:rsid w:val="001A31E6"/>
    <w:rsid w:val="001A3E86"/>
    <w:rsid w:val="001A47E4"/>
    <w:rsid w:val="001A76DD"/>
    <w:rsid w:val="001B1506"/>
    <w:rsid w:val="001B2119"/>
    <w:rsid w:val="001B2ACE"/>
    <w:rsid w:val="001B39C4"/>
    <w:rsid w:val="001B4064"/>
    <w:rsid w:val="001B6DFC"/>
    <w:rsid w:val="001B7033"/>
    <w:rsid w:val="001C06FF"/>
    <w:rsid w:val="001C0ABA"/>
    <w:rsid w:val="001C1198"/>
    <w:rsid w:val="001C1F9A"/>
    <w:rsid w:val="001C347B"/>
    <w:rsid w:val="001C4440"/>
    <w:rsid w:val="001C48E1"/>
    <w:rsid w:val="001C563C"/>
    <w:rsid w:val="001C56A6"/>
    <w:rsid w:val="001C72E1"/>
    <w:rsid w:val="001D0CDA"/>
    <w:rsid w:val="001D0D47"/>
    <w:rsid w:val="001D0F69"/>
    <w:rsid w:val="001D1182"/>
    <w:rsid w:val="001D123E"/>
    <w:rsid w:val="001D1DBD"/>
    <w:rsid w:val="001D2600"/>
    <w:rsid w:val="001D48DA"/>
    <w:rsid w:val="001D49E8"/>
    <w:rsid w:val="001D55D7"/>
    <w:rsid w:val="001D5D8A"/>
    <w:rsid w:val="001D6299"/>
    <w:rsid w:val="001D6D57"/>
    <w:rsid w:val="001D7CA1"/>
    <w:rsid w:val="001E02DE"/>
    <w:rsid w:val="001E0AFD"/>
    <w:rsid w:val="001E3B05"/>
    <w:rsid w:val="001E55EA"/>
    <w:rsid w:val="001E6D98"/>
    <w:rsid w:val="001E7B5C"/>
    <w:rsid w:val="001F0CAC"/>
    <w:rsid w:val="001F0FFC"/>
    <w:rsid w:val="001F292A"/>
    <w:rsid w:val="001F405B"/>
    <w:rsid w:val="001F490D"/>
    <w:rsid w:val="001F6048"/>
    <w:rsid w:val="001F60BF"/>
    <w:rsid w:val="001F624F"/>
    <w:rsid w:val="001F7722"/>
    <w:rsid w:val="0020012B"/>
    <w:rsid w:val="0020117F"/>
    <w:rsid w:val="0020274D"/>
    <w:rsid w:val="002037F2"/>
    <w:rsid w:val="00204719"/>
    <w:rsid w:val="00204B4E"/>
    <w:rsid w:val="00204CE0"/>
    <w:rsid w:val="002056F5"/>
    <w:rsid w:val="00205EE5"/>
    <w:rsid w:val="0020756E"/>
    <w:rsid w:val="00207A95"/>
    <w:rsid w:val="002114D7"/>
    <w:rsid w:val="002123C4"/>
    <w:rsid w:val="00212C5C"/>
    <w:rsid w:val="0021326F"/>
    <w:rsid w:val="002139BE"/>
    <w:rsid w:val="002143C4"/>
    <w:rsid w:val="00216018"/>
    <w:rsid w:val="00216391"/>
    <w:rsid w:val="00216952"/>
    <w:rsid w:val="00216BF7"/>
    <w:rsid w:val="00216C5E"/>
    <w:rsid w:val="0021777E"/>
    <w:rsid w:val="002210FF"/>
    <w:rsid w:val="0022385F"/>
    <w:rsid w:val="00223B06"/>
    <w:rsid w:val="002242F2"/>
    <w:rsid w:val="00224510"/>
    <w:rsid w:val="00224FF2"/>
    <w:rsid w:val="00226C09"/>
    <w:rsid w:val="00226F69"/>
    <w:rsid w:val="00227271"/>
    <w:rsid w:val="00230468"/>
    <w:rsid w:val="002317D5"/>
    <w:rsid w:val="002319AF"/>
    <w:rsid w:val="00232065"/>
    <w:rsid w:val="002333BE"/>
    <w:rsid w:val="00233675"/>
    <w:rsid w:val="002350DD"/>
    <w:rsid w:val="00236614"/>
    <w:rsid w:val="002366B5"/>
    <w:rsid w:val="00237304"/>
    <w:rsid w:val="002407EA"/>
    <w:rsid w:val="002417B7"/>
    <w:rsid w:val="00242A8F"/>
    <w:rsid w:val="002449A2"/>
    <w:rsid w:val="00245955"/>
    <w:rsid w:val="0024602C"/>
    <w:rsid w:val="002460AA"/>
    <w:rsid w:val="00246616"/>
    <w:rsid w:val="00250F39"/>
    <w:rsid w:val="00251CE7"/>
    <w:rsid w:val="00251FB7"/>
    <w:rsid w:val="002547C1"/>
    <w:rsid w:val="00254800"/>
    <w:rsid w:val="00254DEE"/>
    <w:rsid w:val="002555AD"/>
    <w:rsid w:val="00256432"/>
    <w:rsid w:val="00260A4F"/>
    <w:rsid w:val="002633B4"/>
    <w:rsid w:val="00263A13"/>
    <w:rsid w:val="00264CD6"/>
    <w:rsid w:val="00265395"/>
    <w:rsid w:val="0026544E"/>
    <w:rsid w:val="00265910"/>
    <w:rsid w:val="002668AB"/>
    <w:rsid w:val="0026718D"/>
    <w:rsid w:val="00267E47"/>
    <w:rsid w:val="00270686"/>
    <w:rsid w:val="002712EF"/>
    <w:rsid w:val="00271D6D"/>
    <w:rsid w:val="0027267E"/>
    <w:rsid w:val="002734E9"/>
    <w:rsid w:val="00274DA7"/>
    <w:rsid w:val="00275437"/>
    <w:rsid w:val="00275616"/>
    <w:rsid w:val="0027645F"/>
    <w:rsid w:val="00276A20"/>
    <w:rsid w:val="002770CB"/>
    <w:rsid w:val="00277880"/>
    <w:rsid w:val="00277DAE"/>
    <w:rsid w:val="00277FC2"/>
    <w:rsid w:val="00281EF3"/>
    <w:rsid w:val="002820AE"/>
    <w:rsid w:val="00282C71"/>
    <w:rsid w:val="00282DEA"/>
    <w:rsid w:val="00284FEC"/>
    <w:rsid w:val="00285854"/>
    <w:rsid w:val="00286C5F"/>
    <w:rsid w:val="00286F03"/>
    <w:rsid w:val="00287F36"/>
    <w:rsid w:val="00290741"/>
    <w:rsid w:val="002911EB"/>
    <w:rsid w:val="00293829"/>
    <w:rsid w:val="00293924"/>
    <w:rsid w:val="00293E3D"/>
    <w:rsid w:val="00295ADE"/>
    <w:rsid w:val="002969E0"/>
    <w:rsid w:val="00297D90"/>
    <w:rsid w:val="002A001F"/>
    <w:rsid w:val="002A01F2"/>
    <w:rsid w:val="002A1340"/>
    <w:rsid w:val="002A1AAE"/>
    <w:rsid w:val="002A3246"/>
    <w:rsid w:val="002A4E86"/>
    <w:rsid w:val="002A6C30"/>
    <w:rsid w:val="002A792F"/>
    <w:rsid w:val="002B07C4"/>
    <w:rsid w:val="002B0854"/>
    <w:rsid w:val="002B2339"/>
    <w:rsid w:val="002B2501"/>
    <w:rsid w:val="002B30A6"/>
    <w:rsid w:val="002B3148"/>
    <w:rsid w:val="002B38D3"/>
    <w:rsid w:val="002B3B3C"/>
    <w:rsid w:val="002B4FCA"/>
    <w:rsid w:val="002B50EC"/>
    <w:rsid w:val="002B5A2B"/>
    <w:rsid w:val="002B5E39"/>
    <w:rsid w:val="002B78B9"/>
    <w:rsid w:val="002C27A8"/>
    <w:rsid w:val="002C35C7"/>
    <w:rsid w:val="002C4360"/>
    <w:rsid w:val="002D05F9"/>
    <w:rsid w:val="002D1392"/>
    <w:rsid w:val="002D1738"/>
    <w:rsid w:val="002D1931"/>
    <w:rsid w:val="002D19BF"/>
    <w:rsid w:val="002D1B8A"/>
    <w:rsid w:val="002D4196"/>
    <w:rsid w:val="002D4869"/>
    <w:rsid w:val="002D494F"/>
    <w:rsid w:val="002D4A33"/>
    <w:rsid w:val="002D620D"/>
    <w:rsid w:val="002E0422"/>
    <w:rsid w:val="002E0524"/>
    <w:rsid w:val="002E06B6"/>
    <w:rsid w:val="002E0940"/>
    <w:rsid w:val="002E269D"/>
    <w:rsid w:val="002E2C8B"/>
    <w:rsid w:val="002E3AFE"/>
    <w:rsid w:val="002E4A68"/>
    <w:rsid w:val="002E5427"/>
    <w:rsid w:val="002E56FD"/>
    <w:rsid w:val="002E65B5"/>
    <w:rsid w:val="002E68EC"/>
    <w:rsid w:val="002E782C"/>
    <w:rsid w:val="002F0D78"/>
    <w:rsid w:val="002F16AC"/>
    <w:rsid w:val="002F18D4"/>
    <w:rsid w:val="002F279D"/>
    <w:rsid w:val="002F3E1F"/>
    <w:rsid w:val="002F56C6"/>
    <w:rsid w:val="002F56F1"/>
    <w:rsid w:val="002F651E"/>
    <w:rsid w:val="002F697F"/>
    <w:rsid w:val="002F7553"/>
    <w:rsid w:val="002F7D5E"/>
    <w:rsid w:val="003007AA"/>
    <w:rsid w:val="00301185"/>
    <w:rsid w:val="0030133A"/>
    <w:rsid w:val="00302178"/>
    <w:rsid w:val="0030229E"/>
    <w:rsid w:val="003027B0"/>
    <w:rsid w:val="00302A2D"/>
    <w:rsid w:val="0030387D"/>
    <w:rsid w:val="00304004"/>
    <w:rsid w:val="0030468A"/>
    <w:rsid w:val="003058E0"/>
    <w:rsid w:val="00306097"/>
    <w:rsid w:val="00306FA8"/>
    <w:rsid w:val="0030786C"/>
    <w:rsid w:val="00311F7D"/>
    <w:rsid w:val="003134D2"/>
    <w:rsid w:val="00315820"/>
    <w:rsid w:val="00320356"/>
    <w:rsid w:val="00320A48"/>
    <w:rsid w:val="003216E2"/>
    <w:rsid w:val="003227C6"/>
    <w:rsid w:val="0032486A"/>
    <w:rsid w:val="00324956"/>
    <w:rsid w:val="003251E0"/>
    <w:rsid w:val="00327F0D"/>
    <w:rsid w:val="00332046"/>
    <w:rsid w:val="0033301A"/>
    <w:rsid w:val="00333E3A"/>
    <w:rsid w:val="003349D2"/>
    <w:rsid w:val="00335053"/>
    <w:rsid w:val="00335FB8"/>
    <w:rsid w:val="00336249"/>
    <w:rsid w:val="003367FD"/>
    <w:rsid w:val="00337D9B"/>
    <w:rsid w:val="00340FD0"/>
    <w:rsid w:val="00341113"/>
    <w:rsid w:val="00343761"/>
    <w:rsid w:val="003449DC"/>
    <w:rsid w:val="0034527E"/>
    <w:rsid w:val="003459AA"/>
    <w:rsid w:val="00346A1B"/>
    <w:rsid w:val="00351CB1"/>
    <w:rsid w:val="003520B7"/>
    <w:rsid w:val="00352631"/>
    <w:rsid w:val="00354373"/>
    <w:rsid w:val="00354494"/>
    <w:rsid w:val="00354EE0"/>
    <w:rsid w:val="00360275"/>
    <w:rsid w:val="0036132D"/>
    <w:rsid w:val="00363140"/>
    <w:rsid w:val="00363723"/>
    <w:rsid w:val="00363BB4"/>
    <w:rsid w:val="00364B08"/>
    <w:rsid w:val="00365C11"/>
    <w:rsid w:val="00370F0D"/>
    <w:rsid w:val="00371950"/>
    <w:rsid w:val="003723A5"/>
    <w:rsid w:val="00374680"/>
    <w:rsid w:val="003752C7"/>
    <w:rsid w:val="00376F82"/>
    <w:rsid w:val="00377404"/>
    <w:rsid w:val="003776D6"/>
    <w:rsid w:val="00377738"/>
    <w:rsid w:val="003806B4"/>
    <w:rsid w:val="00380A8A"/>
    <w:rsid w:val="00380F2C"/>
    <w:rsid w:val="003822DD"/>
    <w:rsid w:val="003826C6"/>
    <w:rsid w:val="00383689"/>
    <w:rsid w:val="00383BDD"/>
    <w:rsid w:val="00384374"/>
    <w:rsid w:val="00384915"/>
    <w:rsid w:val="00384A04"/>
    <w:rsid w:val="00384CA1"/>
    <w:rsid w:val="0038507E"/>
    <w:rsid w:val="00385388"/>
    <w:rsid w:val="003865C3"/>
    <w:rsid w:val="00386FDD"/>
    <w:rsid w:val="003871E0"/>
    <w:rsid w:val="003875F7"/>
    <w:rsid w:val="003906A1"/>
    <w:rsid w:val="00390A38"/>
    <w:rsid w:val="00392769"/>
    <w:rsid w:val="00394C19"/>
    <w:rsid w:val="00394FD3"/>
    <w:rsid w:val="003954C8"/>
    <w:rsid w:val="0039596D"/>
    <w:rsid w:val="003962DA"/>
    <w:rsid w:val="003967E9"/>
    <w:rsid w:val="003971F4"/>
    <w:rsid w:val="003A003E"/>
    <w:rsid w:val="003A0A74"/>
    <w:rsid w:val="003A173C"/>
    <w:rsid w:val="003A2393"/>
    <w:rsid w:val="003A2642"/>
    <w:rsid w:val="003A4125"/>
    <w:rsid w:val="003A414E"/>
    <w:rsid w:val="003A5FC0"/>
    <w:rsid w:val="003A60F2"/>
    <w:rsid w:val="003A6C48"/>
    <w:rsid w:val="003A7950"/>
    <w:rsid w:val="003A7A93"/>
    <w:rsid w:val="003B0758"/>
    <w:rsid w:val="003B099F"/>
    <w:rsid w:val="003B0D41"/>
    <w:rsid w:val="003B1683"/>
    <w:rsid w:val="003B1AFD"/>
    <w:rsid w:val="003B287F"/>
    <w:rsid w:val="003B30E7"/>
    <w:rsid w:val="003B37E7"/>
    <w:rsid w:val="003B48DE"/>
    <w:rsid w:val="003B5E9F"/>
    <w:rsid w:val="003B773F"/>
    <w:rsid w:val="003B79BC"/>
    <w:rsid w:val="003C08EA"/>
    <w:rsid w:val="003C11D9"/>
    <w:rsid w:val="003C145A"/>
    <w:rsid w:val="003C15F8"/>
    <w:rsid w:val="003C3B6B"/>
    <w:rsid w:val="003C3DC1"/>
    <w:rsid w:val="003C4081"/>
    <w:rsid w:val="003C4BCE"/>
    <w:rsid w:val="003C530F"/>
    <w:rsid w:val="003C5CD8"/>
    <w:rsid w:val="003C65DD"/>
    <w:rsid w:val="003C6DFD"/>
    <w:rsid w:val="003D06A9"/>
    <w:rsid w:val="003D2C3C"/>
    <w:rsid w:val="003D3065"/>
    <w:rsid w:val="003D38E3"/>
    <w:rsid w:val="003D395B"/>
    <w:rsid w:val="003D420F"/>
    <w:rsid w:val="003D4BCC"/>
    <w:rsid w:val="003D4D36"/>
    <w:rsid w:val="003D667E"/>
    <w:rsid w:val="003E189F"/>
    <w:rsid w:val="003E3C3E"/>
    <w:rsid w:val="003E4F27"/>
    <w:rsid w:val="003E513A"/>
    <w:rsid w:val="003E53AA"/>
    <w:rsid w:val="003E5D42"/>
    <w:rsid w:val="003E6700"/>
    <w:rsid w:val="003F0CE8"/>
    <w:rsid w:val="003F2833"/>
    <w:rsid w:val="003F4248"/>
    <w:rsid w:val="003F42C7"/>
    <w:rsid w:val="003F4CB9"/>
    <w:rsid w:val="003F4E02"/>
    <w:rsid w:val="003F6B8B"/>
    <w:rsid w:val="00400338"/>
    <w:rsid w:val="00400BAD"/>
    <w:rsid w:val="004021B4"/>
    <w:rsid w:val="00402AF1"/>
    <w:rsid w:val="00403A5A"/>
    <w:rsid w:val="00404583"/>
    <w:rsid w:val="00406BF3"/>
    <w:rsid w:val="0040719F"/>
    <w:rsid w:val="0040773E"/>
    <w:rsid w:val="00407DD4"/>
    <w:rsid w:val="004134DF"/>
    <w:rsid w:val="004153DD"/>
    <w:rsid w:val="00417009"/>
    <w:rsid w:val="00417D1F"/>
    <w:rsid w:val="0042091F"/>
    <w:rsid w:val="00420DE9"/>
    <w:rsid w:val="00421048"/>
    <w:rsid w:val="00422549"/>
    <w:rsid w:val="00422567"/>
    <w:rsid w:val="00422C8C"/>
    <w:rsid w:val="00423F85"/>
    <w:rsid w:val="004246EE"/>
    <w:rsid w:val="00425007"/>
    <w:rsid w:val="00425618"/>
    <w:rsid w:val="00425804"/>
    <w:rsid w:val="00425EF2"/>
    <w:rsid w:val="0042607A"/>
    <w:rsid w:val="00427C61"/>
    <w:rsid w:val="00427E34"/>
    <w:rsid w:val="004306D3"/>
    <w:rsid w:val="00431440"/>
    <w:rsid w:val="00433E13"/>
    <w:rsid w:val="00434438"/>
    <w:rsid w:val="00434E87"/>
    <w:rsid w:val="00436588"/>
    <w:rsid w:val="00436AFE"/>
    <w:rsid w:val="00437C73"/>
    <w:rsid w:val="0044015E"/>
    <w:rsid w:val="00440A01"/>
    <w:rsid w:val="00440F4C"/>
    <w:rsid w:val="0044220B"/>
    <w:rsid w:val="00442AF6"/>
    <w:rsid w:val="00443023"/>
    <w:rsid w:val="00443C4A"/>
    <w:rsid w:val="00443CDB"/>
    <w:rsid w:val="00444F8D"/>
    <w:rsid w:val="00445876"/>
    <w:rsid w:val="00446318"/>
    <w:rsid w:val="00446F4A"/>
    <w:rsid w:val="0044700F"/>
    <w:rsid w:val="00447B78"/>
    <w:rsid w:val="0045315A"/>
    <w:rsid w:val="0045324F"/>
    <w:rsid w:val="0045400A"/>
    <w:rsid w:val="00455F64"/>
    <w:rsid w:val="004570C7"/>
    <w:rsid w:val="004576E6"/>
    <w:rsid w:val="00460928"/>
    <w:rsid w:val="00461AC5"/>
    <w:rsid w:val="00462052"/>
    <w:rsid w:val="0046428D"/>
    <w:rsid w:val="00464584"/>
    <w:rsid w:val="00464EC1"/>
    <w:rsid w:val="004657D6"/>
    <w:rsid w:val="004664F8"/>
    <w:rsid w:val="004671E4"/>
    <w:rsid w:val="004704C6"/>
    <w:rsid w:val="00470F72"/>
    <w:rsid w:val="00472AE0"/>
    <w:rsid w:val="00474653"/>
    <w:rsid w:val="00476160"/>
    <w:rsid w:val="00476D12"/>
    <w:rsid w:val="00477056"/>
    <w:rsid w:val="00481950"/>
    <w:rsid w:val="00482DC7"/>
    <w:rsid w:val="004853EB"/>
    <w:rsid w:val="00485588"/>
    <w:rsid w:val="004855E8"/>
    <w:rsid w:val="00486234"/>
    <w:rsid w:val="0048702E"/>
    <w:rsid w:val="0048769E"/>
    <w:rsid w:val="00490F02"/>
    <w:rsid w:val="00491B29"/>
    <w:rsid w:val="00492729"/>
    <w:rsid w:val="00494FFE"/>
    <w:rsid w:val="00495FCD"/>
    <w:rsid w:val="0049618C"/>
    <w:rsid w:val="00497521"/>
    <w:rsid w:val="004977CA"/>
    <w:rsid w:val="00497A01"/>
    <w:rsid w:val="004A03D8"/>
    <w:rsid w:val="004A1202"/>
    <w:rsid w:val="004A1E44"/>
    <w:rsid w:val="004A3957"/>
    <w:rsid w:val="004A457B"/>
    <w:rsid w:val="004A5378"/>
    <w:rsid w:val="004A6A4A"/>
    <w:rsid w:val="004A70C2"/>
    <w:rsid w:val="004A79D4"/>
    <w:rsid w:val="004A7B32"/>
    <w:rsid w:val="004B0517"/>
    <w:rsid w:val="004B0D91"/>
    <w:rsid w:val="004B16AC"/>
    <w:rsid w:val="004B2D6F"/>
    <w:rsid w:val="004B3EF4"/>
    <w:rsid w:val="004B4463"/>
    <w:rsid w:val="004B523B"/>
    <w:rsid w:val="004B5FA6"/>
    <w:rsid w:val="004B63CC"/>
    <w:rsid w:val="004B6DE7"/>
    <w:rsid w:val="004C08D0"/>
    <w:rsid w:val="004C312A"/>
    <w:rsid w:val="004C322B"/>
    <w:rsid w:val="004C4BF6"/>
    <w:rsid w:val="004C4F2E"/>
    <w:rsid w:val="004C4F99"/>
    <w:rsid w:val="004C52C5"/>
    <w:rsid w:val="004C5F4A"/>
    <w:rsid w:val="004C70FD"/>
    <w:rsid w:val="004D0367"/>
    <w:rsid w:val="004D10F1"/>
    <w:rsid w:val="004D1D7D"/>
    <w:rsid w:val="004D215E"/>
    <w:rsid w:val="004D502E"/>
    <w:rsid w:val="004D577F"/>
    <w:rsid w:val="004D6890"/>
    <w:rsid w:val="004D68F1"/>
    <w:rsid w:val="004D7779"/>
    <w:rsid w:val="004D79C3"/>
    <w:rsid w:val="004E027F"/>
    <w:rsid w:val="004E115B"/>
    <w:rsid w:val="004E1206"/>
    <w:rsid w:val="004E2297"/>
    <w:rsid w:val="004E2E32"/>
    <w:rsid w:val="004E3101"/>
    <w:rsid w:val="004E325C"/>
    <w:rsid w:val="004E3508"/>
    <w:rsid w:val="004E4C17"/>
    <w:rsid w:val="004E58E7"/>
    <w:rsid w:val="004E599A"/>
    <w:rsid w:val="004E5D3E"/>
    <w:rsid w:val="004E660A"/>
    <w:rsid w:val="004E73DA"/>
    <w:rsid w:val="004E74BB"/>
    <w:rsid w:val="004F0E3F"/>
    <w:rsid w:val="004F1919"/>
    <w:rsid w:val="004F1F92"/>
    <w:rsid w:val="004F2415"/>
    <w:rsid w:val="004F3A80"/>
    <w:rsid w:val="004F3BC7"/>
    <w:rsid w:val="004F3FDE"/>
    <w:rsid w:val="004F665B"/>
    <w:rsid w:val="004F7267"/>
    <w:rsid w:val="0050089E"/>
    <w:rsid w:val="00501125"/>
    <w:rsid w:val="00502C81"/>
    <w:rsid w:val="00502EC1"/>
    <w:rsid w:val="00503B39"/>
    <w:rsid w:val="00506794"/>
    <w:rsid w:val="0050728A"/>
    <w:rsid w:val="00507F69"/>
    <w:rsid w:val="00511AF9"/>
    <w:rsid w:val="0051351A"/>
    <w:rsid w:val="0051624F"/>
    <w:rsid w:val="005169F1"/>
    <w:rsid w:val="005170AC"/>
    <w:rsid w:val="00517176"/>
    <w:rsid w:val="00517462"/>
    <w:rsid w:val="00517AA5"/>
    <w:rsid w:val="00517FDE"/>
    <w:rsid w:val="00523885"/>
    <w:rsid w:val="00523EAF"/>
    <w:rsid w:val="005246C8"/>
    <w:rsid w:val="00524990"/>
    <w:rsid w:val="00525437"/>
    <w:rsid w:val="00525D1C"/>
    <w:rsid w:val="005274D8"/>
    <w:rsid w:val="00530147"/>
    <w:rsid w:val="0053133D"/>
    <w:rsid w:val="005319B0"/>
    <w:rsid w:val="0053260A"/>
    <w:rsid w:val="00532A65"/>
    <w:rsid w:val="00532CB4"/>
    <w:rsid w:val="005334E4"/>
    <w:rsid w:val="0053568C"/>
    <w:rsid w:val="0053570F"/>
    <w:rsid w:val="00536E12"/>
    <w:rsid w:val="005402DC"/>
    <w:rsid w:val="00540694"/>
    <w:rsid w:val="00540785"/>
    <w:rsid w:val="00540E6D"/>
    <w:rsid w:val="0054372E"/>
    <w:rsid w:val="00544042"/>
    <w:rsid w:val="00544257"/>
    <w:rsid w:val="00544265"/>
    <w:rsid w:val="00544510"/>
    <w:rsid w:val="00544DC7"/>
    <w:rsid w:val="00544DCE"/>
    <w:rsid w:val="00545470"/>
    <w:rsid w:val="00545D11"/>
    <w:rsid w:val="005470AE"/>
    <w:rsid w:val="00547A70"/>
    <w:rsid w:val="00552CFB"/>
    <w:rsid w:val="00552F89"/>
    <w:rsid w:val="00555594"/>
    <w:rsid w:val="005570B8"/>
    <w:rsid w:val="0056107B"/>
    <w:rsid w:val="005614DC"/>
    <w:rsid w:val="00563E88"/>
    <w:rsid w:val="00564B82"/>
    <w:rsid w:val="00565912"/>
    <w:rsid w:val="005659E6"/>
    <w:rsid w:val="005700FA"/>
    <w:rsid w:val="0057029B"/>
    <w:rsid w:val="00571052"/>
    <w:rsid w:val="00573D49"/>
    <w:rsid w:val="0057538B"/>
    <w:rsid w:val="00575DB0"/>
    <w:rsid w:val="005777FB"/>
    <w:rsid w:val="005810F1"/>
    <w:rsid w:val="00581119"/>
    <w:rsid w:val="00581A69"/>
    <w:rsid w:val="0058203F"/>
    <w:rsid w:val="005822A9"/>
    <w:rsid w:val="0058257D"/>
    <w:rsid w:val="005833A1"/>
    <w:rsid w:val="00583C9E"/>
    <w:rsid w:val="0058410D"/>
    <w:rsid w:val="00585042"/>
    <w:rsid w:val="00585B63"/>
    <w:rsid w:val="0058672C"/>
    <w:rsid w:val="005870F4"/>
    <w:rsid w:val="005901F6"/>
    <w:rsid w:val="00590695"/>
    <w:rsid w:val="00590C43"/>
    <w:rsid w:val="00590F45"/>
    <w:rsid w:val="0059128B"/>
    <w:rsid w:val="00593265"/>
    <w:rsid w:val="00593435"/>
    <w:rsid w:val="00593E38"/>
    <w:rsid w:val="00594248"/>
    <w:rsid w:val="00595D2C"/>
    <w:rsid w:val="005960D2"/>
    <w:rsid w:val="005A0EE2"/>
    <w:rsid w:val="005A188C"/>
    <w:rsid w:val="005A1B7F"/>
    <w:rsid w:val="005A20E5"/>
    <w:rsid w:val="005A2DC4"/>
    <w:rsid w:val="005A384A"/>
    <w:rsid w:val="005A3E4E"/>
    <w:rsid w:val="005A53E6"/>
    <w:rsid w:val="005A5A6A"/>
    <w:rsid w:val="005A6EF8"/>
    <w:rsid w:val="005A700B"/>
    <w:rsid w:val="005B04D0"/>
    <w:rsid w:val="005B0AAE"/>
    <w:rsid w:val="005B0CEB"/>
    <w:rsid w:val="005B10E0"/>
    <w:rsid w:val="005B26FF"/>
    <w:rsid w:val="005B2CA5"/>
    <w:rsid w:val="005B45F2"/>
    <w:rsid w:val="005B4C9D"/>
    <w:rsid w:val="005B55D2"/>
    <w:rsid w:val="005B55D8"/>
    <w:rsid w:val="005B66C0"/>
    <w:rsid w:val="005C0989"/>
    <w:rsid w:val="005C1A99"/>
    <w:rsid w:val="005C238D"/>
    <w:rsid w:val="005C2756"/>
    <w:rsid w:val="005C335D"/>
    <w:rsid w:val="005C57A5"/>
    <w:rsid w:val="005C6237"/>
    <w:rsid w:val="005D078C"/>
    <w:rsid w:val="005D0CCD"/>
    <w:rsid w:val="005D1845"/>
    <w:rsid w:val="005D2011"/>
    <w:rsid w:val="005D2858"/>
    <w:rsid w:val="005D2B79"/>
    <w:rsid w:val="005D33A6"/>
    <w:rsid w:val="005D4DA2"/>
    <w:rsid w:val="005D620D"/>
    <w:rsid w:val="005D6C02"/>
    <w:rsid w:val="005E0872"/>
    <w:rsid w:val="005E1425"/>
    <w:rsid w:val="005E1DF8"/>
    <w:rsid w:val="005E3238"/>
    <w:rsid w:val="005E523B"/>
    <w:rsid w:val="005E5BC3"/>
    <w:rsid w:val="005E5E04"/>
    <w:rsid w:val="005E6346"/>
    <w:rsid w:val="005E7345"/>
    <w:rsid w:val="005E7981"/>
    <w:rsid w:val="005F01A8"/>
    <w:rsid w:val="005F0801"/>
    <w:rsid w:val="005F1F01"/>
    <w:rsid w:val="005F36A2"/>
    <w:rsid w:val="005F3E70"/>
    <w:rsid w:val="005F4098"/>
    <w:rsid w:val="005F4DAA"/>
    <w:rsid w:val="005F7317"/>
    <w:rsid w:val="00603218"/>
    <w:rsid w:val="0060327C"/>
    <w:rsid w:val="0060516B"/>
    <w:rsid w:val="00605793"/>
    <w:rsid w:val="006059FE"/>
    <w:rsid w:val="00605EDA"/>
    <w:rsid w:val="00611853"/>
    <w:rsid w:val="00611A07"/>
    <w:rsid w:val="006123FE"/>
    <w:rsid w:val="00613786"/>
    <w:rsid w:val="006138F7"/>
    <w:rsid w:val="006146D0"/>
    <w:rsid w:val="00614CE8"/>
    <w:rsid w:val="00615145"/>
    <w:rsid w:val="006156B7"/>
    <w:rsid w:val="00622EAA"/>
    <w:rsid w:val="0062398F"/>
    <w:rsid w:val="00626081"/>
    <w:rsid w:val="00626A6A"/>
    <w:rsid w:val="00627104"/>
    <w:rsid w:val="006278CB"/>
    <w:rsid w:val="00631924"/>
    <w:rsid w:val="00631D4F"/>
    <w:rsid w:val="00632801"/>
    <w:rsid w:val="0063281C"/>
    <w:rsid w:val="00633212"/>
    <w:rsid w:val="006356D7"/>
    <w:rsid w:val="0063610A"/>
    <w:rsid w:val="00637803"/>
    <w:rsid w:val="00641AE1"/>
    <w:rsid w:val="0064244C"/>
    <w:rsid w:val="00642CF8"/>
    <w:rsid w:val="00643B92"/>
    <w:rsid w:val="00643CCC"/>
    <w:rsid w:val="006442EB"/>
    <w:rsid w:val="006465E1"/>
    <w:rsid w:val="00646EA1"/>
    <w:rsid w:val="0064715D"/>
    <w:rsid w:val="00651567"/>
    <w:rsid w:val="00651A83"/>
    <w:rsid w:val="00651D07"/>
    <w:rsid w:val="00656A73"/>
    <w:rsid w:val="00656DC9"/>
    <w:rsid w:val="0065784C"/>
    <w:rsid w:val="00657A1A"/>
    <w:rsid w:val="00657AD8"/>
    <w:rsid w:val="0066023A"/>
    <w:rsid w:val="00660C9E"/>
    <w:rsid w:val="00660F2E"/>
    <w:rsid w:val="0066119E"/>
    <w:rsid w:val="0066192A"/>
    <w:rsid w:val="0066232F"/>
    <w:rsid w:val="00665422"/>
    <w:rsid w:val="0066657B"/>
    <w:rsid w:val="0066668E"/>
    <w:rsid w:val="006666A3"/>
    <w:rsid w:val="00666CA2"/>
    <w:rsid w:val="0067065F"/>
    <w:rsid w:val="00671E33"/>
    <w:rsid w:val="0067309A"/>
    <w:rsid w:val="00674377"/>
    <w:rsid w:val="00674773"/>
    <w:rsid w:val="006751D0"/>
    <w:rsid w:val="006759AC"/>
    <w:rsid w:val="0067669B"/>
    <w:rsid w:val="00677C12"/>
    <w:rsid w:val="0068139E"/>
    <w:rsid w:val="00681C10"/>
    <w:rsid w:val="006839FF"/>
    <w:rsid w:val="006847A3"/>
    <w:rsid w:val="00686D0B"/>
    <w:rsid w:val="006872B0"/>
    <w:rsid w:val="00693A02"/>
    <w:rsid w:val="00693EB4"/>
    <w:rsid w:val="00694DD0"/>
    <w:rsid w:val="006958FF"/>
    <w:rsid w:val="00695FC5"/>
    <w:rsid w:val="0069702A"/>
    <w:rsid w:val="00697312"/>
    <w:rsid w:val="006A3F55"/>
    <w:rsid w:val="006A48EA"/>
    <w:rsid w:val="006A4BA2"/>
    <w:rsid w:val="006A5521"/>
    <w:rsid w:val="006A56AA"/>
    <w:rsid w:val="006A6632"/>
    <w:rsid w:val="006A7FBC"/>
    <w:rsid w:val="006B0CCD"/>
    <w:rsid w:val="006B24A9"/>
    <w:rsid w:val="006B271E"/>
    <w:rsid w:val="006B2A95"/>
    <w:rsid w:val="006B2AD5"/>
    <w:rsid w:val="006B2FA7"/>
    <w:rsid w:val="006B4F00"/>
    <w:rsid w:val="006B501F"/>
    <w:rsid w:val="006B59B5"/>
    <w:rsid w:val="006B5E65"/>
    <w:rsid w:val="006B78DC"/>
    <w:rsid w:val="006B7A1C"/>
    <w:rsid w:val="006C0AE7"/>
    <w:rsid w:val="006C1BB0"/>
    <w:rsid w:val="006C2C7C"/>
    <w:rsid w:val="006C4134"/>
    <w:rsid w:val="006C4BE5"/>
    <w:rsid w:val="006C5422"/>
    <w:rsid w:val="006C5E5B"/>
    <w:rsid w:val="006D1831"/>
    <w:rsid w:val="006D4A77"/>
    <w:rsid w:val="006E0A33"/>
    <w:rsid w:val="006E2081"/>
    <w:rsid w:val="006E43FD"/>
    <w:rsid w:val="006E518E"/>
    <w:rsid w:val="006E5CDF"/>
    <w:rsid w:val="006E7882"/>
    <w:rsid w:val="006F1A5C"/>
    <w:rsid w:val="006F1F17"/>
    <w:rsid w:val="006F20C2"/>
    <w:rsid w:val="006F320D"/>
    <w:rsid w:val="006F3922"/>
    <w:rsid w:val="006F41ED"/>
    <w:rsid w:val="006F5B6D"/>
    <w:rsid w:val="006F647F"/>
    <w:rsid w:val="006F6CC1"/>
    <w:rsid w:val="006F7054"/>
    <w:rsid w:val="006F7695"/>
    <w:rsid w:val="006F7EBF"/>
    <w:rsid w:val="0070098F"/>
    <w:rsid w:val="00700D81"/>
    <w:rsid w:val="00702008"/>
    <w:rsid w:val="00702D4A"/>
    <w:rsid w:val="0070334A"/>
    <w:rsid w:val="00704009"/>
    <w:rsid w:val="00704B87"/>
    <w:rsid w:val="00704E8E"/>
    <w:rsid w:val="00705404"/>
    <w:rsid w:val="007055A8"/>
    <w:rsid w:val="00706A65"/>
    <w:rsid w:val="00710CB7"/>
    <w:rsid w:val="0071163B"/>
    <w:rsid w:val="00714757"/>
    <w:rsid w:val="007152B9"/>
    <w:rsid w:val="00716028"/>
    <w:rsid w:val="007168EA"/>
    <w:rsid w:val="00717BB2"/>
    <w:rsid w:val="00720DF3"/>
    <w:rsid w:val="00720DF4"/>
    <w:rsid w:val="00722435"/>
    <w:rsid w:val="00722AB7"/>
    <w:rsid w:val="00722CDB"/>
    <w:rsid w:val="00723067"/>
    <w:rsid w:val="00727238"/>
    <w:rsid w:val="0073020A"/>
    <w:rsid w:val="00731BCC"/>
    <w:rsid w:val="007330D4"/>
    <w:rsid w:val="0073420D"/>
    <w:rsid w:val="00734681"/>
    <w:rsid w:val="00734801"/>
    <w:rsid w:val="00734E08"/>
    <w:rsid w:val="00735B67"/>
    <w:rsid w:val="00735EEC"/>
    <w:rsid w:val="00735F54"/>
    <w:rsid w:val="00736094"/>
    <w:rsid w:val="007364DE"/>
    <w:rsid w:val="007407B1"/>
    <w:rsid w:val="00740996"/>
    <w:rsid w:val="00740D54"/>
    <w:rsid w:val="007416C7"/>
    <w:rsid w:val="00741D2F"/>
    <w:rsid w:val="00741E22"/>
    <w:rsid w:val="00742B76"/>
    <w:rsid w:val="00743981"/>
    <w:rsid w:val="00743A74"/>
    <w:rsid w:val="0074490C"/>
    <w:rsid w:val="00746C31"/>
    <w:rsid w:val="00747098"/>
    <w:rsid w:val="00747C6E"/>
    <w:rsid w:val="00747D24"/>
    <w:rsid w:val="00751B14"/>
    <w:rsid w:val="007521D6"/>
    <w:rsid w:val="007522DA"/>
    <w:rsid w:val="007529AB"/>
    <w:rsid w:val="00752FC8"/>
    <w:rsid w:val="00753767"/>
    <w:rsid w:val="00753B0A"/>
    <w:rsid w:val="00753E5E"/>
    <w:rsid w:val="00754B45"/>
    <w:rsid w:val="00755CED"/>
    <w:rsid w:val="00756C70"/>
    <w:rsid w:val="0075792F"/>
    <w:rsid w:val="007600C9"/>
    <w:rsid w:val="00760EBC"/>
    <w:rsid w:val="007617CB"/>
    <w:rsid w:val="00761B0A"/>
    <w:rsid w:val="00761B85"/>
    <w:rsid w:val="00761F48"/>
    <w:rsid w:val="007625D1"/>
    <w:rsid w:val="0076280C"/>
    <w:rsid w:val="007631BF"/>
    <w:rsid w:val="00763E10"/>
    <w:rsid w:val="00764CC1"/>
    <w:rsid w:val="00766AB1"/>
    <w:rsid w:val="00766FA6"/>
    <w:rsid w:val="007670A0"/>
    <w:rsid w:val="00767CDF"/>
    <w:rsid w:val="00770890"/>
    <w:rsid w:val="0077153B"/>
    <w:rsid w:val="00772586"/>
    <w:rsid w:val="00772C67"/>
    <w:rsid w:val="00772E00"/>
    <w:rsid w:val="00772FBE"/>
    <w:rsid w:val="00773AA1"/>
    <w:rsid w:val="007744C8"/>
    <w:rsid w:val="0077486C"/>
    <w:rsid w:val="00774BB9"/>
    <w:rsid w:val="00780DE1"/>
    <w:rsid w:val="00780EA0"/>
    <w:rsid w:val="007820CB"/>
    <w:rsid w:val="00783381"/>
    <w:rsid w:val="007877C7"/>
    <w:rsid w:val="007918AD"/>
    <w:rsid w:val="00791966"/>
    <w:rsid w:val="00792B1A"/>
    <w:rsid w:val="0079659E"/>
    <w:rsid w:val="007965F4"/>
    <w:rsid w:val="00796CF4"/>
    <w:rsid w:val="00797289"/>
    <w:rsid w:val="007975B7"/>
    <w:rsid w:val="007A1053"/>
    <w:rsid w:val="007A12EE"/>
    <w:rsid w:val="007A3A0C"/>
    <w:rsid w:val="007A3E42"/>
    <w:rsid w:val="007A4327"/>
    <w:rsid w:val="007A4E7C"/>
    <w:rsid w:val="007A6DCF"/>
    <w:rsid w:val="007A71F7"/>
    <w:rsid w:val="007A7CE4"/>
    <w:rsid w:val="007B140E"/>
    <w:rsid w:val="007B152F"/>
    <w:rsid w:val="007B28A0"/>
    <w:rsid w:val="007B337F"/>
    <w:rsid w:val="007B3BDD"/>
    <w:rsid w:val="007B4E5E"/>
    <w:rsid w:val="007B5A3D"/>
    <w:rsid w:val="007B5D1B"/>
    <w:rsid w:val="007B6A73"/>
    <w:rsid w:val="007B791C"/>
    <w:rsid w:val="007C0FF8"/>
    <w:rsid w:val="007C1D87"/>
    <w:rsid w:val="007C1E2D"/>
    <w:rsid w:val="007C337F"/>
    <w:rsid w:val="007C3ACB"/>
    <w:rsid w:val="007C3FD3"/>
    <w:rsid w:val="007C488D"/>
    <w:rsid w:val="007C505D"/>
    <w:rsid w:val="007C6B8B"/>
    <w:rsid w:val="007D40E6"/>
    <w:rsid w:val="007D49FD"/>
    <w:rsid w:val="007D60BF"/>
    <w:rsid w:val="007D6DFE"/>
    <w:rsid w:val="007D72B5"/>
    <w:rsid w:val="007D7E3C"/>
    <w:rsid w:val="007E0DF1"/>
    <w:rsid w:val="007E0EAD"/>
    <w:rsid w:val="007E11AD"/>
    <w:rsid w:val="007E2683"/>
    <w:rsid w:val="007E401A"/>
    <w:rsid w:val="007E75C9"/>
    <w:rsid w:val="007F0277"/>
    <w:rsid w:val="007F1150"/>
    <w:rsid w:val="007F1E1F"/>
    <w:rsid w:val="007F20C5"/>
    <w:rsid w:val="007F2D6C"/>
    <w:rsid w:val="007F4FFB"/>
    <w:rsid w:val="007F5377"/>
    <w:rsid w:val="007F5DB2"/>
    <w:rsid w:val="007F605C"/>
    <w:rsid w:val="00800622"/>
    <w:rsid w:val="00801D93"/>
    <w:rsid w:val="008028FE"/>
    <w:rsid w:val="00802E1D"/>
    <w:rsid w:val="0080304F"/>
    <w:rsid w:val="0080442A"/>
    <w:rsid w:val="00805139"/>
    <w:rsid w:val="008051A1"/>
    <w:rsid w:val="00805DB5"/>
    <w:rsid w:val="00807509"/>
    <w:rsid w:val="00807860"/>
    <w:rsid w:val="00807C73"/>
    <w:rsid w:val="00810541"/>
    <w:rsid w:val="008113E1"/>
    <w:rsid w:val="0081453E"/>
    <w:rsid w:val="008150EB"/>
    <w:rsid w:val="00815797"/>
    <w:rsid w:val="0081683E"/>
    <w:rsid w:val="00816CF1"/>
    <w:rsid w:val="00817849"/>
    <w:rsid w:val="0082175C"/>
    <w:rsid w:val="0082184B"/>
    <w:rsid w:val="008218A4"/>
    <w:rsid w:val="00821A9C"/>
    <w:rsid w:val="0082498D"/>
    <w:rsid w:val="008258E8"/>
    <w:rsid w:val="00825DC6"/>
    <w:rsid w:val="00826B62"/>
    <w:rsid w:val="00826EBE"/>
    <w:rsid w:val="00827878"/>
    <w:rsid w:val="00830378"/>
    <w:rsid w:val="00830A0F"/>
    <w:rsid w:val="00831B77"/>
    <w:rsid w:val="00831BC5"/>
    <w:rsid w:val="00831DB2"/>
    <w:rsid w:val="0083269A"/>
    <w:rsid w:val="00833C2D"/>
    <w:rsid w:val="00833D3D"/>
    <w:rsid w:val="0083493B"/>
    <w:rsid w:val="00834AEE"/>
    <w:rsid w:val="00835122"/>
    <w:rsid w:val="008352D9"/>
    <w:rsid w:val="00835396"/>
    <w:rsid w:val="00835678"/>
    <w:rsid w:val="0083618B"/>
    <w:rsid w:val="0083680C"/>
    <w:rsid w:val="00836CF1"/>
    <w:rsid w:val="00837590"/>
    <w:rsid w:val="00837C05"/>
    <w:rsid w:val="00837DB3"/>
    <w:rsid w:val="0084030F"/>
    <w:rsid w:val="00841497"/>
    <w:rsid w:val="0084186F"/>
    <w:rsid w:val="008420E2"/>
    <w:rsid w:val="008425ED"/>
    <w:rsid w:val="008439AB"/>
    <w:rsid w:val="00843E58"/>
    <w:rsid w:val="00843E6E"/>
    <w:rsid w:val="00843FEE"/>
    <w:rsid w:val="008449F2"/>
    <w:rsid w:val="008462F7"/>
    <w:rsid w:val="008465CF"/>
    <w:rsid w:val="00846728"/>
    <w:rsid w:val="00846769"/>
    <w:rsid w:val="00847950"/>
    <w:rsid w:val="00847E81"/>
    <w:rsid w:val="008500D1"/>
    <w:rsid w:val="00851897"/>
    <w:rsid w:val="0085383D"/>
    <w:rsid w:val="0085410F"/>
    <w:rsid w:val="0085618D"/>
    <w:rsid w:val="00857E7A"/>
    <w:rsid w:val="00861A52"/>
    <w:rsid w:val="00861BAB"/>
    <w:rsid w:val="00862AD0"/>
    <w:rsid w:val="008634C6"/>
    <w:rsid w:val="00865A14"/>
    <w:rsid w:val="00865F9D"/>
    <w:rsid w:val="00866D05"/>
    <w:rsid w:val="00870B0A"/>
    <w:rsid w:val="00871273"/>
    <w:rsid w:val="0087127B"/>
    <w:rsid w:val="00871E85"/>
    <w:rsid w:val="00872782"/>
    <w:rsid w:val="00873BBB"/>
    <w:rsid w:val="008744C3"/>
    <w:rsid w:val="00876D09"/>
    <w:rsid w:val="00876E5E"/>
    <w:rsid w:val="00876EBE"/>
    <w:rsid w:val="00876FB4"/>
    <w:rsid w:val="0087709E"/>
    <w:rsid w:val="00880E43"/>
    <w:rsid w:val="008812E5"/>
    <w:rsid w:val="008817CF"/>
    <w:rsid w:val="008823BB"/>
    <w:rsid w:val="00883160"/>
    <w:rsid w:val="0088337F"/>
    <w:rsid w:val="00883398"/>
    <w:rsid w:val="008839EF"/>
    <w:rsid w:val="00885C7A"/>
    <w:rsid w:val="00887EB8"/>
    <w:rsid w:val="00891878"/>
    <w:rsid w:val="008920A3"/>
    <w:rsid w:val="00892523"/>
    <w:rsid w:val="008926F8"/>
    <w:rsid w:val="008926FC"/>
    <w:rsid w:val="0089374A"/>
    <w:rsid w:val="00894B87"/>
    <w:rsid w:val="00894BDB"/>
    <w:rsid w:val="00896096"/>
    <w:rsid w:val="00896D07"/>
    <w:rsid w:val="00897274"/>
    <w:rsid w:val="00897FDB"/>
    <w:rsid w:val="008A11EF"/>
    <w:rsid w:val="008A21E2"/>
    <w:rsid w:val="008A248B"/>
    <w:rsid w:val="008A25A9"/>
    <w:rsid w:val="008A5384"/>
    <w:rsid w:val="008A7755"/>
    <w:rsid w:val="008B17F2"/>
    <w:rsid w:val="008B1CCF"/>
    <w:rsid w:val="008B2D9A"/>
    <w:rsid w:val="008B3C2E"/>
    <w:rsid w:val="008B4681"/>
    <w:rsid w:val="008B4B3B"/>
    <w:rsid w:val="008B4E2A"/>
    <w:rsid w:val="008B5A13"/>
    <w:rsid w:val="008B61D7"/>
    <w:rsid w:val="008B6501"/>
    <w:rsid w:val="008C0903"/>
    <w:rsid w:val="008C1483"/>
    <w:rsid w:val="008C1968"/>
    <w:rsid w:val="008C19BC"/>
    <w:rsid w:val="008C1E34"/>
    <w:rsid w:val="008C4A11"/>
    <w:rsid w:val="008C5284"/>
    <w:rsid w:val="008C58C5"/>
    <w:rsid w:val="008C7EAA"/>
    <w:rsid w:val="008D067A"/>
    <w:rsid w:val="008D0EDF"/>
    <w:rsid w:val="008D1F96"/>
    <w:rsid w:val="008D2867"/>
    <w:rsid w:val="008D2E34"/>
    <w:rsid w:val="008D3D55"/>
    <w:rsid w:val="008D410F"/>
    <w:rsid w:val="008D4152"/>
    <w:rsid w:val="008D5EE0"/>
    <w:rsid w:val="008D6DBB"/>
    <w:rsid w:val="008D6E6A"/>
    <w:rsid w:val="008D72D4"/>
    <w:rsid w:val="008E0246"/>
    <w:rsid w:val="008E3799"/>
    <w:rsid w:val="008E4F29"/>
    <w:rsid w:val="008E6055"/>
    <w:rsid w:val="008E7A4A"/>
    <w:rsid w:val="008F0AF2"/>
    <w:rsid w:val="008F0B2F"/>
    <w:rsid w:val="008F3E07"/>
    <w:rsid w:val="008F53CC"/>
    <w:rsid w:val="008F61B9"/>
    <w:rsid w:val="008F649D"/>
    <w:rsid w:val="008F65C7"/>
    <w:rsid w:val="008F6FA2"/>
    <w:rsid w:val="008F72DF"/>
    <w:rsid w:val="00901714"/>
    <w:rsid w:val="00901B8C"/>
    <w:rsid w:val="00902A83"/>
    <w:rsid w:val="009040AD"/>
    <w:rsid w:val="00905E8A"/>
    <w:rsid w:val="00905FAD"/>
    <w:rsid w:val="009069E2"/>
    <w:rsid w:val="00907A40"/>
    <w:rsid w:val="00910836"/>
    <w:rsid w:val="009108AD"/>
    <w:rsid w:val="00913CAC"/>
    <w:rsid w:val="00913D4A"/>
    <w:rsid w:val="0091483C"/>
    <w:rsid w:val="00914AB4"/>
    <w:rsid w:val="009156AA"/>
    <w:rsid w:val="009173AF"/>
    <w:rsid w:val="00917E91"/>
    <w:rsid w:val="00920731"/>
    <w:rsid w:val="009217CB"/>
    <w:rsid w:val="00922DA0"/>
    <w:rsid w:val="00923004"/>
    <w:rsid w:val="009240CA"/>
    <w:rsid w:val="009265DD"/>
    <w:rsid w:val="00926CEA"/>
    <w:rsid w:val="00927369"/>
    <w:rsid w:val="00927754"/>
    <w:rsid w:val="00931929"/>
    <w:rsid w:val="00932458"/>
    <w:rsid w:val="00933479"/>
    <w:rsid w:val="00933706"/>
    <w:rsid w:val="00934B75"/>
    <w:rsid w:val="00934D54"/>
    <w:rsid w:val="00940E42"/>
    <w:rsid w:val="00941BE2"/>
    <w:rsid w:val="009424D8"/>
    <w:rsid w:val="009425DC"/>
    <w:rsid w:val="00943110"/>
    <w:rsid w:val="009434D1"/>
    <w:rsid w:val="009435C4"/>
    <w:rsid w:val="00944F53"/>
    <w:rsid w:val="00945210"/>
    <w:rsid w:val="00946795"/>
    <w:rsid w:val="00947F03"/>
    <w:rsid w:val="00950262"/>
    <w:rsid w:val="009512C2"/>
    <w:rsid w:val="00951424"/>
    <w:rsid w:val="00951E96"/>
    <w:rsid w:val="00953541"/>
    <w:rsid w:val="00953BE8"/>
    <w:rsid w:val="00954006"/>
    <w:rsid w:val="0095682D"/>
    <w:rsid w:val="00957170"/>
    <w:rsid w:val="009617D2"/>
    <w:rsid w:val="00961C55"/>
    <w:rsid w:val="00963199"/>
    <w:rsid w:val="009633DE"/>
    <w:rsid w:val="00964715"/>
    <w:rsid w:val="00964823"/>
    <w:rsid w:val="009660FF"/>
    <w:rsid w:val="009661FE"/>
    <w:rsid w:val="00966789"/>
    <w:rsid w:val="00967161"/>
    <w:rsid w:val="00967838"/>
    <w:rsid w:val="00970C3A"/>
    <w:rsid w:val="009711AD"/>
    <w:rsid w:val="009741D2"/>
    <w:rsid w:val="0097429D"/>
    <w:rsid w:val="00976D28"/>
    <w:rsid w:val="00980C6E"/>
    <w:rsid w:val="00981331"/>
    <w:rsid w:val="0098245D"/>
    <w:rsid w:val="00983752"/>
    <w:rsid w:val="009863F9"/>
    <w:rsid w:val="00986786"/>
    <w:rsid w:val="00986EC6"/>
    <w:rsid w:val="009902A8"/>
    <w:rsid w:val="009908C9"/>
    <w:rsid w:val="00992BAA"/>
    <w:rsid w:val="00992C25"/>
    <w:rsid w:val="009942DA"/>
    <w:rsid w:val="009949C9"/>
    <w:rsid w:val="00994FE1"/>
    <w:rsid w:val="00995B8C"/>
    <w:rsid w:val="00996F0D"/>
    <w:rsid w:val="009A07F3"/>
    <w:rsid w:val="009A2C49"/>
    <w:rsid w:val="009A3224"/>
    <w:rsid w:val="009A4224"/>
    <w:rsid w:val="009A4324"/>
    <w:rsid w:val="009B181E"/>
    <w:rsid w:val="009B265E"/>
    <w:rsid w:val="009B29E4"/>
    <w:rsid w:val="009B31A9"/>
    <w:rsid w:val="009B33AD"/>
    <w:rsid w:val="009B3AC1"/>
    <w:rsid w:val="009B5830"/>
    <w:rsid w:val="009C1F67"/>
    <w:rsid w:val="009C2122"/>
    <w:rsid w:val="009C239C"/>
    <w:rsid w:val="009C2D1C"/>
    <w:rsid w:val="009C3589"/>
    <w:rsid w:val="009C48C4"/>
    <w:rsid w:val="009C552D"/>
    <w:rsid w:val="009C55DE"/>
    <w:rsid w:val="009C59D3"/>
    <w:rsid w:val="009C5C86"/>
    <w:rsid w:val="009C70CD"/>
    <w:rsid w:val="009C77DA"/>
    <w:rsid w:val="009D0843"/>
    <w:rsid w:val="009D2517"/>
    <w:rsid w:val="009D27DC"/>
    <w:rsid w:val="009D391F"/>
    <w:rsid w:val="009D3D81"/>
    <w:rsid w:val="009D4507"/>
    <w:rsid w:val="009D46FB"/>
    <w:rsid w:val="009D4C4A"/>
    <w:rsid w:val="009D7562"/>
    <w:rsid w:val="009E09C8"/>
    <w:rsid w:val="009E1819"/>
    <w:rsid w:val="009E1E87"/>
    <w:rsid w:val="009E1EAE"/>
    <w:rsid w:val="009E2305"/>
    <w:rsid w:val="009E2BDE"/>
    <w:rsid w:val="009E3962"/>
    <w:rsid w:val="009E4466"/>
    <w:rsid w:val="009E4B8D"/>
    <w:rsid w:val="009E6365"/>
    <w:rsid w:val="009E63ED"/>
    <w:rsid w:val="009E642C"/>
    <w:rsid w:val="009E75BA"/>
    <w:rsid w:val="009F0A81"/>
    <w:rsid w:val="009F342E"/>
    <w:rsid w:val="009F3A0D"/>
    <w:rsid w:val="009F4EBC"/>
    <w:rsid w:val="009F5864"/>
    <w:rsid w:val="009F58DE"/>
    <w:rsid w:val="009F633D"/>
    <w:rsid w:val="009F78E9"/>
    <w:rsid w:val="00A00FA7"/>
    <w:rsid w:val="00A0131D"/>
    <w:rsid w:val="00A0203C"/>
    <w:rsid w:val="00A02427"/>
    <w:rsid w:val="00A02F49"/>
    <w:rsid w:val="00A049B8"/>
    <w:rsid w:val="00A07254"/>
    <w:rsid w:val="00A10554"/>
    <w:rsid w:val="00A1080E"/>
    <w:rsid w:val="00A12FD5"/>
    <w:rsid w:val="00A132C6"/>
    <w:rsid w:val="00A1340A"/>
    <w:rsid w:val="00A15267"/>
    <w:rsid w:val="00A15474"/>
    <w:rsid w:val="00A16928"/>
    <w:rsid w:val="00A177FF"/>
    <w:rsid w:val="00A20E53"/>
    <w:rsid w:val="00A22204"/>
    <w:rsid w:val="00A229D8"/>
    <w:rsid w:val="00A22F1F"/>
    <w:rsid w:val="00A22F83"/>
    <w:rsid w:val="00A230ED"/>
    <w:rsid w:val="00A24407"/>
    <w:rsid w:val="00A244AC"/>
    <w:rsid w:val="00A24E5A"/>
    <w:rsid w:val="00A2510C"/>
    <w:rsid w:val="00A257C4"/>
    <w:rsid w:val="00A30D3E"/>
    <w:rsid w:val="00A30E3D"/>
    <w:rsid w:val="00A3136D"/>
    <w:rsid w:val="00A3184A"/>
    <w:rsid w:val="00A32D72"/>
    <w:rsid w:val="00A33376"/>
    <w:rsid w:val="00A33C76"/>
    <w:rsid w:val="00A33EE6"/>
    <w:rsid w:val="00A34E15"/>
    <w:rsid w:val="00A35C55"/>
    <w:rsid w:val="00A36186"/>
    <w:rsid w:val="00A371A9"/>
    <w:rsid w:val="00A406BB"/>
    <w:rsid w:val="00A4164E"/>
    <w:rsid w:val="00A41AF7"/>
    <w:rsid w:val="00A4218A"/>
    <w:rsid w:val="00A42AAF"/>
    <w:rsid w:val="00A42F94"/>
    <w:rsid w:val="00A4354B"/>
    <w:rsid w:val="00A43990"/>
    <w:rsid w:val="00A443AC"/>
    <w:rsid w:val="00A452A4"/>
    <w:rsid w:val="00A45485"/>
    <w:rsid w:val="00A457BE"/>
    <w:rsid w:val="00A51879"/>
    <w:rsid w:val="00A53B0F"/>
    <w:rsid w:val="00A545CC"/>
    <w:rsid w:val="00A556DF"/>
    <w:rsid w:val="00A55D05"/>
    <w:rsid w:val="00A55D80"/>
    <w:rsid w:val="00A57ED7"/>
    <w:rsid w:val="00A60A43"/>
    <w:rsid w:val="00A61117"/>
    <w:rsid w:val="00A6171D"/>
    <w:rsid w:val="00A62532"/>
    <w:rsid w:val="00A6271A"/>
    <w:rsid w:val="00A6272D"/>
    <w:rsid w:val="00A6613D"/>
    <w:rsid w:val="00A66E96"/>
    <w:rsid w:val="00A67E58"/>
    <w:rsid w:val="00A70B31"/>
    <w:rsid w:val="00A70DC2"/>
    <w:rsid w:val="00A719F1"/>
    <w:rsid w:val="00A71F8F"/>
    <w:rsid w:val="00A72821"/>
    <w:rsid w:val="00A73CBA"/>
    <w:rsid w:val="00A73D45"/>
    <w:rsid w:val="00A73D61"/>
    <w:rsid w:val="00A74F8F"/>
    <w:rsid w:val="00A75098"/>
    <w:rsid w:val="00A75513"/>
    <w:rsid w:val="00A76D01"/>
    <w:rsid w:val="00A76E08"/>
    <w:rsid w:val="00A77074"/>
    <w:rsid w:val="00A77817"/>
    <w:rsid w:val="00A77B4C"/>
    <w:rsid w:val="00A8116B"/>
    <w:rsid w:val="00A814B8"/>
    <w:rsid w:val="00A845E1"/>
    <w:rsid w:val="00A84CEA"/>
    <w:rsid w:val="00A850AD"/>
    <w:rsid w:val="00A85C91"/>
    <w:rsid w:val="00A87989"/>
    <w:rsid w:val="00A90B24"/>
    <w:rsid w:val="00A911ED"/>
    <w:rsid w:val="00A92455"/>
    <w:rsid w:val="00A937F7"/>
    <w:rsid w:val="00A93B59"/>
    <w:rsid w:val="00A956FB"/>
    <w:rsid w:val="00A95EAB"/>
    <w:rsid w:val="00A96837"/>
    <w:rsid w:val="00A97D1C"/>
    <w:rsid w:val="00A97E7D"/>
    <w:rsid w:val="00AA00FC"/>
    <w:rsid w:val="00AA0632"/>
    <w:rsid w:val="00AA22AA"/>
    <w:rsid w:val="00AA24CE"/>
    <w:rsid w:val="00AA3A48"/>
    <w:rsid w:val="00AA3CF5"/>
    <w:rsid w:val="00AA432C"/>
    <w:rsid w:val="00AA5E7D"/>
    <w:rsid w:val="00AA65B7"/>
    <w:rsid w:val="00AA6E40"/>
    <w:rsid w:val="00AB0989"/>
    <w:rsid w:val="00AB0B0C"/>
    <w:rsid w:val="00AB1C03"/>
    <w:rsid w:val="00AB1FCF"/>
    <w:rsid w:val="00AB2D1B"/>
    <w:rsid w:val="00AB3F8B"/>
    <w:rsid w:val="00AB42AF"/>
    <w:rsid w:val="00AB6E4D"/>
    <w:rsid w:val="00AB7A0A"/>
    <w:rsid w:val="00AC0016"/>
    <w:rsid w:val="00AC69CE"/>
    <w:rsid w:val="00AC71AB"/>
    <w:rsid w:val="00AC77DF"/>
    <w:rsid w:val="00AD1F47"/>
    <w:rsid w:val="00AD269E"/>
    <w:rsid w:val="00AD2FDD"/>
    <w:rsid w:val="00AD34E2"/>
    <w:rsid w:val="00AD3F1C"/>
    <w:rsid w:val="00AD4C38"/>
    <w:rsid w:val="00AD625C"/>
    <w:rsid w:val="00AD714D"/>
    <w:rsid w:val="00AD75EA"/>
    <w:rsid w:val="00AD7C0A"/>
    <w:rsid w:val="00AE0DED"/>
    <w:rsid w:val="00AE3F7B"/>
    <w:rsid w:val="00AE417D"/>
    <w:rsid w:val="00AE5DE8"/>
    <w:rsid w:val="00AE6091"/>
    <w:rsid w:val="00AE73CA"/>
    <w:rsid w:val="00AF06FE"/>
    <w:rsid w:val="00AF2401"/>
    <w:rsid w:val="00AF249E"/>
    <w:rsid w:val="00AF33CD"/>
    <w:rsid w:val="00AF3FDB"/>
    <w:rsid w:val="00AF413D"/>
    <w:rsid w:val="00AF62F8"/>
    <w:rsid w:val="00AF6C4A"/>
    <w:rsid w:val="00B00773"/>
    <w:rsid w:val="00B01106"/>
    <w:rsid w:val="00B022D8"/>
    <w:rsid w:val="00B028D4"/>
    <w:rsid w:val="00B038EC"/>
    <w:rsid w:val="00B041F8"/>
    <w:rsid w:val="00B04B3F"/>
    <w:rsid w:val="00B04EFF"/>
    <w:rsid w:val="00B057A9"/>
    <w:rsid w:val="00B06103"/>
    <w:rsid w:val="00B0697F"/>
    <w:rsid w:val="00B07307"/>
    <w:rsid w:val="00B07F71"/>
    <w:rsid w:val="00B10E32"/>
    <w:rsid w:val="00B1123A"/>
    <w:rsid w:val="00B11489"/>
    <w:rsid w:val="00B11505"/>
    <w:rsid w:val="00B125DA"/>
    <w:rsid w:val="00B128CF"/>
    <w:rsid w:val="00B1332B"/>
    <w:rsid w:val="00B15439"/>
    <w:rsid w:val="00B16D6F"/>
    <w:rsid w:val="00B171DA"/>
    <w:rsid w:val="00B203A5"/>
    <w:rsid w:val="00B2258E"/>
    <w:rsid w:val="00B22C04"/>
    <w:rsid w:val="00B23337"/>
    <w:rsid w:val="00B236E0"/>
    <w:rsid w:val="00B24501"/>
    <w:rsid w:val="00B26631"/>
    <w:rsid w:val="00B307DE"/>
    <w:rsid w:val="00B31393"/>
    <w:rsid w:val="00B31AF3"/>
    <w:rsid w:val="00B320F4"/>
    <w:rsid w:val="00B321EA"/>
    <w:rsid w:val="00B328DE"/>
    <w:rsid w:val="00B33321"/>
    <w:rsid w:val="00B34C78"/>
    <w:rsid w:val="00B35238"/>
    <w:rsid w:val="00B377BF"/>
    <w:rsid w:val="00B37A8C"/>
    <w:rsid w:val="00B37DFC"/>
    <w:rsid w:val="00B401C9"/>
    <w:rsid w:val="00B407AA"/>
    <w:rsid w:val="00B40ECC"/>
    <w:rsid w:val="00B41A08"/>
    <w:rsid w:val="00B41C75"/>
    <w:rsid w:val="00B433CC"/>
    <w:rsid w:val="00B43593"/>
    <w:rsid w:val="00B4400E"/>
    <w:rsid w:val="00B44091"/>
    <w:rsid w:val="00B45539"/>
    <w:rsid w:val="00B46197"/>
    <w:rsid w:val="00B47ACA"/>
    <w:rsid w:val="00B50A78"/>
    <w:rsid w:val="00B51D96"/>
    <w:rsid w:val="00B52BD2"/>
    <w:rsid w:val="00B537FF"/>
    <w:rsid w:val="00B54F0C"/>
    <w:rsid w:val="00B55242"/>
    <w:rsid w:val="00B55B24"/>
    <w:rsid w:val="00B55F1A"/>
    <w:rsid w:val="00B569EE"/>
    <w:rsid w:val="00B56C5F"/>
    <w:rsid w:val="00B5767D"/>
    <w:rsid w:val="00B6056E"/>
    <w:rsid w:val="00B60684"/>
    <w:rsid w:val="00B60A7C"/>
    <w:rsid w:val="00B612F6"/>
    <w:rsid w:val="00B6211E"/>
    <w:rsid w:val="00B6694B"/>
    <w:rsid w:val="00B67BDE"/>
    <w:rsid w:val="00B70FB9"/>
    <w:rsid w:val="00B727AE"/>
    <w:rsid w:val="00B73F47"/>
    <w:rsid w:val="00B747FF"/>
    <w:rsid w:val="00B74A78"/>
    <w:rsid w:val="00B75E9B"/>
    <w:rsid w:val="00B75F0D"/>
    <w:rsid w:val="00B8103F"/>
    <w:rsid w:val="00B81CE5"/>
    <w:rsid w:val="00B8247C"/>
    <w:rsid w:val="00B82D51"/>
    <w:rsid w:val="00B834BC"/>
    <w:rsid w:val="00B8383C"/>
    <w:rsid w:val="00B85884"/>
    <w:rsid w:val="00B85EEB"/>
    <w:rsid w:val="00B86361"/>
    <w:rsid w:val="00B86C5D"/>
    <w:rsid w:val="00B91F41"/>
    <w:rsid w:val="00B924F8"/>
    <w:rsid w:val="00B92D7E"/>
    <w:rsid w:val="00B949F3"/>
    <w:rsid w:val="00B94AC4"/>
    <w:rsid w:val="00B95AFD"/>
    <w:rsid w:val="00B96F29"/>
    <w:rsid w:val="00B97303"/>
    <w:rsid w:val="00BA0ACB"/>
    <w:rsid w:val="00BA1171"/>
    <w:rsid w:val="00BA2B4A"/>
    <w:rsid w:val="00BA4D30"/>
    <w:rsid w:val="00BA5F57"/>
    <w:rsid w:val="00BB203B"/>
    <w:rsid w:val="00BB2976"/>
    <w:rsid w:val="00BB30B3"/>
    <w:rsid w:val="00BB7D6D"/>
    <w:rsid w:val="00BC05D3"/>
    <w:rsid w:val="00BC0CF0"/>
    <w:rsid w:val="00BC0F17"/>
    <w:rsid w:val="00BC1798"/>
    <w:rsid w:val="00BC18F8"/>
    <w:rsid w:val="00BC1A78"/>
    <w:rsid w:val="00BC2280"/>
    <w:rsid w:val="00BC36A5"/>
    <w:rsid w:val="00BC3AB3"/>
    <w:rsid w:val="00BC42C8"/>
    <w:rsid w:val="00BC5F76"/>
    <w:rsid w:val="00BC6E3B"/>
    <w:rsid w:val="00BC706B"/>
    <w:rsid w:val="00BD05E2"/>
    <w:rsid w:val="00BD06D3"/>
    <w:rsid w:val="00BD0907"/>
    <w:rsid w:val="00BD1C97"/>
    <w:rsid w:val="00BD408C"/>
    <w:rsid w:val="00BD41B7"/>
    <w:rsid w:val="00BD444E"/>
    <w:rsid w:val="00BD49C4"/>
    <w:rsid w:val="00BD7A1C"/>
    <w:rsid w:val="00BD7B5D"/>
    <w:rsid w:val="00BE0F1E"/>
    <w:rsid w:val="00BE3896"/>
    <w:rsid w:val="00BE48B6"/>
    <w:rsid w:val="00BE4AA0"/>
    <w:rsid w:val="00BE5954"/>
    <w:rsid w:val="00BE6972"/>
    <w:rsid w:val="00BE6DF5"/>
    <w:rsid w:val="00BE772C"/>
    <w:rsid w:val="00BE7A72"/>
    <w:rsid w:val="00BF0388"/>
    <w:rsid w:val="00BF0FE2"/>
    <w:rsid w:val="00BF1007"/>
    <w:rsid w:val="00BF1E37"/>
    <w:rsid w:val="00BF3630"/>
    <w:rsid w:val="00BF3A1C"/>
    <w:rsid w:val="00BF3BCB"/>
    <w:rsid w:val="00BF3E5F"/>
    <w:rsid w:val="00BF3EC7"/>
    <w:rsid w:val="00BF4BC8"/>
    <w:rsid w:val="00BF753A"/>
    <w:rsid w:val="00BF7889"/>
    <w:rsid w:val="00C0145D"/>
    <w:rsid w:val="00C01986"/>
    <w:rsid w:val="00C0209E"/>
    <w:rsid w:val="00C02342"/>
    <w:rsid w:val="00C02DDA"/>
    <w:rsid w:val="00C03403"/>
    <w:rsid w:val="00C0654C"/>
    <w:rsid w:val="00C06C82"/>
    <w:rsid w:val="00C07531"/>
    <w:rsid w:val="00C07940"/>
    <w:rsid w:val="00C10215"/>
    <w:rsid w:val="00C1044B"/>
    <w:rsid w:val="00C1200C"/>
    <w:rsid w:val="00C132E6"/>
    <w:rsid w:val="00C14800"/>
    <w:rsid w:val="00C155C3"/>
    <w:rsid w:val="00C1681C"/>
    <w:rsid w:val="00C16E35"/>
    <w:rsid w:val="00C172DE"/>
    <w:rsid w:val="00C20818"/>
    <w:rsid w:val="00C20821"/>
    <w:rsid w:val="00C21224"/>
    <w:rsid w:val="00C2149B"/>
    <w:rsid w:val="00C2339C"/>
    <w:rsid w:val="00C23E1B"/>
    <w:rsid w:val="00C2725F"/>
    <w:rsid w:val="00C30949"/>
    <w:rsid w:val="00C3162E"/>
    <w:rsid w:val="00C32E13"/>
    <w:rsid w:val="00C349F0"/>
    <w:rsid w:val="00C35CAE"/>
    <w:rsid w:val="00C41711"/>
    <w:rsid w:val="00C442C0"/>
    <w:rsid w:val="00C44628"/>
    <w:rsid w:val="00C44F3D"/>
    <w:rsid w:val="00C461DB"/>
    <w:rsid w:val="00C46FE1"/>
    <w:rsid w:val="00C5230D"/>
    <w:rsid w:val="00C52773"/>
    <w:rsid w:val="00C52E67"/>
    <w:rsid w:val="00C5328E"/>
    <w:rsid w:val="00C556B6"/>
    <w:rsid w:val="00C57490"/>
    <w:rsid w:val="00C609FA"/>
    <w:rsid w:val="00C60D79"/>
    <w:rsid w:val="00C611F3"/>
    <w:rsid w:val="00C6249C"/>
    <w:rsid w:val="00C62959"/>
    <w:rsid w:val="00C62EBF"/>
    <w:rsid w:val="00C63562"/>
    <w:rsid w:val="00C63774"/>
    <w:rsid w:val="00C644E6"/>
    <w:rsid w:val="00C64E61"/>
    <w:rsid w:val="00C653A5"/>
    <w:rsid w:val="00C6718A"/>
    <w:rsid w:val="00C67610"/>
    <w:rsid w:val="00C67AFE"/>
    <w:rsid w:val="00C71A65"/>
    <w:rsid w:val="00C72825"/>
    <w:rsid w:val="00C7312A"/>
    <w:rsid w:val="00C73AD6"/>
    <w:rsid w:val="00C74846"/>
    <w:rsid w:val="00C75350"/>
    <w:rsid w:val="00C765CF"/>
    <w:rsid w:val="00C76C83"/>
    <w:rsid w:val="00C77443"/>
    <w:rsid w:val="00C77B0A"/>
    <w:rsid w:val="00C80746"/>
    <w:rsid w:val="00C812A0"/>
    <w:rsid w:val="00C8158D"/>
    <w:rsid w:val="00C817FB"/>
    <w:rsid w:val="00C8334E"/>
    <w:rsid w:val="00C841F1"/>
    <w:rsid w:val="00C8457C"/>
    <w:rsid w:val="00C87CA4"/>
    <w:rsid w:val="00C90E5A"/>
    <w:rsid w:val="00C91065"/>
    <w:rsid w:val="00C916CC"/>
    <w:rsid w:val="00C91CCD"/>
    <w:rsid w:val="00C92B66"/>
    <w:rsid w:val="00C94B29"/>
    <w:rsid w:val="00C94DB0"/>
    <w:rsid w:val="00C95104"/>
    <w:rsid w:val="00C95629"/>
    <w:rsid w:val="00C95AA4"/>
    <w:rsid w:val="00C95D71"/>
    <w:rsid w:val="00C967B2"/>
    <w:rsid w:val="00C96D06"/>
    <w:rsid w:val="00C97243"/>
    <w:rsid w:val="00CA0AE8"/>
    <w:rsid w:val="00CA5438"/>
    <w:rsid w:val="00CA54BA"/>
    <w:rsid w:val="00CA6156"/>
    <w:rsid w:val="00CA6877"/>
    <w:rsid w:val="00CA68C0"/>
    <w:rsid w:val="00CA7BEE"/>
    <w:rsid w:val="00CB08A2"/>
    <w:rsid w:val="00CB0BBC"/>
    <w:rsid w:val="00CB16BA"/>
    <w:rsid w:val="00CB191B"/>
    <w:rsid w:val="00CB3079"/>
    <w:rsid w:val="00CB3AB6"/>
    <w:rsid w:val="00CB5176"/>
    <w:rsid w:val="00CB6F77"/>
    <w:rsid w:val="00CC1D7A"/>
    <w:rsid w:val="00CC28D9"/>
    <w:rsid w:val="00CC3457"/>
    <w:rsid w:val="00CC3DDD"/>
    <w:rsid w:val="00CC3F49"/>
    <w:rsid w:val="00CC459D"/>
    <w:rsid w:val="00CC4B2B"/>
    <w:rsid w:val="00CC6486"/>
    <w:rsid w:val="00CC6B54"/>
    <w:rsid w:val="00CD1A30"/>
    <w:rsid w:val="00CD1B28"/>
    <w:rsid w:val="00CD29A0"/>
    <w:rsid w:val="00CD315D"/>
    <w:rsid w:val="00CD334C"/>
    <w:rsid w:val="00CD3832"/>
    <w:rsid w:val="00CD5700"/>
    <w:rsid w:val="00CD5750"/>
    <w:rsid w:val="00CD6184"/>
    <w:rsid w:val="00CD6635"/>
    <w:rsid w:val="00CD6E1C"/>
    <w:rsid w:val="00CD7A8D"/>
    <w:rsid w:val="00CE01C0"/>
    <w:rsid w:val="00CE1D6F"/>
    <w:rsid w:val="00CE2EC0"/>
    <w:rsid w:val="00CE3AC5"/>
    <w:rsid w:val="00CE4D2B"/>
    <w:rsid w:val="00CE4F46"/>
    <w:rsid w:val="00CE5AEC"/>
    <w:rsid w:val="00CE7E55"/>
    <w:rsid w:val="00CF0437"/>
    <w:rsid w:val="00CF0DEE"/>
    <w:rsid w:val="00CF1411"/>
    <w:rsid w:val="00CF2089"/>
    <w:rsid w:val="00CF25E4"/>
    <w:rsid w:val="00CF2B14"/>
    <w:rsid w:val="00CF2B70"/>
    <w:rsid w:val="00CF3124"/>
    <w:rsid w:val="00CF34F0"/>
    <w:rsid w:val="00CF39A9"/>
    <w:rsid w:val="00CF44E8"/>
    <w:rsid w:val="00CF569A"/>
    <w:rsid w:val="00CF56E7"/>
    <w:rsid w:val="00CF7B97"/>
    <w:rsid w:val="00D0079A"/>
    <w:rsid w:val="00D00997"/>
    <w:rsid w:val="00D02F54"/>
    <w:rsid w:val="00D02FE1"/>
    <w:rsid w:val="00D031C7"/>
    <w:rsid w:val="00D03568"/>
    <w:rsid w:val="00D03979"/>
    <w:rsid w:val="00D03A81"/>
    <w:rsid w:val="00D03A9C"/>
    <w:rsid w:val="00D04141"/>
    <w:rsid w:val="00D06FB5"/>
    <w:rsid w:val="00D07294"/>
    <w:rsid w:val="00D07F71"/>
    <w:rsid w:val="00D1067E"/>
    <w:rsid w:val="00D10A41"/>
    <w:rsid w:val="00D11854"/>
    <w:rsid w:val="00D11C5B"/>
    <w:rsid w:val="00D13955"/>
    <w:rsid w:val="00D1410C"/>
    <w:rsid w:val="00D14999"/>
    <w:rsid w:val="00D14E64"/>
    <w:rsid w:val="00D1548B"/>
    <w:rsid w:val="00D17F4A"/>
    <w:rsid w:val="00D246FE"/>
    <w:rsid w:val="00D2530F"/>
    <w:rsid w:val="00D2757B"/>
    <w:rsid w:val="00D2786F"/>
    <w:rsid w:val="00D303C5"/>
    <w:rsid w:val="00D31952"/>
    <w:rsid w:val="00D323DC"/>
    <w:rsid w:val="00D33EC4"/>
    <w:rsid w:val="00D34D46"/>
    <w:rsid w:val="00D3640F"/>
    <w:rsid w:val="00D413E7"/>
    <w:rsid w:val="00D419A0"/>
    <w:rsid w:val="00D42DD6"/>
    <w:rsid w:val="00D435FE"/>
    <w:rsid w:val="00D43FD3"/>
    <w:rsid w:val="00D445E6"/>
    <w:rsid w:val="00D456E6"/>
    <w:rsid w:val="00D4587E"/>
    <w:rsid w:val="00D460CD"/>
    <w:rsid w:val="00D46C11"/>
    <w:rsid w:val="00D47872"/>
    <w:rsid w:val="00D47FEB"/>
    <w:rsid w:val="00D50CA7"/>
    <w:rsid w:val="00D50DCE"/>
    <w:rsid w:val="00D51562"/>
    <w:rsid w:val="00D51BBA"/>
    <w:rsid w:val="00D53C06"/>
    <w:rsid w:val="00D53C91"/>
    <w:rsid w:val="00D54AE0"/>
    <w:rsid w:val="00D556E8"/>
    <w:rsid w:val="00D55C5E"/>
    <w:rsid w:val="00D5699A"/>
    <w:rsid w:val="00D56BD6"/>
    <w:rsid w:val="00D609D0"/>
    <w:rsid w:val="00D61F2C"/>
    <w:rsid w:val="00D621ED"/>
    <w:rsid w:val="00D66A89"/>
    <w:rsid w:val="00D66F97"/>
    <w:rsid w:val="00D67055"/>
    <w:rsid w:val="00D718CB"/>
    <w:rsid w:val="00D72D29"/>
    <w:rsid w:val="00D76C2F"/>
    <w:rsid w:val="00D77368"/>
    <w:rsid w:val="00D77731"/>
    <w:rsid w:val="00D8099A"/>
    <w:rsid w:val="00D80F5D"/>
    <w:rsid w:val="00D816EF"/>
    <w:rsid w:val="00D818CC"/>
    <w:rsid w:val="00D81E24"/>
    <w:rsid w:val="00D82220"/>
    <w:rsid w:val="00D82719"/>
    <w:rsid w:val="00D828C1"/>
    <w:rsid w:val="00D847EC"/>
    <w:rsid w:val="00D84906"/>
    <w:rsid w:val="00D85C11"/>
    <w:rsid w:val="00D85C76"/>
    <w:rsid w:val="00D86388"/>
    <w:rsid w:val="00D86B3A"/>
    <w:rsid w:val="00D8704C"/>
    <w:rsid w:val="00D90069"/>
    <w:rsid w:val="00D90112"/>
    <w:rsid w:val="00D90267"/>
    <w:rsid w:val="00D90ACF"/>
    <w:rsid w:val="00D91FD5"/>
    <w:rsid w:val="00D925C4"/>
    <w:rsid w:val="00D95371"/>
    <w:rsid w:val="00D953A7"/>
    <w:rsid w:val="00D9620E"/>
    <w:rsid w:val="00D975E4"/>
    <w:rsid w:val="00DA04ED"/>
    <w:rsid w:val="00DA100C"/>
    <w:rsid w:val="00DA129D"/>
    <w:rsid w:val="00DA1BBA"/>
    <w:rsid w:val="00DA2B99"/>
    <w:rsid w:val="00DA2BB9"/>
    <w:rsid w:val="00DA2D85"/>
    <w:rsid w:val="00DA511B"/>
    <w:rsid w:val="00DA53D0"/>
    <w:rsid w:val="00DA5B18"/>
    <w:rsid w:val="00DA7274"/>
    <w:rsid w:val="00DB0201"/>
    <w:rsid w:val="00DB12FF"/>
    <w:rsid w:val="00DB333C"/>
    <w:rsid w:val="00DB35B4"/>
    <w:rsid w:val="00DB56A1"/>
    <w:rsid w:val="00DB5F69"/>
    <w:rsid w:val="00DB73B4"/>
    <w:rsid w:val="00DB7991"/>
    <w:rsid w:val="00DC030B"/>
    <w:rsid w:val="00DC09BA"/>
    <w:rsid w:val="00DC1DD2"/>
    <w:rsid w:val="00DC2118"/>
    <w:rsid w:val="00DC36D7"/>
    <w:rsid w:val="00DC4E30"/>
    <w:rsid w:val="00DC52BA"/>
    <w:rsid w:val="00DC5F5B"/>
    <w:rsid w:val="00DC5FB7"/>
    <w:rsid w:val="00DC6093"/>
    <w:rsid w:val="00DC6935"/>
    <w:rsid w:val="00DC695B"/>
    <w:rsid w:val="00DD1C04"/>
    <w:rsid w:val="00DD2E9B"/>
    <w:rsid w:val="00DD3286"/>
    <w:rsid w:val="00DD48D6"/>
    <w:rsid w:val="00DD4932"/>
    <w:rsid w:val="00DD5BF5"/>
    <w:rsid w:val="00DD5F47"/>
    <w:rsid w:val="00DD6976"/>
    <w:rsid w:val="00DE21B1"/>
    <w:rsid w:val="00DE29C5"/>
    <w:rsid w:val="00DE2C95"/>
    <w:rsid w:val="00DE2F4F"/>
    <w:rsid w:val="00DE5A9B"/>
    <w:rsid w:val="00DF1D15"/>
    <w:rsid w:val="00DF1E2E"/>
    <w:rsid w:val="00DF3ECE"/>
    <w:rsid w:val="00DF521A"/>
    <w:rsid w:val="00DF54B9"/>
    <w:rsid w:val="00DF614F"/>
    <w:rsid w:val="00DF6800"/>
    <w:rsid w:val="00DF7AA8"/>
    <w:rsid w:val="00E00281"/>
    <w:rsid w:val="00E00BC3"/>
    <w:rsid w:val="00E012CA"/>
    <w:rsid w:val="00E01639"/>
    <w:rsid w:val="00E02288"/>
    <w:rsid w:val="00E022BA"/>
    <w:rsid w:val="00E02AEA"/>
    <w:rsid w:val="00E04264"/>
    <w:rsid w:val="00E063D1"/>
    <w:rsid w:val="00E07F8E"/>
    <w:rsid w:val="00E1209A"/>
    <w:rsid w:val="00E127F5"/>
    <w:rsid w:val="00E12CC4"/>
    <w:rsid w:val="00E15F5E"/>
    <w:rsid w:val="00E16AD6"/>
    <w:rsid w:val="00E17F72"/>
    <w:rsid w:val="00E20781"/>
    <w:rsid w:val="00E23803"/>
    <w:rsid w:val="00E251AD"/>
    <w:rsid w:val="00E25B39"/>
    <w:rsid w:val="00E26954"/>
    <w:rsid w:val="00E27577"/>
    <w:rsid w:val="00E276F1"/>
    <w:rsid w:val="00E27AED"/>
    <w:rsid w:val="00E30F2F"/>
    <w:rsid w:val="00E31CE7"/>
    <w:rsid w:val="00E32AA5"/>
    <w:rsid w:val="00E35B69"/>
    <w:rsid w:val="00E4012C"/>
    <w:rsid w:val="00E44908"/>
    <w:rsid w:val="00E45974"/>
    <w:rsid w:val="00E45E72"/>
    <w:rsid w:val="00E46CA7"/>
    <w:rsid w:val="00E50254"/>
    <w:rsid w:val="00E509C3"/>
    <w:rsid w:val="00E511A2"/>
    <w:rsid w:val="00E51535"/>
    <w:rsid w:val="00E5249F"/>
    <w:rsid w:val="00E53009"/>
    <w:rsid w:val="00E5330F"/>
    <w:rsid w:val="00E53D56"/>
    <w:rsid w:val="00E53F4C"/>
    <w:rsid w:val="00E54901"/>
    <w:rsid w:val="00E5571D"/>
    <w:rsid w:val="00E55830"/>
    <w:rsid w:val="00E565E2"/>
    <w:rsid w:val="00E5677F"/>
    <w:rsid w:val="00E567C9"/>
    <w:rsid w:val="00E571D0"/>
    <w:rsid w:val="00E618AF"/>
    <w:rsid w:val="00E61F8B"/>
    <w:rsid w:val="00E632B7"/>
    <w:rsid w:val="00E64046"/>
    <w:rsid w:val="00E65A10"/>
    <w:rsid w:val="00E67D2D"/>
    <w:rsid w:val="00E67FA5"/>
    <w:rsid w:val="00E705F3"/>
    <w:rsid w:val="00E709BA"/>
    <w:rsid w:val="00E71A50"/>
    <w:rsid w:val="00E71E04"/>
    <w:rsid w:val="00E732CA"/>
    <w:rsid w:val="00E73A3F"/>
    <w:rsid w:val="00E74016"/>
    <w:rsid w:val="00E74EDF"/>
    <w:rsid w:val="00E75142"/>
    <w:rsid w:val="00E754E0"/>
    <w:rsid w:val="00E80142"/>
    <w:rsid w:val="00E80410"/>
    <w:rsid w:val="00E8109B"/>
    <w:rsid w:val="00E812E9"/>
    <w:rsid w:val="00E827CE"/>
    <w:rsid w:val="00E83780"/>
    <w:rsid w:val="00E84F1F"/>
    <w:rsid w:val="00E85DCF"/>
    <w:rsid w:val="00E871B8"/>
    <w:rsid w:val="00E878F7"/>
    <w:rsid w:val="00E90074"/>
    <w:rsid w:val="00E90B41"/>
    <w:rsid w:val="00E912C6"/>
    <w:rsid w:val="00E9183C"/>
    <w:rsid w:val="00E91CD7"/>
    <w:rsid w:val="00E97580"/>
    <w:rsid w:val="00E975C4"/>
    <w:rsid w:val="00E975DB"/>
    <w:rsid w:val="00E97822"/>
    <w:rsid w:val="00E97846"/>
    <w:rsid w:val="00E97CF8"/>
    <w:rsid w:val="00EA2395"/>
    <w:rsid w:val="00EA2704"/>
    <w:rsid w:val="00EA4015"/>
    <w:rsid w:val="00EA4865"/>
    <w:rsid w:val="00EA5BC4"/>
    <w:rsid w:val="00EA61C5"/>
    <w:rsid w:val="00EA7877"/>
    <w:rsid w:val="00EB44FC"/>
    <w:rsid w:val="00EB623F"/>
    <w:rsid w:val="00EB68DD"/>
    <w:rsid w:val="00EB6AB5"/>
    <w:rsid w:val="00EB6CE1"/>
    <w:rsid w:val="00EB70F3"/>
    <w:rsid w:val="00EC085A"/>
    <w:rsid w:val="00EC24B6"/>
    <w:rsid w:val="00EC2E7F"/>
    <w:rsid w:val="00EC39F0"/>
    <w:rsid w:val="00EC51BD"/>
    <w:rsid w:val="00EC5653"/>
    <w:rsid w:val="00EC5CDE"/>
    <w:rsid w:val="00EC5FAA"/>
    <w:rsid w:val="00EC623D"/>
    <w:rsid w:val="00EC65CB"/>
    <w:rsid w:val="00EC6C2A"/>
    <w:rsid w:val="00EC725D"/>
    <w:rsid w:val="00EC7334"/>
    <w:rsid w:val="00EC7CF2"/>
    <w:rsid w:val="00ED0777"/>
    <w:rsid w:val="00ED1AE4"/>
    <w:rsid w:val="00ED2728"/>
    <w:rsid w:val="00ED30D7"/>
    <w:rsid w:val="00ED3C62"/>
    <w:rsid w:val="00ED5BD6"/>
    <w:rsid w:val="00ED5D15"/>
    <w:rsid w:val="00ED5F14"/>
    <w:rsid w:val="00ED6278"/>
    <w:rsid w:val="00ED6CF1"/>
    <w:rsid w:val="00EE1307"/>
    <w:rsid w:val="00EE37B0"/>
    <w:rsid w:val="00EE4756"/>
    <w:rsid w:val="00EE5BF9"/>
    <w:rsid w:val="00EE7CA0"/>
    <w:rsid w:val="00EE7CCC"/>
    <w:rsid w:val="00EF071F"/>
    <w:rsid w:val="00EF1154"/>
    <w:rsid w:val="00EF2248"/>
    <w:rsid w:val="00EF5B26"/>
    <w:rsid w:val="00EF6C33"/>
    <w:rsid w:val="00F03181"/>
    <w:rsid w:val="00F0348C"/>
    <w:rsid w:val="00F046C8"/>
    <w:rsid w:val="00F05802"/>
    <w:rsid w:val="00F1202A"/>
    <w:rsid w:val="00F12637"/>
    <w:rsid w:val="00F12D7B"/>
    <w:rsid w:val="00F13026"/>
    <w:rsid w:val="00F144A3"/>
    <w:rsid w:val="00F149F3"/>
    <w:rsid w:val="00F16DD1"/>
    <w:rsid w:val="00F17EC5"/>
    <w:rsid w:val="00F20265"/>
    <w:rsid w:val="00F207A6"/>
    <w:rsid w:val="00F21A9D"/>
    <w:rsid w:val="00F22592"/>
    <w:rsid w:val="00F22BEC"/>
    <w:rsid w:val="00F2333D"/>
    <w:rsid w:val="00F2364D"/>
    <w:rsid w:val="00F23CDE"/>
    <w:rsid w:val="00F249E3"/>
    <w:rsid w:val="00F24AC7"/>
    <w:rsid w:val="00F24DE8"/>
    <w:rsid w:val="00F2552A"/>
    <w:rsid w:val="00F25704"/>
    <w:rsid w:val="00F27548"/>
    <w:rsid w:val="00F3018B"/>
    <w:rsid w:val="00F306D4"/>
    <w:rsid w:val="00F30817"/>
    <w:rsid w:val="00F30D48"/>
    <w:rsid w:val="00F32DB2"/>
    <w:rsid w:val="00F33405"/>
    <w:rsid w:val="00F33B78"/>
    <w:rsid w:val="00F3429D"/>
    <w:rsid w:val="00F34420"/>
    <w:rsid w:val="00F35118"/>
    <w:rsid w:val="00F36124"/>
    <w:rsid w:val="00F41B8E"/>
    <w:rsid w:val="00F42582"/>
    <w:rsid w:val="00F44D2F"/>
    <w:rsid w:val="00F45D54"/>
    <w:rsid w:val="00F464B7"/>
    <w:rsid w:val="00F46522"/>
    <w:rsid w:val="00F467AA"/>
    <w:rsid w:val="00F46B23"/>
    <w:rsid w:val="00F47D6E"/>
    <w:rsid w:val="00F52447"/>
    <w:rsid w:val="00F52BB4"/>
    <w:rsid w:val="00F52E1F"/>
    <w:rsid w:val="00F52E6D"/>
    <w:rsid w:val="00F53F14"/>
    <w:rsid w:val="00F54424"/>
    <w:rsid w:val="00F55D9A"/>
    <w:rsid w:val="00F60234"/>
    <w:rsid w:val="00F60694"/>
    <w:rsid w:val="00F60810"/>
    <w:rsid w:val="00F60938"/>
    <w:rsid w:val="00F60968"/>
    <w:rsid w:val="00F61666"/>
    <w:rsid w:val="00F62F4A"/>
    <w:rsid w:val="00F639C2"/>
    <w:rsid w:val="00F63B0F"/>
    <w:rsid w:val="00F64174"/>
    <w:rsid w:val="00F6484F"/>
    <w:rsid w:val="00F655D9"/>
    <w:rsid w:val="00F65D38"/>
    <w:rsid w:val="00F6673A"/>
    <w:rsid w:val="00F667C2"/>
    <w:rsid w:val="00F671A3"/>
    <w:rsid w:val="00F70AF0"/>
    <w:rsid w:val="00F70B8E"/>
    <w:rsid w:val="00F71A09"/>
    <w:rsid w:val="00F72D4D"/>
    <w:rsid w:val="00F75569"/>
    <w:rsid w:val="00F76518"/>
    <w:rsid w:val="00F76B07"/>
    <w:rsid w:val="00F806F8"/>
    <w:rsid w:val="00F807AA"/>
    <w:rsid w:val="00F833FE"/>
    <w:rsid w:val="00F83885"/>
    <w:rsid w:val="00F86B20"/>
    <w:rsid w:val="00F92112"/>
    <w:rsid w:val="00F935D6"/>
    <w:rsid w:val="00F94294"/>
    <w:rsid w:val="00F94370"/>
    <w:rsid w:val="00F95AF5"/>
    <w:rsid w:val="00F977FA"/>
    <w:rsid w:val="00FA1991"/>
    <w:rsid w:val="00FA1F1A"/>
    <w:rsid w:val="00FA2BD7"/>
    <w:rsid w:val="00FA2F8E"/>
    <w:rsid w:val="00FA39EF"/>
    <w:rsid w:val="00FA5FD6"/>
    <w:rsid w:val="00FA6622"/>
    <w:rsid w:val="00FA6A8F"/>
    <w:rsid w:val="00FB081A"/>
    <w:rsid w:val="00FB0C8E"/>
    <w:rsid w:val="00FB144F"/>
    <w:rsid w:val="00FB2067"/>
    <w:rsid w:val="00FB33DE"/>
    <w:rsid w:val="00FB3C07"/>
    <w:rsid w:val="00FB4FCB"/>
    <w:rsid w:val="00FB5428"/>
    <w:rsid w:val="00FB64FD"/>
    <w:rsid w:val="00FB663B"/>
    <w:rsid w:val="00FB71F7"/>
    <w:rsid w:val="00FB73E4"/>
    <w:rsid w:val="00FC0B10"/>
    <w:rsid w:val="00FC0D6F"/>
    <w:rsid w:val="00FC14C1"/>
    <w:rsid w:val="00FC253A"/>
    <w:rsid w:val="00FC2DB2"/>
    <w:rsid w:val="00FC452B"/>
    <w:rsid w:val="00FC6F56"/>
    <w:rsid w:val="00FC7693"/>
    <w:rsid w:val="00FC7EB4"/>
    <w:rsid w:val="00FD023D"/>
    <w:rsid w:val="00FD0B72"/>
    <w:rsid w:val="00FD4123"/>
    <w:rsid w:val="00FD42C7"/>
    <w:rsid w:val="00FD4C6A"/>
    <w:rsid w:val="00FD4DA0"/>
    <w:rsid w:val="00FE0E22"/>
    <w:rsid w:val="00FE1621"/>
    <w:rsid w:val="00FE446C"/>
    <w:rsid w:val="00FE5FED"/>
    <w:rsid w:val="00FF0715"/>
    <w:rsid w:val="00FF11F8"/>
    <w:rsid w:val="00FF1280"/>
    <w:rsid w:val="00FF15E1"/>
    <w:rsid w:val="00FF19ED"/>
    <w:rsid w:val="00FF1A2F"/>
    <w:rsid w:val="00FF1B22"/>
    <w:rsid w:val="00FF20D4"/>
    <w:rsid w:val="00FF2B8C"/>
    <w:rsid w:val="00FF429C"/>
    <w:rsid w:val="00FF58D0"/>
    <w:rsid w:val="00FF6123"/>
    <w:rsid w:val="00FF7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AEA5BFC"/>
  <w15:docId w15:val="{F8A39D2C-FF05-4726-B164-3F0F4DCF8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semiHidden/>
    <w:qFormat/>
    <w:rsid w:val="00C556B6"/>
    <w:pPr>
      <w:spacing w:after="220" w:line="300" w:lineRule="auto"/>
    </w:pPr>
    <w:rPr>
      <w:rFonts w:ascii="Arial" w:hAnsi="Arial"/>
      <w:color w:val="000000"/>
      <w:lang w:val="en-GB" w:eastAsia="en-US"/>
    </w:rPr>
  </w:style>
  <w:style w:type="paragraph" w:styleId="Heading1">
    <w:name w:val="heading 1"/>
    <w:next w:val="Para0"/>
    <w:qFormat/>
    <w:rsid w:val="00DA04ED"/>
    <w:pPr>
      <w:keepNext/>
      <w:pageBreakBefore/>
      <w:numPr>
        <w:numId w:val="4"/>
      </w:numPr>
      <w:spacing w:before="240" w:after="240"/>
      <w:outlineLvl w:val="0"/>
    </w:pPr>
    <w:rPr>
      <w:rFonts w:ascii="Arial" w:hAnsi="Arial"/>
      <w:b/>
      <w:color w:val="365F91" w:themeColor="accent1" w:themeShade="BF"/>
      <w:sz w:val="36"/>
      <w:lang w:val="en-GB" w:eastAsia="en-US"/>
    </w:rPr>
  </w:style>
  <w:style w:type="paragraph" w:styleId="Heading2">
    <w:name w:val="heading 2"/>
    <w:basedOn w:val="Heading1"/>
    <w:next w:val="Para0"/>
    <w:qFormat/>
    <w:rsid w:val="0008526D"/>
    <w:pPr>
      <w:pageBreakBefore w:val="0"/>
      <w:numPr>
        <w:ilvl w:val="1"/>
      </w:numPr>
      <w:spacing w:before="120" w:after="40"/>
      <w:outlineLvl w:val="1"/>
    </w:pPr>
    <w:rPr>
      <w:sz w:val="22"/>
    </w:rPr>
  </w:style>
  <w:style w:type="paragraph" w:styleId="Heading3">
    <w:name w:val="heading 3"/>
    <w:basedOn w:val="Heading1"/>
    <w:next w:val="Para0"/>
    <w:qFormat/>
    <w:rsid w:val="00131DB2"/>
    <w:pPr>
      <w:pageBreakBefore w:val="0"/>
      <w:numPr>
        <w:ilvl w:val="2"/>
      </w:numPr>
      <w:spacing w:before="120" w:after="40"/>
      <w:outlineLvl w:val="2"/>
    </w:pPr>
    <w:rPr>
      <w:sz w:val="22"/>
    </w:rPr>
  </w:style>
  <w:style w:type="paragraph" w:styleId="Heading4">
    <w:name w:val="heading 4"/>
    <w:basedOn w:val="Heading1"/>
    <w:next w:val="Para0"/>
    <w:qFormat/>
    <w:pPr>
      <w:numPr>
        <w:ilvl w:val="3"/>
      </w:numPr>
      <w:tabs>
        <w:tab w:val="clear" w:pos="1440"/>
        <w:tab w:val="left" w:pos="992"/>
      </w:tabs>
      <w:spacing w:before="120" w:after="40"/>
      <w:outlineLvl w:val="3"/>
    </w:pPr>
    <w:rPr>
      <w:sz w:val="22"/>
    </w:rPr>
  </w:style>
  <w:style w:type="paragraph" w:styleId="Heading5">
    <w:name w:val="heading 5"/>
    <w:basedOn w:val="Heading1"/>
    <w:next w:val="Para0"/>
    <w:semiHidden/>
    <w:pPr>
      <w:numPr>
        <w:ilvl w:val="4"/>
      </w:numPr>
      <w:tabs>
        <w:tab w:val="clear" w:pos="1440"/>
        <w:tab w:val="left" w:pos="1134"/>
      </w:tabs>
      <w:spacing w:before="120" w:after="40"/>
      <w:outlineLvl w:val="4"/>
    </w:pPr>
    <w:rPr>
      <w:sz w:val="22"/>
    </w:rPr>
  </w:style>
  <w:style w:type="paragraph" w:styleId="Heading6">
    <w:name w:val="heading 6"/>
    <w:basedOn w:val="Heading1"/>
    <w:next w:val="Para0"/>
    <w:semiHidden/>
    <w:pPr>
      <w:numPr>
        <w:ilvl w:val="5"/>
      </w:numPr>
      <w:tabs>
        <w:tab w:val="clear" w:pos="1800"/>
        <w:tab w:val="left" w:pos="1276"/>
      </w:tabs>
      <w:spacing w:before="120" w:after="40"/>
      <w:outlineLvl w:val="5"/>
    </w:pPr>
    <w:rPr>
      <w:sz w:val="22"/>
    </w:rPr>
  </w:style>
  <w:style w:type="paragraph" w:styleId="Heading7">
    <w:name w:val="heading 7"/>
    <w:basedOn w:val="Heading1"/>
    <w:next w:val="Para0"/>
    <w:semiHidden/>
    <w:pPr>
      <w:numPr>
        <w:ilvl w:val="6"/>
      </w:numPr>
      <w:tabs>
        <w:tab w:val="clear" w:pos="2160"/>
        <w:tab w:val="left" w:pos="1418"/>
      </w:tabs>
      <w:spacing w:before="120" w:after="40"/>
      <w:outlineLvl w:val="6"/>
    </w:pPr>
    <w:rPr>
      <w:sz w:val="22"/>
    </w:rPr>
  </w:style>
  <w:style w:type="paragraph" w:styleId="Heading8">
    <w:name w:val="heading 8"/>
    <w:basedOn w:val="Heading1"/>
    <w:next w:val="Para0"/>
    <w:semiHidden/>
    <w:pPr>
      <w:numPr>
        <w:ilvl w:val="7"/>
      </w:numPr>
      <w:tabs>
        <w:tab w:val="clear" w:pos="1440"/>
        <w:tab w:val="left" w:pos="1559"/>
      </w:tabs>
      <w:spacing w:before="120" w:after="40"/>
      <w:ind w:left="1559" w:hanging="1559"/>
      <w:outlineLvl w:val="7"/>
    </w:pPr>
    <w:rPr>
      <w:sz w:val="22"/>
    </w:rPr>
  </w:style>
  <w:style w:type="paragraph" w:styleId="Heading9">
    <w:name w:val="heading 9"/>
    <w:basedOn w:val="Heading1"/>
    <w:next w:val="Para0"/>
    <w:semiHidden/>
    <w:pPr>
      <w:numPr>
        <w:numId w:val="0"/>
      </w:numPr>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1"/>
    <w:qFormat/>
    <w:rsid w:val="00E04264"/>
    <w:pPr>
      <w:spacing w:before="240" w:after="0"/>
    </w:pPr>
  </w:style>
  <w:style w:type="paragraph" w:styleId="Header">
    <w:name w:val="header"/>
    <w:link w:val="HeaderChar"/>
    <w:uiPriority w:val="99"/>
    <w:semiHidden/>
    <w:rsid w:val="00E04264"/>
    <w:pPr>
      <w:tabs>
        <w:tab w:val="right" w:pos="8647"/>
      </w:tabs>
    </w:pPr>
    <w:rPr>
      <w:rFonts w:ascii="Arial" w:hAnsi="Arial" w:cs="Arial"/>
    </w:rPr>
  </w:style>
  <w:style w:type="paragraph" w:customStyle="1" w:styleId="Coverclientname">
    <w:name w:val="Cover client name"/>
    <w:basedOn w:val="Normal"/>
    <w:next w:val="Para0"/>
    <w:semiHidden/>
    <w:qFormat/>
    <w:rsid w:val="003D420F"/>
    <w:pPr>
      <w:framePr w:hSpace="180" w:wrap="around" w:vAnchor="text" w:hAnchor="margin" w:y="-547"/>
    </w:pPr>
    <w:rPr>
      <w:color w:val="000000" w:themeColor="text1"/>
      <w:sz w:val="52"/>
      <w:szCs w:val="32"/>
    </w:rPr>
  </w:style>
  <w:style w:type="paragraph" w:styleId="Caption">
    <w:name w:val="caption"/>
    <w:basedOn w:val="Para0"/>
    <w:next w:val="Para0"/>
    <w:uiPriority w:val="2"/>
    <w:rsid w:val="00961C55"/>
    <w:pPr>
      <w:keepNext/>
      <w:keepLines/>
      <w:numPr>
        <w:numId w:val="1"/>
      </w:numPr>
      <w:tabs>
        <w:tab w:val="left" w:pos="397"/>
      </w:tabs>
      <w:spacing w:before="120" w:after="120" w:line="240" w:lineRule="auto"/>
    </w:pPr>
    <w:rPr>
      <w:b/>
      <w:color w:val="00AEEF"/>
    </w:rPr>
  </w:style>
  <w:style w:type="paragraph" w:styleId="Footer">
    <w:name w:val="footer"/>
    <w:basedOn w:val="Normal"/>
    <w:link w:val="FooterChar"/>
    <w:uiPriority w:val="99"/>
    <w:semiHidden/>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pPr>
      <w:numPr>
        <w:numId w:val="0"/>
      </w:numPr>
      <w:outlineLvl w:val="9"/>
    </w:pPr>
  </w:style>
  <w:style w:type="paragraph" w:customStyle="1" w:styleId="Head2manual">
    <w:name w:val="Head 2 manual"/>
    <w:basedOn w:val="Head1manual"/>
    <w:next w:val="Para0"/>
    <w:rsid w:val="00934B75"/>
    <w:pPr>
      <w:pageBreakBefore w:val="0"/>
      <w:spacing w:before="120" w:after="40"/>
    </w:pPr>
    <w:rPr>
      <w:sz w:val="22"/>
    </w:rPr>
  </w:style>
  <w:style w:type="paragraph" w:customStyle="1" w:styleId="Head3manual">
    <w:name w:val="Head 3 manual"/>
    <w:basedOn w:val="Head1manual"/>
    <w:next w:val="Para0"/>
    <w:pPr>
      <w:spacing w:before="120" w:after="40"/>
    </w:pPr>
    <w:rPr>
      <w:sz w:val="22"/>
    </w:rPr>
  </w:style>
  <w:style w:type="paragraph" w:customStyle="1" w:styleId="TOC">
    <w:name w:val="TOC"/>
    <w:basedOn w:val="Normal"/>
    <w:semiHidden/>
    <w:rsid w:val="00657AD8"/>
    <w:pPr>
      <w:ind w:right="567"/>
    </w:pPr>
  </w:style>
  <w:style w:type="paragraph" w:customStyle="1" w:styleId="Para0bullet">
    <w:name w:val="Para 0 bullet"/>
    <w:basedOn w:val="Para0"/>
    <w:link w:val="Para0bulletChar"/>
    <w:qFormat/>
    <w:rsid w:val="00E04264"/>
    <w:pPr>
      <w:spacing w:before="60" w:after="60"/>
    </w:pPr>
  </w:style>
  <w:style w:type="paragraph" w:customStyle="1" w:styleId="TOCpara">
    <w:name w:val="TOC para"/>
    <w:basedOn w:val="Normal"/>
    <w:semiHidden/>
    <w:rsid w:val="00657AD8"/>
    <w:pPr>
      <w:ind w:right="567"/>
    </w:pPr>
  </w:style>
  <w:style w:type="paragraph" w:customStyle="1" w:styleId="Para0letter">
    <w:name w:val="Para 0 letter"/>
    <w:basedOn w:val="Para0"/>
    <w:uiPriority w:val="1"/>
    <w:qFormat/>
    <w:rsid w:val="00E04264"/>
    <w:pPr>
      <w:numPr>
        <w:numId w:val="3"/>
      </w:numPr>
      <w:spacing w:before="60" w:after="60"/>
    </w:pPr>
  </w:style>
  <w:style w:type="paragraph" w:customStyle="1" w:styleId="TableFont">
    <w:name w:val="TableFont"/>
    <w:basedOn w:val="Para0"/>
    <w:uiPriority w:val="3"/>
    <w:qFormat/>
    <w:pPr>
      <w:spacing w:before="40" w:after="40" w:line="240" w:lineRule="auto"/>
    </w:pPr>
    <w:rPr>
      <w:sz w:val="18"/>
    </w:rPr>
  </w:style>
  <w:style w:type="paragraph" w:customStyle="1" w:styleId="TableFontH">
    <w:name w:val="TableFontH"/>
    <w:basedOn w:val="TableFont"/>
    <w:uiPriority w:val="3"/>
    <w:qFormat/>
    <w:rsid w:val="00657AD8"/>
    <w:pPr>
      <w:keepNext/>
      <w:spacing w:before="60" w:after="60"/>
    </w:pPr>
    <w:rPr>
      <w:b/>
      <w:color w:val="FFFFFF" w:themeColor="background1"/>
    </w:rPr>
  </w:style>
  <w:style w:type="paragraph" w:customStyle="1" w:styleId="Coverprojectname">
    <w:name w:val="Cover project name"/>
    <w:next w:val="Para0"/>
    <w:semiHidden/>
    <w:qFormat/>
    <w:rsid w:val="001F624F"/>
    <w:pPr>
      <w:spacing w:after="240"/>
      <w:jc w:val="right"/>
    </w:pPr>
    <w:rPr>
      <w:rFonts w:ascii="Arial" w:hAnsi="Arial"/>
      <w:b/>
      <w:color w:val="F15A29"/>
      <w:sz w:val="44"/>
      <w:szCs w:val="32"/>
      <w:lang w:val="en-GB" w:eastAsia="en-US"/>
    </w:rPr>
  </w:style>
  <w:style w:type="paragraph" w:styleId="TOC1">
    <w:name w:val="toc 1"/>
    <w:basedOn w:val="Para0"/>
    <w:next w:val="Para0"/>
    <w:uiPriority w:val="39"/>
    <w:pPr>
      <w:tabs>
        <w:tab w:val="left" w:pos="567"/>
        <w:tab w:val="right" w:pos="8505"/>
      </w:tabs>
      <w:spacing w:before="120" w:after="120" w:line="240" w:lineRule="auto"/>
    </w:pPr>
    <w:rPr>
      <w:b/>
      <w:noProof/>
      <w:sz w:val="24"/>
    </w:rPr>
  </w:style>
  <w:style w:type="paragraph" w:styleId="TOC2">
    <w:name w:val="toc 2"/>
    <w:basedOn w:val="TOC1"/>
    <w:next w:val="Para0"/>
    <w:uiPriority w:val="39"/>
    <w:pPr>
      <w:tabs>
        <w:tab w:val="clear" w:pos="567"/>
        <w:tab w:val="left" w:pos="1276"/>
      </w:tabs>
      <w:spacing w:before="0" w:after="60"/>
      <w:ind w:left="567"/>
    </w:pPr>
    <w:rPr>
      <w:sz w:val="22"/>
    </w:rPr>
  </w:style>
  <w:style w:type="paragraph" w:styleId="TOC3">
    <w:name w:val="toc 3"/>
    <w:basedOn w:val="TOC1"/>
    <w:next w:val="Para0"/>
    <w:uiPriority w:val="39"/>
    <w:pPr>
      <w:tabs>
        <w:tab w:val="clear" w:pos="567"/>
        <w:tab w:val="left" w:pos="1276"/>
      </w:tabs>
      <w:spacing w:before="0" w:after="60"/>
      <w:ind w:left="567"/>
    </w:pPr>
    <w:rPr>
      <w:b w:val="0"/>
      <w:sz w:val="20"/>
    </w:rPr>
  </w:style>
  <w:style w:type="paragraph" w:styleId="TOC4">
    <w:name w:val="toc 4"/>
    <w:basedOn w:val="TOC1"/>
    <w:next w:val="Para0"/>
    <w:semiHidden/>
    <w:pPr>
      <w:tabs>
        <w:tab w:val="clear" w:pos="567"/>
        <w:tab w:val="left" w:pos="1418"/>
      </w:tabs>
      <w:spacing w:before="0" w:after="60"/>
      <w:ind w:left="567"/>
    </w:pPr>
    <w:rPr>
      <w:b w:val="0"/>
      <w:sz w:val="20"/>
    </w:rPr>
  </w:style>
  <w:style w:type="paragraph" w:styleId="TOC5">
    <w:name w:val="toc 5"/>
    <w:basedOn w:val="TOC1"/>
    <w:next w:val="Para0"/>
    <w:semiHidden/>
    <w:pPr>
      <w:tabs>
        <w:tab w:val="clear" w:pos="567"/>
        <w:tab w:val="left" w:pos="1559"/>
      </w:tabs>
      <w:spacing w:before="0" w:after="60"/>
      <w:ind w:left="567"/>
    </w:pPr>
    <w:rPr>
      <w:b w:val="0"/>
      <w:sz w:val="20"/>
    </w:rPr>
  </w:style>
  <w:style w:type="paragraph" w:styleId="TOC6">
    <w:name w:val="toc 6"/>
    <w:basedOn w:val="TOC1"/>
    <w:next w:val="Para0"/>
    <w:semiHidden/>
    <w:pPr>
      <w:tabs>
        <w:tab w:val="clear" w:pos="567"/>
        <w:tab w:val="left" w:pos="1701"/>
      </w:tabs>
      <w:spacing w:before="0" w:after="60"/>
      <w:ind w:left="567"/>
    </w:pPr>
    <w:rPr>
      <w:b w:val="0"/>
      <w:sz w:val="20"/>
    </w:rPr>
  </w:style>
  <w:style w:type="paragraph" w:styleId="TOC7">
    <w:name w:val="toc 7"/>
    <w:basedOn w:val="TOC1"/>
    <w:next w:val="Para0"/>
    <w:semiHidden/>
    <w:pPr>
      <w:tabs>
        <w:tab w:val="clear" w:pos="567"/>
        <w:tab w:val="left" w:pos="1843"/>
      </w:tabs>
      <w:spacing w:before="0" w:after="60"/>
      <w:ind w:left="567"/>
    </w:pPr>
    <w:rPr>
      <w:b w:val="0"/>
      <w:sz w:val="20"/>
    </w:rPr>
  </w:style>
  <w:style w:type="paragraph" w:styleId="TOC8">
    <w:name w:val="toc 8"/>
    <w:basedOn w:val="TOC1"/>
    <w:next w:val="Para0"/>
    <w:semiHidden/>
    <w:pPr>
      <w:tabs>
        <w:tab w:val="clear" w:pos="567"/>
        <w:tab w:val="left" w:pos="1985"/>
      </w:tabs>
      <w:spacing w:before="0" w:after="60"/>
      <w:ind w:left="567"/>
    </w:pPr>
    <w:rPr>
      <w:b w:val="0"/>
      <w:sz w:val="20"/>
    </w:rPr>
  </w:style>
  <w:style w:type="paragraph" w:customStyle="1" w:styleId="Coverreporttitle">
    <w:name w:val="Cover report title"/>
    <w:next w:val="Para0"/>
    <w:semiHidden/>
    <w:qFormat/>
    <w:rsid w:val="001F624F"/>
    <w:pPr>
      <w:spacing w:after="240"/>
      <w:jc w:val="right"/>
    </w:pPr>
    <w:rPr>
      <w:rFonts w:ascii="Arial" w:hAnsi="Arial"/>
      <w:color w:val="000000" w:themeColor="text1"/>
      <w:sz w:val="44"/>
      <w:szCs w:val="32"/>
      <w:lang w:val="en-GB" w:eastAsia="en-US"/>
    </w:rPr>
  </w:style>
  <w:style w:type="paragraph" w:customStyle="1" w:styleId="DocStatusH">
    <w:name w:val="DocStatusH"/>
    <w:basedOn w:val="DocStatus"/>
    <w:semiHidden/>
    <w:rsid w:val="00CE4D2B"/>
    <w:pPr>
      <w:spacing w:before="60" w:after="60"/>
    </w:pPr>
    <w:rPr>
      <w:b/>
      <w:color w:val="FFFFFF" w:themeColor="background1"/>
    </w:rPr>
  </w:style>
  <w:style w:type="paragraph" w:customStyle="1" w:styleId="DocStatus">
    <w:name w:val="DocStatus"/>
    <w:basedOn w:val="TableFont"/>
    <w:semiHidden/>
    <w:rsid w:val="00CE4D2B"/>
  </w:style>
  <w:style w:type="paragraph" w:customStyle="1" w:styleId="Head4manual">
    <w:name w:val="Head 4 manual"/>
    <w:basedOn w:val="Head1manual"/>
    <w:next w:val="Para0"/>
    <w:pPr>
      <w:spacing w:before="120" w:after="40"/>
    </w:pPr>
    <w:rPr>
      <w:sz w:val="22"/>
    </w:rPr>
  </w:style>
  <w:style w:type="paragraph" w:customStyle="1" w:styleId="Appendix1">
    <w:name w:val="Appendix 1"/>
    <w:basedOn w:val="Heading1"/>
    <w:next w:val="Para0"/>
    <w:uiPriority w:val="4"/>
    <w:qFormat/>
    <w:pPr>
      <w:numPr>
        <w:numId w:val="5"/>
      </w:numPr>
    </w:pPr>
  </w:style>
  <w:style w:type="paragraph" w:customStyle="1" w:styleId="Appendix2">
    <w:name w:val="Appendix 2"/>
    <w:basedOn w:val="Appendix1"/>
    <w:next w:val="Para0"/>
    <w:uiPriority w:val="4"/>
    <w:qFormat/>
    <w:pPr>
      <w:numPr>
        <w:ilvl w:val="1"/>
      </w:numPr>
      <w:spacing w:before="120" w:after="40"/>
      <w:outlineLvl w:val="1"/>
    </w:pPr>
    <w:rPr>
      <w:sz w:val="22"/>
    </w:rPr>
  </w:style>
  <w:style w:type="paragraph" w:customStyle="1" w:styleId="Appendix3">
    <w:name w:val="Appendix 3"/>
    <w:basedOn w:val="Appendix1"/>
    <w:next w:val="Para0"/>
    <w:uiPriority w:val="4"/>
    <w:qFormat/>
    <w:pPr>
      <w:numPr>
        <w:ilvl w:val="2"/>
      </w:numPr>
      <w:spacing w:before="120" w:after="40"/>
      <w:outlineLvl w:val="2"/>
    </w:pPr>
    <w:rPr>
      <w:sz w:val="22"/>
    </w:rPr>
  </w:style>
  <w:style w:type="paragraph" w:customStyle="1" w:styleId="Coverversion">
    <w:name w:val="Cover version"/>
    <w:next w:val="Para0"/>
    <w:semiHidden/>
    <w:qFormat/>
    <w:rsid w:val="003D420F"/>
    <w:pPr>
      <w:spacing w:after="120"/>
      <w:jc w:val="right"/>
    </w:pPr>
    <w:rPr>
      <w:rFonts w:ascii="Arial" w:hAnsi="Arial"/>
      <w:color w:val="000000" w:themeColor="text1"/>
      <w:sz w:val="32"/>
      <w:szCs w:val="32"/>
      <w:lang w:val="en-GB" w:eastAsia="en-US"/>
    </w:rPr>
  </w:style>
  <w:style w:type="paragraph" w:customStyle="1" w:styleId="Cover">
    <w:name w:val="Cover"/>
    <w:next w:val="Para0"/>
    <w:semiHidden/>
    <w:qFormat/>
    <w:rsid w:val="003D420F"/>
    <w:rPr>
      <w:rFonts w:ascii="Arial" w:hAnsi="Arial"/>
      <w:color w:val="000000" w:themeColor="text1"/>
      <w:sz w:val="54"/>
      <w:szCs w:val="54"/>
      <w:lang w:val="en-GB" w:eastAsia="en-US"/>
    </w:rPr>
  </w:style>
  <w:style w:type="paragraph" w:customStyle="1" w:styleId="Copyright">
    <w:name w:val="Copyright"/>
    <w:basedOn w:val="Para0"/>
    <w:next w:val="Para0"/>
    <w:semiHidden/>
    <w:pPr>
      <w:spacing w:before="120" w:line="240" w:lineRule="auto"/>
    </w:pPr>
    <w:rPr>
      <w:sz w:val="16"/>
    </w:rPr>
  </w:style>
  <w:style w:type="paragraph" w:styleId="TableofFigures">
    <w:name w:val="table of figures"/>
    <w:basedOn w:val="TOC1"/>
    <w:next w:val="Para0"/>
    <w:semiHidden/>
    <w:rPr>
      <w:b w:val="0"/>
      <w:sz w:val="20"/>
    </w:rPr>
  </w:style>
  <w:style w:type="paragraph" w:customStyle="1" w:styleId="TableFontbullet">
    <w:name w:val="TableFont bullet"/>
    <w:basedOn w:val="TableFont"/>
    <w:uiPriority w:val="3"/>
    <w:qFormat/>
    <w:pPr>
      <w:numPr>
        <w:numId w:val="6"/>
      </w:numPr>
      <w:spacing w:before="20" w:after="0"/>
    </w:pPr>
  </w:style>
  <w:style w:type="character" w:customStyle="1" w:styleId="Para0Char">
    <w:name w:val="Para 0 Char"/>
    <w:aliases w:val="Auto Char,After:  3 pt Char Char"/>
    <w:basedOn w:val="DefaultParagraphFont"/>
    <w:link w:val="Para0"/>
    <w:uiPriority w:val="1"/>
    <w:rsid w:val="00961C55"/>
    <w:rPr>
      <w:rFonts w:ascii="Arial" w:hAnsi="Arial"/>
      <w:color w:val="000000"/>
      <w:lang w:val="en-GB" w:eastAsia="en-US"/>
    </w:rPr>
  </w:style>
  <w:style w:type="character" w:styleId="CommentReference">
    <w:name w:val="annotation reference"/>
    <w:basedOn w:val="DefaultParagraphFont"/>
    <w:semiHidden/>
    <w:rsid w:val="00940E42"/>
    <w:rPr>
      <w:sz w:val="16"/>
      <w:szCs w:val="16"/>
    </w:rPr>
  </w:style>
  <w:style w:type="paragraph" w:styleId="CommentText">
    <w:name w:val="annotation text"/>
    <w:basedOn w:val="Normal"/>
    <w:link w:val="CommentTextChar"/>
    <w:semiHidden/>
    <w:rsid w:val="00940E42"/>
  </w:style>
  <w:style w:type="paragraph" w:styleId="CommentSubject">
    <w:name w:val="annotation subject"/>
    <w:basedOn w:val="CommentText"/>
    <w:next w:val="CommentText"/>
    <w:semiHidden/>
    <w:rsid w:val="00940E42"/>
    <w:rPr>
      <w:b/>
      <w:bCs/>
    </w:rPr>
  </w:style>
  <w:style w:type="paragraph" w:styleId="BalloonText">
    <w:name w:val="Balloon Text"/>
    <w:basedOn w:val="Normal"/>
    <w:semiHidden/>
    <w:rsid w:val="00940E42"/>
    <w:rPr>
      <w:rFonts w:ascii="Tahoma" w:hAnsi="Tahoma" w:cs="Tahoma"/>
      <w:sz w:val="16"/>
      <w:szCs w:val="16"/>
    </w:rPr>
  </w:style>
  <w:style w:type="table" w:styleId="TableGrid">
    <w:name w:val="Table Grid"/>
    <w:basedOn w:val="TableNormal"/>
    <w:uiPriority w:val="59"/>
    <w:rsid w:val="000A5509"/>
    <w:pPr>
      <w:spacing w:after="220"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Para0Char"/>
    <w:uiPriority w:val="99"/>
    <w:rsid w:val="005E523B"/>
    <w:rPr>
      <w:rFonts w:ascii="Arial" w:hAnsi="Arial"/>
      <w:color w:val="0000FF"/>
      <w:u w:val="single"/>
      <w:lang w:val="en-GB" w:eastAsia="en-US"/>
    </w:rPr>
  </w:style>
  <w:style w:type="paragraph" w:styleId="Revision">
    <w:name w:val="Revision"/>
    <w:hidden/>
    <w:uiPriority w:val="99"/>
    <w:semiHidden/>
    <w:rsid w:val="00792B1A"/>
    <w:rPr>
      <w:color w:val="000000"/>
      <w:sz w:val="22"/>
      <w:lang w:val="en-GB" w:eastAsia="en-US"/>
    </w:rPr>
  </w:style>
  <w:style w:type="character" w:customStyle="1" w:styleId="HeaderChar">
    <w:name w:val="Header Char"/>
    <w:basedOn w:val="DefaultParagraphFont"/>
    <w:link w:val="Header"/>
    <w:uiPriority w:val="99"/>
    <w:semiHidden/>
    <w:rsid w:val="00961C55"/>
    <w:rPr>
      <w:rFonts w:ascii="Arial" w:hAnsi="Arial" w:cs="Arial"/>
    </w:rPr>
  </w:style>
  <w:style w:type="character" w:customStyle="1" w:styleId="FooterChar">
    <w:name w:val="Footer Char"/>
    <w:basedOn w:val="DefaultParagraphFont"/>
    <w:link w:val="Footer"/>
    <w:uiPriority w:val="99"/>
    <w:semiHidden/>
    <w:rsid w:val="00961C55"/>
    <w:rPr>
      <w:rFonts w:ascii="Arial Narrow" w:hAnsi="Arial Narrow"/>
      <w:noProof/>
      <w:color w:val="808080"/>
      <w:sz w:val="16"/>
      <w:lang w:val="en-GB" w:eastAsia="en-US"/>
    </w:rPr>
  </w:style>
  <w:style w:type="paragraph" w:customStyle="1" w:styleId="StyleRight1cm">
    <w:name w:val="Style Right:  1 cm"/>
    <w:basedOn w:val="Para0"/>
    <w:semiHidden/>
    <w:rsid w:val="00E04264"/>
    <w:pPr>
      <w:ind w:right="567"/>
    </w:pPr>
  </w:style>
  <w:style w:type="numbering" w:customStyle="1" w:styleId="Para0sub-bullet">
    <w:name w:val="Para 0 sub-bullet"/>
    <w:basedOn w:val="NoList"/>
    <w:rsid w:val="00C556B6"/>
    <w:pPr>
      <w:numPr>
        <w:numId w:val="7"/>
      </w:numPr>
    </w:pPr>
  </w:style>
  <w:style w:type="paragraph" w:customStyle="1" w:styleId="Para0bullet2">
    <w:name w:val="Para 0 bullet 2"/>
    <w:basedOn w:val="Para0bullet"/>
    <w:uiPriority w:val="1"/>
    <w:qFormat/>
    <w:rsid w:val="00C556B6"/>
    <w:pPr>
      <w:numPr>
        <w:numId w:val="8"/>
      </w:numPr>
      <w:ind w:left="1360" w:hanging="680"/>
    </w:pPr>
  </w:style>
  <w:style w:type="paragraph" w:customStyle="1" w:styleId="Sidebarheading">
    <w:name w:val="Sidebar heading"/>
    <w:basedOn w:val="Normal"/>
    <w:next w:val="Sidebartext"/>
    <w:qFormat/>
    <w:rsid w:val="00A452A4"/>
    <w:pPr>
      <w:framePr w:hSpace="181" w:wrap="around" w:hAnchor="margin" w:x="109" w:y="182"/>
      <w:spacing w:before="40" w:after="120" w:line="240" w:lineRule="atLeast"/>
      <w:ind w:left="113"/>
    </w:pPr>
    <w:rPr>
      <w:rFonts w:ascii="Open Sans" w:eastAsiaTheme="minorEastAsia" w:hAnsi="Open Sans" w:cstheme="minorBidi"/>
      <w:b/>
      <w:caps/>
      <w:color w:val="00338D"/>
      <w:sz w:val="18"/>
      <w:szCs w:val="24"/>
      <w:lang w:val="en-AU"/>
    </w:rPr>
  </w:style>
  <w:style w:type="paragraph" w:customStyle="1" w:styleId="Sidebartext">
    <w:name w:val="Sidebar text"/>
    <w:basedOn w:val="Sidebarheading"/>
    <w:qFormat/>
    <w:rsid w:val="00A452A4"/>
    <w:pPr>
      <w:framePr w:wrap="around"/>
    </w:pPr>
    <w:rPr>
      <w:b w:val="0"/>
      <w:caps w:val="0"/>
      <w:color w:val="auto"/>
    </w:rPr>
  </w:style>
  <w:style w:type="paragraph" w:customStyle="1" w:styleId="Sidebarbullet">
    <w:name w:val="Sidebar bullet"/>
    <w:basedOn w:val="Sidebartext"/>
    <w:qFormat/>
    <w:rsid w:val="00A452A4"/>
    <w:pPr>
      <w:framePr w:wrap="around"/>
      <w:numPr>
        <w:numId w:val="9"/>
      </w:numPr>
      <w:spacing w:after="60"/>
    </w:pPr>
  </w:style>
  <w:style w:type="paragraph" w:customStyle="1" w:styleId="PurpleHeading">
    <w:name w:val="Purple Heading"/>
    <w:basedOn w:val="Normal"/>
    <w:rsid w:val="00A452A4"/>
    <w:pPr>
      <w:framePr w:hSpace="181" w:wrap="around" w:vAnchor="text" w:hAnchor="margin" w:x="142" w:y="456"/>
      <w:spacing w:before="80" w:after="0" w:line="320" w:lineRule="atLeast"/>
      <w:suppressOverlap/>
    </w:pPr>
    <w:rPr>
      <w:rFonts w:ascii="Arial Black" w:eastAsiaTheme="minorEastAsia" w:hAnsi="Arial Black" w:cstheme="minorBidi"/>
      <w:b/>
      <w:color w:val="00338D"/>
      <w:sz w:val="24"/>
      <w:szCs w:val="24"/>
      <w:lang w:val="en-AU"/>
    </w:rPr>
  </w:style>
  <w:style w:type="numbering" w:customStyle="1" w:styleId="SKMSidebarList">
    <w:name w:val="SKM Sidebar List"/>
    <w:uiPriority w:val="99"/>
    <w:rsid w:val="00A452A4"/>
    <w:pPr>
      <w:numPr>
        <w:numId w:val="9"/>
      </w:numPr>
    </w:pPr>
  </w:style>
  <w:style w:type="character" w:customStyle="1" w:styleId="Para0bulletChar">
    <w:name w:val="Para 0 bullet Char"/>
    <w:basedOn w:val="DefaultParagraphFont"/>
    <w:link w:val="Para0bullet"/>
    <w:rsid w:val="00A452A4"/>
    <w:rPr>
      <w:rFonts w:ascii="Arial" w:hAnsi="Arial"/>
      <w:color w:val="000000"/>
      <w:lang w:val="en-GB" w:eastAsia="en-US"/>
    </w:rPr>
  </w:style>
  <w:style w:type="paragraph" w:customStyle="1" w:styleId="Tablebullet">
    <w:name w:val="Table bullet"/>
    <w:basedOn w:val="Tabletext"/>
    <w:qFormat/>
    <w:rsid w:val="0085410F"/>
    <w:pPr>
      <w:numPr>
        <w:numId w:val="11"/>
      </w:numPr>
    </w:pPr>
  </w:style>
  <w:style w:type="paragraph" w:customStyle="1" w:styleId="Tableheading">
    <w:name w:val="Table heading"/>
    <w:basedOn w:val="Normal"/>
    <w:qFormat/>
    <w:rsid w:val="0085410F"/>
    <w:pPr>
      <w:keepNext/>
      <w:spacing w:before="100" w:after="100" w:line="240" w:lineRule="atLeast"/>
    </w:pPr>
    <w:rPr>
      <w:rFonts w:ascii="Arial Black" w:eastAsiaTheme="minorEastAsia" w:hAnsi="Arial Black" w:cstheme="minorBidi"/>
      <w:color w:val="auto"/>
      <w:sz w:val="16"/>
      <w:szCs w:val="24"/>
      <w:lang w:val="en-AU"/>
    </w:rPr>
  </w:style>
  <w:style w:type="paragraph" w:customStyle="1" w:styleId="Tabletext">
    <w:name w:val="Table text"/>
    <w:basedOn w:val="Normal"/>
    <w:qFormat/>
    <w:rsid w:val="0085410F"/>
    <w:pPr>
      <w:spacing w:before="60" w:after="60" w:line="240" w:lineRule="atLeast"/>
    </w:pPr>
    <w:rPr>
      <w:rFonts w:eastAsiaTheme="minorEastAsia" w:cstheme="minorBidi"/>
      <w:color w:val="auto"/>
      <w:szCs w:val="24"/>
      <w:lang w:val="en-AU"/>
    </w:rPr>
  </w:style>
  <w:style w:type="paragraph" w:customStyle="1" w:styleId="TableContent">
    <w:name w:val="Table Content"/>
    <w:basedOn w:val="Normal"/>
    <w:qFormat/>
    <w:rsid w:val="0085410F"/>
    <w:pPr>
      <w:spacing w:before="60" w:after="60" w:line="240" w:lineRule="exact"/>
    </w:pPr>
    <w:rPr>
      <w:rFonts w:eastAsiaTheme="minorEastAsia" w:cstheme="minorBidi"/>
      <w:color w:val="auto"/>
      <w:szCs w:val="24"/>
      <w:lang w:val="en-US"/>
    </w:rPr>
  </w:style>
  <w:style w:type="numbering" w:customStyle="1" w:styleId="SKMTableList1">
    <w:name w:val="SKM Table List 1"/>
    <w:uiPriority w:val="99"/>
    <w:rsid w:val="0085410F"/>
    <w:pPr>
      <w:numPr>
        <w:numId w:val="10"/>
      </w:numPr>
    </w:pPr>
  </w:style>
  <w:style w:type="paragraph" w:customStyle="1" w:styleId="cvmain">
    <w:name w:val="cv_main"/>
    <w:basedOn w:val="Normal"/>
    <w:qFormat/>
    <w:rsid w:val="00090A2F"/>
    <w:pPr>
      <w:spacing w:before="120" w:after="120" w:line="240" w:lineRule="auto"/>
    </w:pPr>
    <w:rPr>
      <w:rFonts w:ascii="Calibri" w:hAnsi="Calibri"/>
      <w:color w:val="auto"/>
      <w:sz w:val="22"/>
      <w:szCs w:val="24"/>
      <w:lang w:val="en-AU" w:eastAsia="en-AU"/>
    </w:rPr>
  </w:style>
  <w:style w:type="paragraph" w:styleId="FootnoteText">
    <w:name w:val="footnote text"/>
    <w:basedOn w:val="Normal"/>
    <w:link w:val="FootnoteTextChar"/>
    <w:semiHidden/>
    <w:unhideWhenUsed/>
    <w:rsid w:val="00CD334C"/>
    <w:pPr>
      <w:spacing w:after="0" w:line="240" w:lineRule="auto"/>
    </w:pPr>
  </w:style>
  <w:style w:type="character" w:customStyle="1" w:styleId="FootnoteTextChar">
    <w:name w:val="Footnote Text Char"/>
    <w:basedOn w:val="DefaultParagraphFont"/>
    <w:link w:val="FootnoteText"/>
    <w:semiHidden/>
    <w:rsid w:val="00CD334C"/>
    <w:rPr>
      <w:rFonts w:ascii="Arial" w:hAnsi="Arial"/>
      <w:color w:val="000000"/>
      <w:lang w:val="en-GB" w:eastAsia="en-US"/>
    </w:rPr>
  </w:style>
  <w:style w:type="character" w:styleId="FootnoteReference">
    <w:name w:val="footnote reference"/>
    <w:basedOn w:val="DefaultParagraphFont"/>
    <w:semiHidden/>
    <w:unhideWhenUsed/>
    <w:rsid w:val="00CD334C"/>
    <w:rPr>
      <w:vertAlign w:val="superscript"/>
    </w:rPr>
  </w:style>
  <w:style w:type="paragraph" w:customStyle="1" w:styleId="Quotation">
    <w:name w:val="Quotation"/>
    <w:basedOn w:val="Para0"/>
    <w:next w:val="Para0"/>
    <w:qFormat/>
    <w:rsid w:val="005B45F2"/>
    <w:pPr>
      <w:spacing w:before="60"/>
      <w:ind w:left="709"/>
    </w:pPr>
    <w:rPr>
      <w:i/>
    </w:rPr>
  </w:style>
  <w:style w:type="character" w:styleId="EndnoteReference">
    <w:name w:val="endnote reference"/>
    <w:basedOn w:val="DefaultParagraphFont"/>
    <w:semiHidden/>
    <w:unhideWhenUsed/>
    <w:rsid w:val="00D07F71"/>
    <w:rPr>
      <w:vertAlign w:val="superscript"/>
    </w:rPr>
  </w:style>
  <w:style w:type="paragraph" w:styleId="ListParagraph">
    <w:name w:val="List Paragraph"/>
    <w:basedOn w:val="Normal"/>
    <w:uiPriority w:val="34"/>
    <w:semiHidden/>
    <w:rsid w:val="0070334A"/>
    <w:pPr>
      <w:ind w:left="720"/>
      <w:contextualSpacing/>
    </w:pPr>
  </w:style>
  <w:style w:type="character" w:customStyle="1" w:styleId="CommentTextChar">
    <w:name w:val="Comment Text Char"/>
    <w:basedOn w:val="DefaultParagraphFont"/>
    <w:link w:val="CommentText"/>
    <w:semiHidden/>
    <w:rsid w:val="00455F64"/>
    <w:rPr>
      <w:rFonts w:ascii="Arial" w:hAnsi="Arial"/>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594959">
      <w:bodyDiv w:val="1"/>
      <w:marLeft w:val="0"/>
      <w:marRight w:val="0"/>
      <w:marTop w:val="0"/>
      <w:marBottom w:val="0"/>
      <w:divBdr>
        <w:top w:val="none" w:sz="0" w:space="0" w:color="auto"/>
        <w:left w:val="none" w:sz="0" w:space="0" w:color="auto"/>
        <w:bottom w:val="none" w:sz="0" w:space="0" w:color="auto"/>
        <w:right w:val="none" w:sz="0" w:space="0" w:color="auto"/>
      </w:divBdr>
    </w:div>
    <w:div w:id="310134319">
      <w:bodyDiv w:val="1"/>
      <w:marLeft w:val="0"/>
      <w:marRight w:val="0"/>
      <w:marTop w:val="0"/>
      <w:marBottom w:val="0"/>
      <w:divBdr>
        <w:top w:val="none" w:sz="0" w:space="0" w:color="auto"/>
        <w:left w:val="none" w:sz="0" w:space="0" w:color="auto"/>
        <w:bottom w:val="none" w:sz="0" w:space="0" w:color="auto"/>
        <w:right w:val="none" w:sz="0" w:space="0" w:color="auto"/>
      </w:divBdr>
    </w:div>
    <w:div w:id="327515705">
      <w:bodyDiv w:val="1"/>
      <w:marLeft w:val="0"/>
      <w:marRight w:val="0"/>
      <w:marTop w:val="0"/>
      <w:marBottom w:val="0"/>
      <w:divBdr>
        <w:top w:val="none" w:sz="0" w:space="0" w:color="auto"/>
        <w:left w:val="none" w:sz="0" w:space="0" w:color="auto"/>
        <w:bottom w:val="none" w:sz="0" w:space="0" w:color="auto"/>
        <w:right w:val="none" w:sz="0" w:space="0" w:color="auto"/>
      </w:divBdr>
    </w:div>
    <w:div w:id="348683586">
      <w:bodyDiv w:val="1"/>
      <w:marLeft w:val="0"/>
      <w:marRight w:val="0"/>
      <w:marTop w:val="0"/>
      <w:marBottom w:val="0"/>
      <w:divBdr>
        <w:top w:val="none" w:sz="0" w:space="0" w:color="auto"/>
        <w:left w:val="none" w:sz="0" w:space="0" w:color="auto"/>
        <w:bottom w:val="none" w:sz="0" w:space="0" w:color="auto"/>
        <w:right w:val="none" w:sz="0" w:space="0" w:color="auto"/>
      </w:divBdr>
    </w:div>
    <w:div w:id="472067019">
      <w:bodyDiv w:val="1"/>
      <w:marLeft w:val="0"/>
      <w:marRight w:val="0"/>
      <w:marTop w:val="0"/>
      <w:marBottom w:val="0"/>
      <w:divBdr>
        <w:top w:val="none" w:sz="0" w:space="0" w:color="auto"/>
        <w:left w:val="none" w:sz="0" w:space="0" w:color="auto"/>
        <w:bottom w:val="none" w:sz="0" w:space="0" w:color="auto"/>
        <w:right w:val="none" w:sz="0" w:space="0" w:color="auto"/>
      </w:divBdr>
    </w:div>
    <w:div w:id="587151936">
      <w:bodyDiv w:val="1"/>
      <w:marLeft w:val="0"/>
      <w:marRight w:val="0"/>
      <w:marTop w:val="0"/>
      <w:marBottom w:val="0"/>
      <w:divBdr>
        <w:top w:val="none" w:sz="0" w:space="0" w:color="auto"/>
        <w:left w:val="none" w:sz="0" w:space="0" w:color="auto"/>
        <w:bottom w:val="none" w:sz="0" w:space="0" w:color="auto"/>
        <w:right w:val="none" w:sz="0" w:space="0" w:color="auto"/>
      </w:divBdr>
    </w:div>
    <w:div w:id="652219887">
      <w:bodyDiv w:val="1"/>
      <w:marLeft w:val="0"/>
      <w:marRight w:val="0"/>
      <w:marTop w:val="0"/>
      <w:marBottom w:val="0"/>
      <w:divBdr>
        <w:top w:val="none" w:sz="0" w:space="0" w:color="auto"/>
        <w:left w:val="none" w:sz="0" w:space="0" w:color="auto"/>
        <w:bottom w:val="none" w:sz="0" w:space="0" w:color="auto"/>
        <w:right w:val="none" w:sz="0" w:space="0" w:color="auto"/>
      </w:divBdr>
    </w:div>
    <w:div w:id="690297098">
      <w:bodyDiv w:val="1"/>
      <w:marLeft w:val="0"/>
      <w:marRight w:val="0"/>
      <w:marTop w:val="0"/>
      <w:marBottom w:val="0"/>
      <w:divBdr>
        <w:top w:val="none" w:sz="0" w:space="0" w:color="auto"/>
        <w:left w:val="none" w:sz="0" w:space="0" w:color="auto"/>
        <w:bottom w:val="none" w:sz="0" w:space="0" w:color="auto"/>
        <w:right w:val="none" w:sz="0" w:space="0" w:color="auto"/>
      </w:divBdr>
    </w:div>
    <w:div w:id="693968804">
      <w:bodyDiv w:val="1"/>
      <w:marLeft w:val="0"/>
      <w:marRight w:val="0"/>
      <w:marTop w:val="0"/>
      <w:marBottom w:val="0"/>
      <w:divBdr>
        <w:top w:val="none" w:sz="0" w:space="0" w:color="auto"/>
        <w:left w:val="none" w:sz="0" w:space="0" w:color="auto"/>
        <w:bottom w:val="none" w:sz="0" w:space="0" w:color="auto"/>
        <w:right w:val="none" w:sz="0" w:space="0" w:color="auto"/>
      </w:divBdr>
    </w:div>
    <w:div w:id="721759328">
      <w:bodyDiv w:val="1"/>
      <w:marLeft w:val="0"/>
      <w:marRight w:val="0"/>
      <w:marTop w:val="0"/>
      <w:marBottom w:val="0"/>
      <w:divBdr>
        <w:top w:val="none" w:sz="0" w:space="0" w:color="auto"/>
        <w:left w:val="none" w:sz="0" w:space="0" w:color="auto"/>
        <w:bottom w:val="none" w:sz="0" w:space="0" w:color="auto"/>
        <w:right w:val="none" w:sz="0" w:space="0" w:color="auto"/>
      </w:divBdr>
    </w:div>
    <w:div w:id="744644726">
      <w:bodyDiv w:val="1"/>
      <w:marLeft w:val="0"/>
      <w:marRight w:val="0"/>
      <w:marTop w:val="0"/>
      <w:marBottom w:val="0"/>
      <w:divBdr>
        <w:top w:val="none" w:sz="0" w:space="0" w:color="auto"/>
        <w:left w:val="none" w:sz="0" w:space="0" w:color="auto"/>
        <w:bottom w:val="none" w:sz="0" w:space="0" w:color="auto"/>
        <w:right w:val="none" w:sz="0" w:space="0" w:color="auto"/>
      </w:divBdr>
    </w:div>
    <w:div w:id="763917211">
      <w:bodyDiv w:val="1"/>
      <w:marLeft w:val="0"/>
      <w:marRight w:val="0"/>
      <w:marTop w:val="0"/>
      <w:marBottom w:val="0"/>
      <w:divBdr>
        <w:top w:val="none" w:sz="0" w:space="0" w:color="auto"/>
        <w:left w:val="none" w:sz="0" w:space="0" w:color="auto"/>
        <w:bottom w:val="none" w:sz="0" w:space="0" w:color="auto"/>
        <w:right w:val="none" w:sz="0" w:space="0" w:color="auto"/>
      </w:divBdr>
    </w:div>
    <w:div w:id="794835327">
      <w:bodyDiv w:val="1"/>
      <w:marLeft w:val="0"/>
      <w:marRight w:val="0"/>
      <w:marTop w:val="0"/>
      <w:marBottom w:val="0"/>
      <w:divBdr>
        <w:top w:val="none" w:sz="0" w:space="0" w:color="auto"/>
        <w:left w:val="none" w:sz="0" w:space="0" w:color="auto"/>
        <w:bottom w:val="none" w:sz="0" w:space="0" w:color="auto"/>
        <w:right w:val="none" w:sz="0" w:space="0" w:color="auto"/>
      </w:divBdr>
    </w:div>
    <w:div w:id="799884055">
      <w:bodyDiv w:val="1"/>
      <w:marLeft w:val="0"/>
      <w:marRight w:val="0"/>
      <w:marTop w:val="0"/>
      <w:marBottom w:val="0"/>
      <w:divBdr>
        <w:top w:val="none" w:sz="0" w:space="0" w:color="auto"/>
        <w:left w:val="none" w:sz="0" w:space="0" w:color="auto"/>
        <w:bottom w:val="none" w:sz="0" w:space="0" w:color="auto"/>
        <w:right w:val="none" w:sz="0" w:space="0" w:color="auto"/>
      </w:divBdr>
    </w:div>
    <w:div w:id="812677794">
      <w:bodyDiv w:val="1"/>
      <w:marLeft w:val="0"/>
      <w:marRight w:val="0"/>
      <w:marTop w:val="0"/>
      <w:marBottom w:val="0"/>
      <w:divBdr>
        <w:top w:val="none" w:sz="0" w:space="0" w:color="auto"/>
        <w:left w:val="none" w:sz="0" w:space="0" w:color="auto"/>
        <w:bottom w:val="none" w:sz="0" w:space="0" w:color="auto"/>
        <w:right w:val="none" w:sz="0" w:space="0" w:color="auto"/>
      </w:divBdr>
    </w:div>
    <w:div w:id="920217934">
      <w:bodyDiv w:val="1"/>
      <w:marLeft w:val="0"/>
      <w:marRight w:val="0"/>
      <w:marTop w:val="0"/>
      <w:marBottom w:val="0"/>
      <w:divBdr>
        <w:top w:val="none" w:sz="0" w:space="0" w:color="auto"/>
        <w:left w:val="none" w:sz="0" w:space="0" w:color="auto"/>
        <w:bottom w:val="none" w:sz="0" w:space="0" w:color="auto"/>
        <w:right w:val="none" w:sz="0" w:space="0" w:color="auto"/>
      </w:divBdr>
    </w:div>
    <w:div w:id="923880267">
      <w:bodyDiv w:val="1"/>
      <w:marLeft w:val="0"/>
      <w:marRight w:val="0"/>
      <w:marTop w:val="0"/>
      <w:marBottom w:val="0"/>
      <w:divBdr>
        <w:top w:val="none" w:sz="0" w:space="0" w:color="auto"/>
        <w:left w:val="none" w:sz="0" w:space="0" w:color="auto"/>
        <w:bottom w:val="none" w:sz="0" w:space="0" w:color="auto"/>
        <w:right w:val="none" w:sz="0" w:space="0" w:color="auto"/>
      </w:divBdr>
    </w:div>
    <w:div w:id="978194553">
      <w:bodyDiv w:val="1"/>
      <w:marLeft w:val="0"/>
      <w:marRight w:val="0"/>
      <w:marTop w:val="0"/>
      <w:marBottom w:val="0"/>
      <w:divBdr>
        <w:top w:val="none" w:sz="0" w:space="0" w:color="auto"/>
        <w:left w:val="none" w:sz="0" w:space="0" w:color="auto"/>
        <w:bottom w:val="none" w:sz="0" w:space="0" w:color="auto"/>
        <w:right w:val="none" w:sz="0" w:space="0" w:color="auto"/>
      </w:divBdr>
    </w:div>
    <w:div w:id="1093010924">
      <w:bodyDiv w:val="1"/>
      <w:marLeft w:val="0"/>
      <w:marRight w:val="0"/>
      <w:marTop w:val="0"/>
      <w:marBottom w:val="0"/>
      <w:divBdr>
        <w:top w:val="none" w:sz="0" w:space="0" w:color="auto"/>
        <w:left w:val="none" w:sz="0" w:space="0" w:color="auto"/>
        <w:bottom w:val="none" w:sz="0" w:space="0" w:color="auto"/>
        <w:right w:val="none" w:sz="0" w:space="0" w:color="auto"/>
      </w:divBdr>
    </w:div>
    <w:div w:id="1113554139">
      <w:bodyDiv w:val="1"/>
      <w:marLeft w:val="0"/>
      <w:marRight w:val="0"/>
      <w:marTop w:val="0"/>
      <w:marBottom w:val="0"/>
      <w:divBdr>
        <w:top w:val="none" w:sz="0" w:space="0" w:color="auto"/>
        <w:left w:val="none" w:sz="0" w:space="0" w:color="auto"/>
        <w:bottom w:val="none" w:sz="0" w:space="0" w:color="auto"/>
        <w:right w:val="none" w:sz="0" w:space="0" w:color="auto"/>
      </w:divBdr>
    </w:div>
    <w:div w:id="1157260701">
      <w:bodyDiv w:val="1"/>
      <w:marLeft w:val="0"/>
      <w:marRight w:val="0"/>
      <w:marTop w:val="0"/>
      <w:marBottom w:val="0"/>
      <w:divBdr>
        <w:top w:val="none" w:sz="0" w:space="0" w:color="auto"/>
        <w:left w:val="none" w:sz="0" w:space="0" w:color="auto"/>
        <w:bottom w:val="none" w:sz="0" w:space="0" w:color="auto"/>
        <w:right w:val="none" w:sz="0" w:space="0" w:color="auto"/>
      </w:divBdr>
    </w:div>
    <w:div w:id="1162358210">
      <w:bodyDiv w:val="1"/>
      <w:marLeft w:val="0"/>
      <w:marRight w:val="0"/>
      <w:marTop w:val="0"/>
      <w:marBottom w:val="0"/>
      <w:divBdr>
        <w:top w:val="none" w:sz="0" w:space="0" w:color="auto"/>
        <w:left w:val="none" w:sz="0" w:space="0" w:color="auto"/>
        <w:bottom w:val="none" w:sz="0" w:space="0" w:color="auto"/>
        <w:right w:val="none" w:sz="0" w:space="0" w:color="auto"/>
      </w:divBdr>
    </w:div>
    <w:div w:id="1223518826">
      <w:bodyDiv w:val="1"/>
      <w:marLeft w:val="0"/>
      <w:marRight w:val="0"/>
      <w:marTop w:val="0"/>
      <w:marBottom w:val="0"/>
      <w:divBdr>
        <w:top w:val="none" w:sz="0" w:space="0" w:color="auto"/>
        <w:left w:val="none" w:sz="0" w:space="0" w:color="auto"/>
        <w:bottom w:val="none" w:sz="0" w:space="0" w:color="auto"/>
        <w:right w:val="none" w:sz="0" w:space="0" w:color="auto"/>
      </w:divBdr>
    </w:div>
    <w:div w:id="1303850371">
      <w:bodyDiv w:val="1"/>
      <w:marLeft w:val="0"/>
      <w:marRight w:val="0"/>
      <w:marTop w:val="0"/>
      <w:marBottom w:val="0"/>
      <w:divBdr>
        <w:top w:val="none" w:sz="0" w:space="0" w:color="auto"/>
        <w:left w:val="none" w:sz="0" w:space="0" w:color="auto"/>
        <w:bottom w:val="none" w:sz="0" w:space="0" w:color="auto"/>
        <w:right w:val="none" w:sz="0" w:space="0" w:color="auto"/>
      </w:divBdr>
    </w:div>
    <w:div w:id="1384914354">
      <w:bodyDiv w:val="1"/>
      <w:marLeft w:val="0"/>
      <w:marRight w:val="0"/>
      <w:marTop w:val="0"/>
      <w:marBottom w:val="0"/>
      <w:divBdr>
        <w:top w:val="none" w:sz="0" w:space="0" w:color="auto"/>
        <w:left w:val="none" w:sz="0" w:space="0" w:color="auto"/>
        <w:bottom w:val="none" w:sz="0" w:space="0" w:color="auto"/>
        <w:right w:val="none" w:sz="0" w:space="0" w:color="auto"/>
      </w:divBdr>
    </w:div>
    <w:div w:id="1420981216">
      <w:bodyDiv w:val="1"/>
      <w:marLeft w:val="0"/>
      <w:marRight w:val="0"/>
      <w:marTop w:val="0"/>
      <w:marBottom w:val="0"/>
      <w:divBdr>
        <w:top w:val="none" w:sz="0" w:space="0" w:color="auto"/>
        <w:left w:val="none" w:sz="0" w:space="0" w:color="auto"/>
        <w:bottom w:val="none" w:sz="0" w:space="0" w:color="auto"/>
        <w:right w:val="none" w:sz="0" w:space="0" w:color="auto"/>
      </w:divBdr>
    </w:div>
    <w:div w:id="1434013732">
      <w:bodyDiv w:val="1"/>
      <w:marLeft w:val="0"/>
      <w:marRight w:val="0"/>
      <w:marTop w:val="0"/>
      <w:marBottom w:val="0"/>
      <w:divBdr>
        <w:top w:val="none" w:sz="0" w:space="0" w:color="auto"/>
        <w:left w:val="none" w:sz="0" w:space="0" w:color="auto"/>
        <w:bottom w:val="none" w:sz="0" w:space="0" w:color="auto"/>
        <w:right w:val="none" w:sz="0" w:space="0" w:color="auto"/>
      </w:divBdr>
    </w:div>
    <w:div w:id="1463838966">
      <w:bodyDiv w:val="1"/>
      <w:marLeft w:val="0"/>
      <w:marRight w:val="0"/>
      <w:marTop w:val="0"/>
      <w:marBottom w:val="0"/>
      <w:divBdr>
        <w:top w:val="none" w:sz="0" w:space="0" w:color="auto"/>
        <w:left w:val="none" w:sz="0" w:space="0" w:color="auto"/>
        <w:bottom w:val="none" w:sz="0" w:space="0" w:color="auto"/>
        <w:right w:val="none" w:sz="0" w:space="0" w:color="auto"/>
      </w:divBdr>
    </w:div>
    <w:div w:id="1472483708">
      <w:bodyDiv w:val="1"/>
      <w:marLeft w:val="0"/>
      <w:marRight w:val="0"/>
      <w:marTop w:val="0"/>
      <w:marBottom w:val="0"/>
      <w:divBdr>
        <w:top w:val="none" w:sz="0" w:space="0" w:color="auto"/>
        <w:left w:val="none" w:sz="0" w:space="0" w:color="auto"/>
        <w:bottom w:val="none" w:sz="0" w:space="0" w:color="auto"/>
        <w:right w:val="none" w:sz="0" w:space="0" w:color="auto"/>
      </w:divBdr>
    </w:div>
    <w:div w:id="1524634604">
      <w:bodyDiv w:val="1"/>
      <w:marLeft w:val="0"/>
      <w:marRight w:val="0"/>
      <w:marTop w:val="0"/>
      <w:marBottom w:val="0"/>
      <w:divBdr>
        <w:top w:val="none" w:sz="0" w:space="0" w:color="auto"/>
        <w:left w:val="none" w:sz="0" w:space="0" w:color="auto"/>
        <w:bottom w:val="none" w:sz="0" w:space="0" w:color="auto"/>
        <w:right w:val="none" w:sz="0" w:space="0" w:color="auto"/>
      </w:divBdr>
    </w:div>
    <w:div w:id="1535314397">
      <w:bodyDiv w:val="1"/>
      <w:marLeft w:val="0"/>
      <w:marRight w:val="0"/>
      <w:marTop w:val="0"/>
      <w:marBottom w:val="0"/>
      <w:divBdr>
        <w:top w:val="none" w:sz="0" w:space="0" w:color="auto"/>
        <w:left w:val="none" w:sz="0" w:space="0" w:color="auto"/>
        <w:bottom w:val="none" w:sz="0" w:space="0" w:color="auto"/>
        <w:right w:val="none" w:sz="0" w:space="0" w:color="auto"/>
      </w:divBdr>
    </w:div>
    <w:div w:id="1642077438">
      <w:bodyDiv w:val="1"/>
      <w:marLeft w:val="0"/>
      <w:marRight w:val="0"/>
      <w:marTop w:val="0"/>
      <w:marBottom w:val="0"/>
      <w:divBdr>
        <w:top w:val="none" w:sz="0" w:space="0" w:color="auto"/>
        <w:left w:val="none" w:sz="0" w:space="0" w:color="auto"/>
        <w:bottom w:val="none" w:sz="0" w:space="0" w:color="auto"/>
        <w:right w:val="none" w:sz="0" w:space="0" w:color="auto"/>
      </w:divBdr>
    </w:div>
    <w:div w:id="1779058267">
      <w:bodyDiv w:val="1"/>
      <w:marLeft w:val="0"/>
      <w:marRight w:val="0"/>
      <w:marTop w:val="0"/>
      <w:marBottom w:val="0"/>
      <w:divBdr>
        <w:top w:val="none" w:sz="0" w:space="0" w:color="auto"/>
        <w:left w:val="none" w:sz="0" w:space="0" w:color="auto"/>
        <w:bottom w:val="none" w:sz="0" w:space="0" w:color="auto"/>
        <w:right w:val="none" w:sz="0" w:space="0" w:color="auto"/>
      </w:divBdr>
    </w:div>
    <w:div w:id="1856118517">
      <w:bodyDiv w:val="1"/>
      <w:marLeft w:val="0"/>
      <w:marRight w:val="0"/>
      <w:marTop w:val="0"/>
      <w:marBottom w:val="0"/>
      <w:divBdr>
        <w:top w:val="none" w:sz="0" w:space="0" w:color="auto"/>
        <w:left w:val="none" w:sz="0" w:space="0" w:color="auto"/>
        <w:bottom w:val="none" w:sz="0" w:space="0" w:color="auto"/>
        <w:right w:val="none" w:sz="0" w:space="0" w:color="auto"/>
      </w:divBdr>
    </w:div>
    <w:div w:id="208798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22.png"/><Relationship Id="rId26" Type="http://schemas.openxmlformats.org/officeDocument/2006/relationships/footer" Target="footer3.xml"/><Relationship Id="rId39" Type="http://schemas.openxmlformats.org/officeDocument/2006/relationships/image" Target="media/image11.png"/><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gif"/><Relationship Id="rId50" Type="http://schemas.openxmlformats.org/officeDocument/2006/relationships/image" Target="media/image22.wmf"/><Relationship Id="rId55" Type="http://schemas.microsoft.com/office/2018/08/relationships/commentsExtensible" Target="commentsExtensi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10.jpg"/><Relationship Id="rId25" Type="http://schemas.openxmlformats.org/officeDocument/2006/relationships/header" Target="header3.xml"/><Relationship Id="rId33" Type="http://schemas.openxmlformats.org/officeDocument/2006/relationships/footer" Target="footer7.xml"/><Relationship Id="rId38" Type="http://schemas.openxmlformats.org/officeDocument/2006/relationships/image" Target="media/image10.png"/><Relationship Id="rId46" Type="http://schemas.openxmlformats.org/officeDocument/2006/relationships/image" Target="media/image18.gi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wmf"/><Relationship Id="rId29" Type="http://schemas.openxmlformats.org/officeDocument/2006/relationships/footer" Target="footer4.xm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gi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image" Target="media/image8.png"/><Relationship Id="rId49" Type="http://schemas.openxmlformats.org/officeDocument/2006/relationships/image" Target="media/image21.png"/><Relationship Id="rId10" Type="http://schemas.openxmlformats.org/officeDocument/2006/relationships/styles" Target="styles.xml"/><Relationship Id="rId19" Type="http://schemas.openxmlformats.org/officeDocument/2006/relationships/image" Target="media/image3.jpeg"/><Relationship Id="rId31" Type="http://schemas.openxmlformats.org/officeDocument/2006/relationships/header" Target="header6.xml"/><Relationship Id="rId44" Type="http://schemas.openxmlformats.org/officeDocument/2006/relationships/image" Target="media/image16.gif"/><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customXml" Target="../customXml/item8.xml"/><Relationship Id="rId51" Type="http://schemas.openxmlformats.org/officeDocument/2006/relationships/image" Target="media/image23.wmf"/><Relationship Id="rId3" Type="http://schemas.openxmlformats.org/officeDocument/2006/relationships/customXml" Target="../customXml/item3.xml"/></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5.wmf"/></Relationships>
</file>

<file path=word/_rels/header6.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517F445A0F35E449C98AAD631F2B03800160CBCFD51728941A980D41B9A2BF1AA" ma:contentTypeVersion="30" ma:contentTypeDescription="Standard document content type for project documents, spreadsheets and presentations." ma:contentTypeScope="" ma:versionID="2dce9062444891547bcaf588ae19bac1">
  <xsd:schema xmlns:xsd="http://www.w3.org/2001/XMLSchema" xmlns:xs="http://www.w3.org/2001/XMLSchema" xmlns:p="http://schemas.microsoft.com/office/2006/metadata/properties" xmlns:ns1="a5f32de4-e402-4188-b034-e71ca7d22e54" xmlns:ns2="http://schemas.microsoft.com/sharepoint/v3" xmlns:ns3="58a0beb5-ddbf-428d-ae7c-9eb3f899649a" xmlns:ns4="9fd47c19-1c4a-4d7d-b342-c10cef269344" xmlns:ns5="fdd35f01-79cc-427c-be21-317dda25e0a0" xmlns:ns6="http://schemas.microsoft.com/sharepoint/v4" targetNamespace="http://schemas.microsoft.com/office/2006/metadata/properties" ma:root="true" ma:fieldsID="2141abf6931fefb903510cbda28d5c52" ns1:_="" ns2:_="" ns3:_="" ns4:_="" ns5:_="" ns6:_="">
    <xsd:import namespace="a5f32de4-e402-4188-b034-e71ca7d22e54"/>
    <xsd:import namespace="http://schemas.microsoft.com/sharepoint/v3"/>
    <xsd:import namespace="58a0beb5-ddbf-428d-ae7c-9eb3f899649a"/>
    <xsd:import namespace="9fd47c19-1c4a-4d7d-b342-c10cef269344"/>
    <xsd:import namespace="fdd35f01-79cc-427c-be21-317dda25e0a0"/>
    <xsd:import namespace="http://schemas.microsoft.com/sharepoint/v4"/>
    <xsd:element name="properties">
      <xsd:complexType>
        <xsd:sequence>
          <xsd:element name="documentManagement">
            <xsd:complexType>
              <xsd:all>
                <xsd:element ref="ns1:_dlc_DocIdUrl" minOccurs="0"/>
                <xsd:element ref="ns2:RoutingRuleDescription" minOccurs="0"/>
                <xsd:element ref="ns4:mfe9accc5a0b4653a7b513b67ffd122d" minOccurs="0"/>
                <xsd:element ref="ns1:_dlc_DocIdPersistId"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e32917662fdc4553b5a2da8f3492a383" minOccurs="0"/>
                <xsd:element ref="ns1:_dlc_DocId" minOccurs="0"/>
                <xsd:element ref="ns2:_dlc_Exempt" minOccurs="0"/>
                <xsd:element ref="ns5:DLCPolicyLabelValue" minOccurs="0"/>
                <xsd:element ref="ns5:DLCPolicyLabelClientValue" minOccurs="0"/>
                <xsd:element ref="ns5:DLCPolicyLabelLock" minOccurs="0"/>
                <xsd:element ref="ns3:of50f05362c04a1ca1aed6f2e7dae98b" minOccurs="0"/>
                <xsd:element ref="ns5:MediaServiceAutoKeyPoints" minOccurs="0"/>
                <xsd:element ref="ns5:MediaServiceKeyPoints" minOccurs="0"/>
                <xsd:element ref="ns6:IconOverlay" minOccurs="0"/>
                <xsd:element ref="ns5:MediaServiceAutoTags" minOccurs="0"/>
                <xsd:element ref="ns5:MediaServiceOCR" minOccurs="0"/>
                <xsd:element ref="ns5:MediaServiceGenerationTime" minOccurs="0"/>
                <xsd:element ref="ns5:MediaServiceEventHashCode" minOccurs="0"/>
                <xsd:element ref="ns5:MeetingNo_x002e_" minOccurs="0"/>
                <xsd:element ref="ns5: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false">
      <xsd:simpleType>
        <xsd:restriction base="dms:Boolean"/>
      </xsd:simpleType>
    </xsd:element>
    <xsd:element name="_dlc_DocId" ma:index="25" nillable="true" ma:displayName="Document ID Value" ma:description="The value of the document ID assigned to this item." ma:hidden="true" ma:internalName="_dlc_Doc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_dlc_Exempt" ma:index="26"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a0beb5-ddbf-428d-ae7c-9eb3f899649a" elementFormDefault="qualified">
    <xsd:import namespace="http://schemas.microsoft.com/office/2006/documentManagement/types"/>
    <xsd:import namespace="http://schemas.microsoft.com/office/infopath/2007/PartnerControls"/>
    <xsd:element name="e32917662fdc4553b5a2da8f3492a383" ma:index="24" nillable="true" ma:taxonomy="true" ma:internalName="e32917662fdc4553b5a2da8f3492a383" ma:taxonomyFieldName="Project_x0020_Name" ma:displayName="Project Name" ma:readOnly="false" ma:default="" ma:fieldId="{e3291766-2fdc-4553-b5a2-da8f3492a383}" ma:sspId="797aeec6-0273-40f2-ab3e-beee73212332" ma:termSetId="c67ab361-c96d-45da-9ab3-74cd1c4edfe9" ma:anchorId="00000000-0000-0000-0000-000000000000" ma:open="true" ma:isKeyword="false">
      <xsd:complexType>
        <xsd:sequence>
          <xsd:element ref="pc:Terms" minOccurs="0" maxOccurs="1"/>
        </xsd:sequence>
      </xsd:complexType>
    </xsd:element>
    <xsd:element name="of50f05362c04a1ca1aed6f2e7dae98b" ma:index="31" ma:taxonomy="true" ma:internalName="of50f05362c04a1ca1aed6f2e7dae98b" ma:taxonomyFieldName="Unit" ma:displayName="Unit" ma:readOnly="false" ma:default="" ma:fieldId="{8f50f053-62c0-4a1c-a1ae-d6f2e7dae98b}" ma:sspId="797aeec6-0273-40f2-ab3e-beee73212332" ma:termSetId="474a247e-d0aa-4605-bf14-a121f0e807be"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2" ma:taxonomy="true" ma:internalName="mfe9accc5a0b4653a7b513b67ffd122d" ma:taxonomyFieldName="Branch" ma:displayName="Branch" ma:readOnly="false" ma:default="8;#Policy|4fc4eb71-37bd-484a-9730-ffe71d98aec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fb3179c379644f499d7166d0c985669b" ma:index="14"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c56aa6e0-7b2b-40f9-bd11-adbd8ef1f9b5}" ma:internalName="TaxCatchAll" ma:readOnly="false" ma:showField="CatchAllData" ma:web="58a0beb5-ddbf-428d-ae7c-9eb3f899649a">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c56aa6e0-7b2b-40f9-bd11-adbd8ef1f9b5}" ma:internalName="TaxCatchAllLabel" ma:readOnly="false" ma:showField="CatchAllDataLabel" ma:web="58a0beb5-ddbf-428d-ae7c-9eb3f899649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18"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0" ma:taxonomy="true" ma:internalName="ic50d0a05a8e4d9791dac67f8a1e716c" ma:taxonomyFieldName="Group1" ma:displayName="Group" ma:readOnly="false"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2" ma:taxonomy="true" ma:internalName="n771d69a070c4babbf278c67c8a2b859" ma:taxonomyFieldName="Division" ma:displayName="Division" ma:readOnly="false" ma:default="9;#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d35f01-79cc-427c-be21-317dda25e0a0"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hidden="true" ma:internalName="DLCPolicyLabelValue" ma:readOnly="false">
      <xsd:simpleType>
        <xsd:restriction base="dms:Note"/>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hidden="true" ma:internalName="MediaServiceKeyPoints" ma:readOnly="true">
      <xsd:simpleType>
        <xsd:restriction base="dms:Note"/>
      </xsd:simpleType>
    </xsd:element>
    <xsd:element name="MediaServiceAutoTags" ma:index="35" nillable="true" ma:displayName="Tags" ma:hidden="true" ma:internalName="MediaServiceAutoTags" ma:readOnly="true">
      <xsd:simpleType>
        <xsd:restriction base="dms:Text"/>
      </xsd:simpleType>
    </xsd:element>
    <xsd:element name="MediaServiceOCR" ma:index="36" nillable="true" ma:displayName="Extracted Text" ma:hidden="true" ma:internalName="MediaServiceOCR" ma:readOnly="true">
      <xsd:simpleType>
        <xsd:restriction base="dms:Note"/>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etingNo_x002e_" ma:index="39" nillable="true" ma:displayName="Meeting No." ma:description="Date of Meeting" ma:format="Dropdown" ma:hidden="true" ma:internalName="MeetingNo_x002e_" ma:readOnly="false">
      <xsd:simpleType>
        <xsd:restriction base="dms:Text">
          <xsd:maxLength value="255"/>
        </xsd:restriction>
      </xsd:simpleType>
    </xsd:element>
    <xsd:element name="_Flow_SignoffStatus" ma:index="4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Label" staticId="0x0101002517F445A0F35E449C98AAD631F2B03800160CBCFD51728941A980D41B9A2BF1AA|801092262" UniqueId="fdc7d6be-b5c8-4bac-a677-5657082b2de8">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63</Value>
      <Value>10</Value>
      <Value>9</Value>
      <Value>8</Value>
      <Value>160</Value>
      <Value>3</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DLCPolicyLabelLock xmlns="fdd35f01-79cc-427c-be21-317dda25e0a0" xsi:nil="true"/>
    <IconOverlay xmlns="http://schemas.microsoft.com/sharepoint/v4" xsi:nil="true"/>
    <of50f05362c04a1ca1aed6f2e7dae98b xmlns="58a0beb5-ddbf-428d-ae7c-9eb3f899649a">
      <Terms xmlns="http://schemas.microsoft.com/office/infopath/2007/PartnerControls">
        <TermInfo xmlns="http://schemas.microsoft.com/office/infopath/2007/PartnerControls">
          <TermName xmlns="http://schemas.microsoft.com/office/infopath/2007/PartnerControls">Strategic Policy and Coordination</TermName>
          <TermId xmlns="http://schemas.microsoft.com/office/infopath/2007/PartnerControls">eddaac19-cf96-4cc6-bdac-e1ffd8c51f5d</TermId>
        </TermInfo>
      </Terms>
    </of50f05362c04a1ca1aed6f2e7dae98b>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4fc4eb71-37bd-484a-9730-ffe71d98aecc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e32917662fdc4553b5a2da8f3492a383 xmlns="58a0beb5-ddbf-428d-ae7c-9eb3f899649a">
      <Terms xmlns="http://schemas.microsoft.com/office/infopath/2007/PartnerControls">
        <TermInfo xmlns="http://schemas.microsoft.com/office/infopath/2007/PartnerControls">
          <TermName xmlns="http://schemas.microsoft.com/office/infopath/2007/PartnerControls">Wood and Water refresh</TermName>
          <TermId xmlns="http://schemas.microsoft.com/office/infopath/2007/PartnerControls">558da7ca-e27c-49af-8812-0ff364ffe362</TermId>
        </TermInfo>
      </Terms>
    </e32917662fdc4553b5a2da8f3492a383>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DLCPolicyLabelClientValue xmlns="fdd35f01-79cc-427c-be21-317dda25e0a0">{_UIVersionString}</DLCPolicyLabelClientValue>
    <_dlc_DocId xmlns="a5f32de4-e402-4188-b034-e71ca7d22e54">DOCID582-311029462-1541</_dlc_DocId>
    <_dlc_DocIdUrl xmlns="a5f32de4-e402-4188-b034-e71ca7d22e54">
      <Url>https://delwpvicgovau.sharepoint.com/sites/ecm_582/_layouts/15/DocIdRedir.aspx?ID=DOCID582-311029462-1541</Url>
      <Description>DOCID582-311029462-1541</Description>
    </_dlc_DocIdUrl>
    <DLCPolicyLabelValue xmlns="fdd35f01-79cc-427c-be21-317dda25e0a0">0.8</DLCPolicyLabelValue>
    <MeetingNo_x002e_ xmlns="fdd35f01-79cc-427c-be21-317dda25e0a0" xsi:nil="true"/>
    <TaxCatchAllLabel xmlns="9fd47c19-1c4a-4d7d-b342-c10cef269344"/>
    <_dlc_DocIdPersistId xmlns="a5f32de4-e402-4188-b034-e71ca7d22e54" xsi:nil="true"/>
    <_dlc_Exempt xmlns="http://schemas.microsoft.com/sharepoint/v3" xsi:nil="true"/>
    <_Flow_SignoffStatus xmlns="fdd35f01-79cc-427c-be21-317dda25e0a0" xsi:nil="true"/>
  </documentManagement>
</p:propertie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haredContentType xmlns="Microsoft.SharePoint.Taxonomy.ContentTypeSync" SourceId="797aeec6-0273-40f2-ab3e-beee73212332" ContentTypeId="0x0101002517F445A0F35E449C98AAD631F2B038"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91DB0-0508-486A-B919-87CD5418382D}">
  <ds:schemaRefs>
    <ds:schemaRef ds:uri="http://schemas.microsoft.com/sharepoint/events"/>
  </ds:schemaRefs>
</ds:datastoreItem>
</file>

<file path=customXml/itemProps2.xml><?xml version="1.0" encoding="utf-8"?>
<ds:datastoreItem xmlns:ds="http://schemas.openxmlformats.org/officeDocument/2006/customXml" ds:itemID="{9840EFC1-7DB3-48DF-A87E-4E330BF9022E}"/>
</file>

<file path=customXml/itemProps3.xml><?xml version="1.0" encoding="utf-8"?>
<ds:datastoreItem xmlns:ds="http://schemas.openxmlformats.org/officeDocument/2006/customXml" ds:itemID="{158A14D7-E13B-4BA5-9002-9EAC662A05E2}">
  <ds:schemaRefs>
    <ds:schemaRef ds:uri="http://schemas.microsoft.com/sharepoint/v3/contenttype/forms"/>
  </ds:schemaRefs>
</ds:datastoreItem>
</file>

<file path=customXml/itemProps4.xml><?xml version="1.0" encoding="utf-8"?>
<ds:datastoreItem xmlns:ds="http://schemas.openxmlformats.org/officeDocument/2006/customXml" ds:itemID="{B414927E-3BE2-452D-AED9-87104D97D71E}">
  <ds:schemaRefs>
    <ds:schemaRef ds:uri="office.server.policy"/>
  </ds:schemaRefs>
</ds:datastoreItem>
</file>

<file path=customXml/itemProps5.xml><?xml version="1.0" encoding="utf-8"?>
<ds:datastoreItem xmlns:ds="http://schemas.openxmlformats.org/officeDocument/2006/customXml" ds:itemID="{5E0ED0FA-625A-485C-B361-053D3CCD493E}">
  <ds:schemaRefs>
    <ds:schemaRef ds:uri="fdd35f01-79cc-427c-be21-317dda25e0a0"/>
    <ds:schemaRef ds:uri="http://schemas.microsoft.com/sharepoint/v3"/>
    <ds:schemaRef ds:uri="58a0beb5-ddbf-428d-ae7c-9eb3f899649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 ds:uri="a5f32de4-e402-4188-b034-e71ca7d22e54"/>
    <ds:schemaRef ds:uri="http://purl.org/dc/elements/1.1/"/>
    <ds:schemaRef ds:uri="http://schemas.microsoft.com/office/2006/metadata/properties"/>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8DDF421B-5345-4CDA-9F05-147D60F82BC6}">
  <ds:schemaRefs>
    <ds:schemaRef ds:uri="http://schemas.microsoft.com/office/2006/metadata/customXsn"/>
  </ds:schemaRefs>
</ds:datastoreItem>
</file>

<file path=customXml/itemProps7.xml><?xml version="1.0" encoding="utf-8"?>
<ds:datastoreItem xmlns:ds="http://schemas.openxmlformats.org/officeDocument/2006/customXml" ds:itemID="{3509EE92-0AE7-415D-9038-17408340BAD2}">
  <ds:schemaRefs>
    <ds:schemaRef ds:uri="Microsoft.SharePoint.Taxonomy.ContentTypeSync"/>
  </ds:schemaRefs>
</ds:datastoreItem>
</file>

<file path=customXml/itemProps8.xml><?xml version="1.0" encoding="utf-8"?>
<ds:datastoreItem xmlns:ds="http://schemas.openxmlformats.org/officeDocument/2006/customXml" ds:itemID="{917FD624-9F6F-499D-9F1A-5661020B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75</Pages>
  <Words>27071</Words>
  <Characters>718156</Characters>
  <Application>Microsoft Office Word</Application>
  <DocSecurity>0</DocSecurity>
  <Lines>5984</Lines>
  <Paragraphs>1487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Wood and Water Refresh report - word version</dc:title>
  <dc:subject/>
  <dc:creator>Phillip Jordan</dc:creator>
  <cp:lastModifiedBy>Krissie B Piskorz (DELWP)</cp:lastModifiedBy>
  <cp:revision>10</cp:revision>
  <cp:lastPrinted>2020-06-24T23:42:00Z</cp:lastPrinted>
  <dcterms:created xsi:type="dcterms:W3CDTF">2020-06-12T01:34:00Z</dcterms:created>
  <dcterms:modified xsi:type="dcterms:W3CDTF">2021-02-22T11:11:00Z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Bushfire and Natural Hazards Cooperative Research Centre</vt:lpwstr>
  </property>
  <property fmtid="{D5CDD505-2E9C-101B-9397-08002B2CF9AE}" pid="3" name="Date completed">
    <vt:lpwstr>25 March 2020</vt:lpwstr>
  </property>
  <property fmtid="{D5CDD505-2E9C-101B-9397-08002B2CF9AE}" pid="4" name="Version">
    <vt:lpwstr>Version 1</vt:lpwstr>
  </property>
  <property fmtid="{D5CDD505-2E9C-101B-9397-08002B2CF9AE}" pid="5" name="Author">
    <vt:lpwstr>Phillip Jordan, Rory Nathan, Richard Benyon, Benjamin Henley, Trent Penman and Peter Hill</vt:lpwstr>
  </property>
  <property fmtid="{D5CDD505-2E9C-101B-9397-08002B2CF9AE}" pid="6" name="Project name">
    <vt:lpwstr>63;#Wood and Water refresh|558da7ca-e27c-49af-8812-0ff364ffe362</vt:lpwstr>
  </property>
  <property fmtid="{D5CDD505-2E9C-101B-9397-08002B2CF9AE}" pid="7" name="Report name">
    <vt:lpwstr>Report</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6th edition</vt:lpwstr>
  </property>
  <property fmtid="{D5CDD505-2E9C-101B-9397-08002B2CF9AE}" pid="10" name="Mendeley Recent Style Id 1_1">
    <vt:lpwstr>http://www.zotero.org/styles/chicago-author-date</vt:lpwstr>
  </property>
  <property fmtid="{D5CDD505-2E9C-101B-9397-08002B2CF9AE}" pid="11" name="Mendeley Recent Style Name 1_1">
    <vt:lpwstr>Chicago Manual of Style 17th edition (author-date)</vt:lpwstr>
  </property>
  <property fmtid="{D5CDD505-2E9C-101B-9397-08002B2CF9AE}" pid="12" name="Mendeley Recent Style Id 2_1">
    <vt:lpwstr>http://www.zotero.org/styles/harvard-cite-them-right</vt:lpwstr>
  </property>
  <property fmtid="{D5CDD505-2E9C-101B-9397-08002B2CF9AE}" pid="13" name="Mendeley Recent Style Name 2_1">
    <vt:lpwstr>Cite Them Right 10th edition - Harvard</vt:lpwstr>
  </property>
  <property fmtid="{D5CDD505-2E9C-101B-9397-08002B2CF9AE}" pid="14" name="Mendeley Recent Style Id 3_1">
    <vt:lpwstr>http://www.zotero.org/styles/harvard1</vt:lpwstr>
  </property>
  <property fmtid="{D5CDD505-2E9C-101B-9397-08002B2CF9AE}" pid="15" name="Mendeley Recent Style Name 3_1">
    <vt:lpwstr>Harvard reference format 1 (deprecated)</vt:lpwstr>
  </property>
  <property fmtid="{D5CDD505-2E9C-101B-9397-08002B2CF9AE}" pid="16" name="Mendeley Recent Style Id 4_1">
    <vt:lpwstr>http://www.zotero.org/styles/hydrological-processes</vt:lpwstr>
  </property>
  <property fmtid="{D5CDD505-2E9C-101B-9397-08002B2CF9AE}" pid="17" name="Mendeley Recent Style Name 4_1">
    <vt:lpwstr>Hydrological Processes</vt:lpwstr>
  </property>
  <property fmtid="{D5CDD505-2E9C-101B-9397-08002B2CF9AE}" pid="18" name="Mendeley Recent Style Id 5_1">
    <vt:lpwstr>http://www.zotero.org/styles/hydrological-sciences-journal</vt:lpwstr>
  </property>
  <property fmtid="{D5CDD505-2E9C-101B-9397-08002B2CF9AE}" pid="19" name="Mendeley Recent Style Name 5_1">
    <vt:lpwstr>Hydrological Sciences Journal</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y fmtid="{D5CDD505-2E9C-101B-9397-08002B2CF9AE}" pid="28" name="Mendeley Document_1">
    <vt:lpwstr>True</vt:lpwstr>
  </property>
  <property fmtid="{D5CDD505-2E9C-101B-9397-08002B2CF9AE}" pid="29" name="Mendeley Citation Style_1">
    <vt:lpwstr>http://www.zotero.org/styles/hydrological-processes</vt:lpwstr>
  </property>
  <property fmtid="{D5CDD505-2E9C-101B-9397-08002B2CF9AE}" pid="30" name="Mendeley Unique User Id_1">
    <vt:lpwstr>fffc13ce-8b5d-3c87-8dd3-325efb923c98</vt:lpwstr>
  </property>
  <property fmtid="{D5CDD505-2E9C-101B-9397-08002B2CF9AE}" pid="31" name="ContentTypeId">
    <vt:lpwstr>0x0101002517F445A0F35E449C98AAD631F2B03800160CBCFD51728941A980D41B9A2BF1AA</vt:lpwstr>
  </property>
  <property fmtid="{D5CDD505-2E9C-101B-9397-08002B2CF9AE}" pid="32" name="Agency">
    <vt:lpwstr>1;#Department of Environment, Land, Water and Planning|607a3f87-1228-4cd9-82a5-076aa8776274</vt:lpwstr>
  </property>
  <property fmtid="{D5CDD505-2E9C-101B-9397-08002B2CF9AE}" pid="33" name="_dlc_DocIdItemGuid">
    <vt:lpwstr>f17a3a75-c0d1-4e83-9a93-25e5af26357d</vt:lpwstr>
  </property>
  <property fmtid="{D5CDD505-2E9C-101B-9397-08002B2CF9AE}" pid="34" name="Dissemination Limiting Marker">
    <vt:lpwstr>3;#FOUO|955eb6fc-b35a-4808-8aa5-31e514fa3f26</vt:lpwstr>
  </property>
  <property fmtid="{D5CDD505-2E9C-101B-9397-08002B2CF9AE}" pid="35" name="Branch">
    <vt:lpwstr>8;#Policy|4fc4eb71-37bd-484a-9730-ffe71d98aecc</vt:lpwstr>
  </property>
  <property fmtid="{D5CDD505-2E9C-101B-9397-08002B2CF9AE}" pid="36" name="o85941e134754762b9719660a258a6e6">
    <vt:lpwstr/>
  </property>
  <property fmtid="{D5CDD505-2E9C-101B-9397-08002B2CF9AE}" pid="37" name="Copyright Licence Name">
    <vt:lpwstr/>
  </property>
  <property fmtid="{D5CDD505-2E9C-101B-9397-08002B2CF9AE}" pid="38" name="df723ab3fe1c4eb7a0b151674e7ac40d">
    <vt:lpwstr/>
  </property>
  <property fmtid="{D5CDD505-2E9C-101B-9397-08002B2CF9AE}" pid="39" name="Division">
    <vt:lpwstr>9;#Policy and Planning|01515e0b-0528-49c7-a53b-6d3bf8d1dbc3</vt:lpwstr>
  </property>
  <property fmtid="{D5CDD505-2E9C-101B-9397-08002B2CF9AE}" pid="40" name="Group1">
    <vt:lpwstr>10;#Forest, Fire and Regions|2e0654de-dfdc-4793-b2a2-0db9a0abca14</vt:lpwstr>
  </property>
  <property fmtid="{D5CDD505-2E9C-101B-9397-08002B2CF9AE}" pid="41" name="Unit">
    <vt:lpwstr>160;#Strategic Policy and Coordination|eddaac19-cf96-4cc6-bdac-e1ffd8c51f5d</vt:lpwstr>
  </property>
  <property fmtid="{D5CDD505-2E9C-101B-9397-08002B2CF9AE}" pid="42" name="ld508a88e6264ce89693af80a72862cb">
    <vt:lpwstr/>
  </property>
  <property fmtid="{D5CDD505-2E9C-101B-9397-08002B2CF9AE}" pid="43" name="Reference Type">
    <vt:lpwstr/>
  </property>
  <property fmtid="{D5CDD505-2E9C-101B-9397-08002B2CF9AE}" pid="44" name="Copyright License Type">
    <vt:lpwstr/>
  </property>
  <property fmtid="{D5CDD505-2E9C-101B-9397-08002B2CF9AE}" pid="45" name="_docset_NoMedatataSyncRequired">
    <vt:lpwstr>False</vt:lpwstr>
  </property>
  <property fmtid="{D5CDD505-2E9C-101B-9397-08002B2CF9AE}" pid="46" name="MSIP_Label_5a19367b-7a73-403d-b732-ebe2e73fbf56_Enabled">
    <vt:lpwstr>true</vt:lpwstr>
  </property>
  <property fmtid="{D5CDD505-2E9C-101B-9397-08002B2CF9AE}" pid="47" name="MSIP_Label_5a19367b-7a73-403d-b732-ebe2e73fbf56_SetDate">
    <vt:lpwstr>2021-02-22T11:11:42Z</vt:lpwstr>
  </property>
  <property fmtid="{D5CDD505-2E9C-101B-9397-08002B2CF9AE}" pid="48" name="MSIP_Label_5a19367b-7a73-403d-b732-ebe2e73fbf56_Method">
    <vt:lpwstr>Privileged</vt:lpwstr>
  </property>
  <property fmtid="{D5CDD505-2E9C-101B-9397-08002B2CF9AE}" pid="49" name="MSIP_Label_5a19367b-7a73-403d-b732-ebe2e73fbf56_Name">
    <vt:lpwstr>OFFICIAL-Sensitive</vt:lpwstr>
  </property>
  <property fmtid="{D5CDD505-2E9C-101B-9397-08002B2CF9AE}" pid="50" name="MSIP_Label_5a19367b-7a73-403d-b732-ebe2e73fbf56_SiteId">
    <vt:lpwstr>e8bdd6f7-fc18-4e48-a554-7f547927223b</vt:lpwstr>
  </property>
  <property fmtid="{D5CDD505-2E9C-101B-9397-08002B2CF9AE}" pid="51" name="MSIP_Label_5a19367b-7a73-403d-b732-ebe2e73fbf56_ActionId">
    <vt:lpwstr>02159817-e3f7-4575-b7fe-75dcf664ae42</vt:lpwstr>
  </property>
  <property fmtid="{D5CDD505-2E9C-101B-9397-08002B2CF9AE}" pid="52" name="MSIP_Label_5a19367b-7a73-403d-b732-ebe2e73fbf56_ContentBits">
    <vt:lpwstr>2</vt:lpwstr>
  </property>
  <property fmtid="{D5CDD505-2E9C-101B-9397-08002B2CF9AE}" pid="53" name="SharedWithUsers">
    <vt:lpwstr>1462;#Tess Hutton (DELWP);#123;#Rachel E Brown (DELWP)</vt:lpwstr>
  </property>
</Properties>
</file>