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9904" w:type="dxa"/>
        <w:tblLook w:val="01E0" w:firstRow="1" w:lastRow="1" w:firstColumn="1" w:lastColumn="1" w:noHBand="0" w:noVBand="0"/>
      </w:tblPr>
      <w:tblGrid>
        <w:gridCol w:w="9904"/>
      </w:tblGrid>
      <w:tr w:rsidR="00EA2B53" w:rsidRPr="00F74678" w:rsidTr="00EA2B53">
        <w:trPr>
          <w:trHeight w:hRule="exact" w:val="2683"/>
        </w:trPr>
        <w:tc>
          <w:tcPr>
            <w:tcW w:w="9904" w:type="dxa"/>
            <w:shd w:val="clear" w:color="auto" w:fill="auto"/>
          </w:tcPr>
          <w:p w:rsidR="00EA2B53" w:rsidRDefault="00500777" w:rsidP="00915D5A">
            <w:pPr>
              <w:pStyle w:val="Toptitle"/>
              <w:framePr w:hSpace="0" w:wrap="auto" w:vAnchor="margin" w:hAnchor="text" w:yAlign="inline"/>
            </w:pPr>
            <w:r>
              <w:t>Conflict of interest</w:t>
            </w:r>
          </w:p>
          <w:p w:rsidR="00EA2B53" w:rsidRPr="003F3A22" w:rsidRDefault="00EA2B53" w:rsidP="00915D5A">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4C5096F9" wp14:editId="4ABC9E7B">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023243" w:rsidP="00DF494B">
                                  <w:pPr>
                                    <w:pStyle w:val="CertHDWhite"/>
                                    <w:rPr>
                                      <w:sz w:val="32"/>
                                      <w:szCs w:val="32"/>
                                    </w:rPr>
                                  </w:pPr>
                                  <w:r>
                                    <w:rPr>
                                      <w:sz w:val="32"/>
                                      <w:szCs w:val="32"/>
                                    </w:rPr>
                                    <w:t>T</w:t>
                                  </w:r>
                                  <w:r w:rsidR="00FA73B6">
                                    <w:rPr>
                                      <w:sz w:val="32"/>
                                      <w:szCs w:val="32"/>
                                    </w:rPr>
                                    <w:t xml:space="preserve">emplate </w:t>
                                  </w:r>
                                  <w:r w:rsidR="00EA2B53" w:rsidRPr="00DF494B">
                                    <w:rPr>
                                      <w:sz w:val="32"/>
                                      <w:szCs w:val="32"/>
                                    </w:rPr>
                                    <w:t>for 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023243" w:rsidP="00DF494B">
                            <w:pPr>
                              <w:pStyle w:val="CertHDWhite"/>
                              <w:rPr>
                                <w:sz w:val="32"/>
                                <w:szCs w:val="32"/>
                              </w:rPr>
                            </w:pPr>
                            <w:r>
                              <w:rPr>
                                <w:sz w:val="32"/>
                                <w:szCs w:val="32"/>
                              </w:rPr>
                              <w:t>T</w:t>
                            </w:r>
                            <w:r w:rsidR="00FA73B6">
                              <w:rPr>
                                <w:sz w:val="32"/>
                                <w:szCs w:val="32"/>
                              </w:rPr>
                              <w:t xml:space="preserve">emplate </w:t>
                            </w:r>
                            <w:r w:rsidR="00EA2B53" w:rsidRPr="00DF494B">
                              <w:rPr>
                                <w:sz w:val="32"/>
                                <w:szCs w:val="32"/>
                              </w:rPr>
                              <w:t>for boards of major DELWP agencies</w:t>
                            </w:r>
                          </w:p>
                        </w:txbxContent>
                      </v:textbox>
                    </v:shape>
                  </w:pict>
                </mc:Fallback>
              </mc:AlternateContent>
            </w:r>
            <w:r w:rsidR="00004E59">
              <w:t xml:space="preserve">(1)  </w:t>
            </w:r>
            <w:r w:rsidRPr="003F3A22">
              <w:t>Model policy</w:t>
            </w:r>
            <w:r w:rsidR="00023243">
              <w:t xml:space="preserve"> - standard</w:t>
            </w:r>
          </w:p>
        </w:tc>
      </w:tr>
    </w:tbl>
    <w:p w:rsidR="002C12AF" w:rsidRDefault="002C12AF" w:rsidP="00EA2B53">
      <w:pPr>
        <w:spacing w:before="400"/>
      </w:pPr>
    </w:p>
    <w:p w:rsidR="00EA2B53" w:rsidRDefault="00EA2B53" w:rsidP="001855F2"/>
    <w:p w:rsidR="009255AB" w:rsidRDefault="009255AB" w:rsidP="000F1B8D">
      <w:r>
        <w:t>This model policy is for use by</w:t>
      </w:r>
      <w:r w:rsidRPr="00D01A78">
        <w:t xml:space="preserve"> </w:t>
      </w:r>
      <w:r w:rsidRPr="001100DC">
        <w:t>board members</w:t>
      </w:r>
      <w:r w:rsidRPr="00D01A78">
        <w:t xml:space="preserve"> of </w:t>
      </w:r>
      <w:r>
        <w:t xml:space="preserve">the over 100 major </w:t>
      </w:r>
      <w:r w:rsidRPr="00D01A78">
        <w:t xml:space="preserve">public entities and other statutory boards, committees, councils, panels, etc.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t xml:space="preserve"> of crown land reserves  </w:t>
      </w:r>
    </w:p>
    <w:p w:rsidR="000F1B8D" w:rsidRPr="00A3042C" w:rsidRDefault="000F1B8D" w:rsidP="000F1B8D">
      <w:r w:rsidRPr="00A3042C">
        <w:t xml:space="preserve">Separate model policies based on this </w:t>
      </w:r>
      <w:r w:rsidR="004E0DA3">
        <w:t xml:space="preserve">standard </w:t>
      </w:r>
      <w:r w:rsidRPr="00A3042C">
        <w:t xml:space="preserve">template are available for </w:t>
      </w:r>
      <w:r w:rsidR="009255AB">
        <w:t>small (category 3</w:t>
      </w:r>
      <w:r w:rsidRPr="00A3042C">
        <w:t xml:space="preserve">) committees of management and for waste and resource recovery groups.  </w:t>
      </w:r>
    </w:p>
    <w:p w:rsidR="000F1B8D" w:rsidRPr="00A3042C" w:rsidRDefault="000F1B8D" w:rsidP="000F1B8D">
      <w:r w:rsidRPr="00A3042C">
        <w:t>All model policies and guidance n</w:t>
      </w:r>
      <w:r w:rsidR="00235214">
        <w:t>otes can be downloaded from the</w:t>
      </w:r>
      <w:r w:rsidRPr="00FF50A5">
        <w:t xml:space="preserve"> </w:t>
      </w:r>
      <w:hyperlink r:id="rId9" w:history="1">
        <w:r w:rsidRPr="00A3042C">
          <w:rPr>
            <w:rStyle w:val="Hyperlink"/>
          </w:rPr>
          <w:t>Conflict of Interest</w:t>
        </w:r>
      </w:hyperlink>
      <w:r>
        <w:t xml:space="preserve"> s</w:t>
      </w:r>
      <w:r w:rsidRPr="00A3042C">
        <w:t>upport module on DELWP’s governance website, On Board (</w:t>
      </w:r>
      <w:hyperlink r:id="rId10" w:history="1">
        <w:r w:rsidRPr="00A3042C">
          <w:rPr>
            <w:rStyle w:val="Hyperlink"/>
          </w:rPr>
          <w:t>www.delwp.vic.gov.au/onboard</w:t>
        </w:r>
      </w:hyperlink>
      <w:r w:rsidRPr="00A3042C">
        <w:t xml:space="preserve">).  </w:t>
      </w:r>
    </w:p>
    <w:p w:rsidR="000F1B8D" w:rsidRPr="00A3042C" w:rsidRDefault="000F1B8D" w:rsidP="000F1B8D">
      <w:r w:rsidRPr="00A3042C">
        <w:t xml:space="preserve">Prior to using this model policy, please read the guidance note </w:t>
      </w:r>
      <w:r w:rsidR="00CB38B8">
        <w:rPr>
          <w:i/>
        </w:rPr>
        <w:t>A</w:t>
      </w:r>
      <w:r w:rsidRPr="00A3042C">
        <w:rPr>
          <w:i/>
        </w:rPr>
        <w:t>bout the model policy.</w:t>
      </w:r>
    </w:p>
    <w:p w:rsidR="00D45BD0" w:rsidRPr="00A3042C" w:rsidRDefault="00D45BD0" w:rsidP="00EA2B53">
      <w:pPr>
        <w:pStyle w:val="Heading1"/>
        <w:spacing w:before="240" w:after="500"/>
        <w:jc w:val="center"/>
        <w:rPr>
          <w:b/>
          <w:spacing w:val="3"/>
        </w:rPr>
      </w:pPr>
      <w:r w:rsidRPr="00A3042C">
        <w:rPr>
          <w:spacing w:val="3"/>
        </w:rPr>
        <w:t>…………………………………………………………………………</w:t>
      </w:r>
    </w:p>
    <w:p w:rsidR="00D45BD0" w:rsidRPr="001013E9" w:rsidRDefault="00D45BD0" w:rsidP="001013E9">
      <w:pPr>
        <w:pStyle w:val="Heading5"/>
      </w:pPr>
      <w:r w:rsidRPr="001013E9">
        <w:t xml:space="preserve">[insert name of agency] </w:t>
      </w:r>
    </w:p>
    <w:p w:rsidR="00D45BD0" w:rsidRPr="001013E9" w:rsidRDefault="00C06C69" w:rsidP="001013E9">
      <w:pPr>
        <w:pStyle w:val="Heading4"/>
      </w:pPr>
      <w:r>
        <w:t>Conflict of I</w:t>
      </w:r>
      <w:r w:rsidR="00500777">
        <w:t>nterest</w:t>
      </w:r>
      <w:r w:rsidR="00D45BD0" w:rsidRPr="001013E9">
        <w:t xml:space="preserve"> – board policy</w:t>
      </w:r>
    </w:p>
    <w:p w:rsidR="00D45BD0" w:rsidRPr="003F3A22" w:rsidRDefault="00D45BD0" w:rsidP="00D45BD0">
      <w:pPr>
        <w:pStyle w:val="Heading1"/>
        <w:rPr>
          <w:szCs w:val="37"/>
        </w:rPr>
      </w:pPr>
      <w:r w:rsidRPr="003F3A22">
        <w:rPr>
          <w:szCs w:val="37"/>
        </w:rPr>
        <w:t>1.</w:t>
      </w:r>
      <w:r w:rsidRPr="003F3A22">
        <w:rPr>
          <w:szCs w:val="37"/>
        </w:rPr>
        <w:tab/>
        <w:t>Scope</w:t>
      </w:r>
    </w:p>
    <w:p w:rsidR="00F86863" w:rsidRPr="00A3042C" w:rsidRDefault="00F86863" w:rsidP="00F86863">
      <w:r w:rsidRPr="00A3042C">
        <w:t xml:space="preserve">This policy sets out the board’s procedures for the declaration and management of conflicts of interest. </w:t>
      </w:r>
    </w:p>
    <w:p w:rsidR="00F86863" w:rsidRPr="00A3042C" w:rsidRDefault="00F86863" w:rsidP="00F86863">
      <w:pPr>
        <w:pStyle w:val="Heading1"/>
      </w:pPr>
      <w:r w:rsidRPr="00A3042C">
        <w:t>2.</w:t>
      </w:r>
      <w:r w:rsidRPr="00A3042C">
        <w:tab/>
        <w:t>Key principles</w:t>
      </w:r>
    </w:p>
    <w:p w:rsidR="00F86863" w:rsidRPr="00F1125D" w:rsidRDefault="00F86863" w:rsidP="00F86863">
      <w:pPr>
        <w:pStyle w:val="Indent-05hangingPM"/>
        <w:spacing w:after="120"/>
        <w:rPr>
          <w:rStyle w:val="Emphasis-Bold"/>
          <w:rFonts w:ascii="Calibri" w:hAnsi="Calibri" w:cs="Times New Roman"/>
          <w:color w:val="auto"/>
        </w:rPr>
      </w:pPr>
      <w:r w:rsidRPr="00A91ECD">
        <w:rPr>
          <w:rStyle w:val="Emphasis-Bold"/>
          <w:rFonts w:ascii="Calibri" w:hAnsi="Calibri" w:cs="Times New Roman"/>
          <w:b w:val="0"/>
          <w:color w:val="auto"/>
        </w:rPr>
        <w:t>a)</w:t>
      </w:r>
      <w:r w:rsidRPr="00F1125D">
        <w:rPr>
          <w:rStyle w:val="Emphasis-Bold"/>
          <w:rFonts w:ascii="Calibri" w:hAnsi="Calibri" w:cs="Times New Roman"/>
          <w:color w:val="auto"/>
        </w:rPr>
        <w:tab/>
        <w:t xml:space="preserve">Obligations and good practice: </w:t>
      </w:r>
      <w:r w:rsidRPr="00F1125D">
        <w:rPr>
          <w:rStyle w:val="Emphasis-Bold"/>
          <w:rFonts w:ascii="Calibri" w:hAnsi="Calibri" w:cs="Times New Roman"/>
          <w:b w:val="0"/>
          <w:color w:val="auto"/>
        </w:rPr>
        <w:t>the board acts in accordance with its obligations and with good governance practice (for details, see item 13 of this policy).</w:t>
      </w:r>
    </w:p>
    <w:p w:rsidR="00F86863" w:rsidRPr="00F1125D" w:rsidRDefault="00F86863" w:rsidP="00F86863">
      <w:pPr>
        <w:pStyle w:val="Indent-05hangingPM"/>
        <w:spacing w:after="120"/>
        <w:rPr>
          <w:rStyle w:val="Emphasis-Bold"/>
          <w:rFonts w:ascii="Calibri" w:hAnsi="Calibri" w:cs="Times New Roman"/>
          <w:color w:val="auto"/>
        </w:rPr>
      </w:pPr>
      <w:r w:rsidRPr="00A91ECD">
        <w:rPr>
          <w:rStyle w:val="Emphasis-Bold"/>
          <w:rFonts w:ascii="Calibri" w:hAnsi="Calibri" w:cs="Times New Roman"/>
          <w:b w:val="0"/>
          <w:color w:val="auto"/>
        </w:rPr>
        <w:t>b)</w:t>
      </w:r>
      <w:r w:rsidRPr="00F1125D">
        <w:rPr>
          <w:rStyle w:val="Emphasis-Bold"/>
          <w:rFonts w:ascii="Calibri" w:hAnsi="Calibri" w:cs="Times New Roman"/>
          <w:color w:val="auto"/>
        </w:rPr>
        <w:tab/>
        <w:t xml:space="preserve">Public interest: </w:t>
      </w:r>
      <w:r w:rsidR="003F22B5">
        <w:rPr>
          <w:rStyle w:val="Emphasis-Bold"/>
          <w:rFonts w:ascii="Calibri" w:hAnsi="Calibri" w:cs="Times New Roman"/>
          <w:b w:val="0"/>
          <w:color w:val="auto"/>
        </w:rPr>
        <w:t>c</w:t>
      </w:r>
      <w:r w:rsidRPr="00F1125D">
        <w:rPr>
          <w:rStyle w:val="Emphasis-Bold"/>
          <w:rFonts w:ascii="Calibri" w:hAnsi="Calibri" w:cs="Times New Roman"/>
          <w:b w:val="0"/>
          <w:color w:val="auto"/>
        </w:rPr>
        <w:t>onflicts of interest are avoided where possible. Where a conflict exists, it is declared and managed in the public interest.</w:t>
      </w:r>
    </w:p>
    <w:p w:rsidR="00F86863" w:rsidRPr="00F1125D" w:rsidRDefault="00F86863" w:rsidP="00F86863">
      <w:pPr>
        <w:pStyle w:val="Indent-05hangingPM"/>
        <w:spacing w:after="120"/>
        <w:rPr>
          <w:rStyle w:val="Emphasis-Bold"/>
          <w:rFonts w:ascii="Calibri" w:hAnsi="Calibri" w:cs="Times New Roman"/>
          <w:color w:val="auto"/>
        </w:rPr>
      </w:pPr>
      <w:r w:rsidRPr="00A91ECD">
        <w:rPr>
          <w:rStyle w:val="Emphasis-Bold"/>
          <w:rFonts w:ascii="Calibri" w:hAnsi="Calibri" w:cs="Times New Roman"/>
          <w:b w:val="0"/>
          <w:color w:val="auto"/>
        </w:rPr>
        <w:t>c)</w:t>
      </w:r>
      <w:r w:rsidRPr="00F1125D">
        <w:rPr>
          <w:rStyle w:val="Emphasis-Bold"/>
          <w:rFonts w:ascii="Calibri" w:hAnsi="Calibri" w:cs="Times New Roman"/>
          <w:color w:val="auto"/>
        </w:rPr>
        <w:tab/>
        <w:t xml:space="preserve">Real, potential or perceived: </w:t>
      </w:r>
      <w:r w:rsidRPr="00F1125D">
        <w:rPr>
          <w:rStyle w:val="Emphasis-Bold"/>
          <w:rFonts w:ascii="Calibri" w:hAnsi="Calibri" w:cs="Times New Roman"/>
          <w:b w:val="0"/>
          <w:color w:val="auto"/>
        </w:rPr>
        <w:t>a conflict of interest exists whether it is real, potential, or perceived.</w:t>
      </w:r>
    </w:p>
    <w:p w:rsidR="00F86863" w:rsidRPr="00F1125D" w:rsidRDefault="00F86863" w:rsidP="00F86863">
      <w:pPr>
        <w:pStyle w:val="Indent-05hangingPM"/>
        <w:spacing w:after="120"/>
        <w:rPr>
          <w:b/>
        </w:rPr>
      </w:pPr>
      <w:r w:rsidRPr="00A91ECD">
        <w:rPr>
          <w:rStyle w:val="Emphasis-Bold"/>
          <w:rFonts w:ascii="Calibri" w:hAnsi="Calibri" w:cs="Times New Roman"/>
          <w:b w:val="0"/>
          <w:color w:val="auto"/>
        </w:rPr>
        <w:t>d)</w:t>
      </w:r>
      <w:r w:rsidRPr="00F1125D">
        <w:rPr>
          <w:rStyle w:val="Emphasis-Bold"/>
          <w:rFonts w:ascii="Calibri" w:hAnsi="Calibri" w:cs="Times New Roman"/>
          <w:color w:val="auto"/>
        </w:rPr>
        <w:tab/>
        <w:t xml:space="preserve">Transparent and accountable: </w:t>
      </w:r>
      <w:r w:rsidRPr="00F1125D">
        <w:rPr>
          <w:rStyle w:val="Emphasis-Bold"/>
          <w:rFonts w:ascii="Calibri" w:hAnsi="Calibri" w:cs="Times New Roman"/>
          <w:b w:val="0"/>
          <w:color w:val="auto"/>
        </w:rPr>
        <w:t>the</w:t>
      </w:r>
      <w:r w:rsidRPr="00F1125D">
        <w:rPr>
          <w:b/>
        </w:rPr>
        <w:t xml:space="preserve"> </w:t>
      </w:r>
      <w:r w:rsidRPr="00F1125D">
        <w:t xml:space="preserve">process for declaring and managing conflicts of interest is transparent, accountable, and consistent with the </w:t>
      </w:r>
      <w:hyperlink r:id="rId11" w:history="1">
        <w:r w:rsidRPr="00F1125D">
          <w:rPr>
            <w:rStyle w:val="Hyperlink"/>
          </w:rPr>
          <w:t>Directors’ Code of Conduct</w:t>
        </w:r>
      </w:hyperlink>
      <w:r w:rsidRPr="00F1125D">
        <w:rPr>
          <w:b/>
        </w:rPr>
        <w:t>.</w:t>
      </w:r>
    </w:p>
    <w:p w:rsidR="00F86863" w:rsidRDefault="00F86863" w:rsidP="00F86863">
      <w:pPr>
        <w:pStyle w:val="Indent-05hangingPM"/>
        <w:spacing w:after="120"/>
      </w:pPr>
      <w:r w:rsidRPr="00F1125D">
        <w:rPr>
          <w:rStyle w:val="Emphasis-Bold"/>
          <w:rFonts w:ascii="Calibri" w:hAnsi="Calibri" w:cs="Times New Roman"/>
          <w:b w:val="0"/>
          <w:color w:val="auto"/>
        </w:rPr>
        <w:t>e)</w:t>
      </w:r>
      <w:r w:rsidRPr="00F1125D">
        <w:rPr>
          <w:rStyle w:val="Emphasis-Bold"/>
          <w:rFonts w:ascii="Calibri" w:hAnsi="Calibri" w:cs="Times New Roman"/>
          <w:b w:val="0"/>
          <w:color w:val="auto"/>
        </w:rPr>
        <w:tab/>
      </w:r>
      <w:r w:rsidRPr="00F1125D">
        <w:rPr>
          <w:rStyle w:val="Emphasis-Bold"/>
          <w:rFonts w:ascii="Calibri" w:hAnsi="Calibri" w:cs="Times New Roman"/>
          <w:color w:val="auto"/>
        </w:rPr>
        <w:t>Culture of integrity</w:t>
      </w:r>
      <w:r w:rsidRPr="00F1125D">
        <w:t>: the board fosters a culture of integrity.  Board members are supported to raise their own conflicts of interest and to speak up if they believe another board member may have an undeclared conflict.</w:t>
      </w:r>
    </w:p>
    <w:p w:rsidR="00F86863" w:rsidRPr="00A3042C" w:rsidRDefault="00F86863" w:rsidP="00F86863">
      <w:pPr>
        <w:pStyle w:val="Heading1"/>
      </w:pPr>
      <w:r w:rsidRPr="00A3042C">
        <w:lastRenderedPageBreak/>
        <w:t>3.</w:t>
      </w:r>
      <w:r w:rsidRPr="00A3042C">
        <w:tab/>
        <w:t>Definitions</w:t>
      </w:r>
    </w:p>
    <w:p w:rsidR="00F86863" w:rsidRPr="00F86863" w:rsidRDefault="00F86863" w:rsidP="000A1A91">
      <w:pPr>
        <w:pStyle w:val="Heading2"/>
      </w:pPr>
      <w:r w:rsidRPr="00F86863">
        <w:t>Conflict of interest</w:t>
      </w:r>
    </w:p>
    <w:p w:rsidR="00F86863" w:rsidRPr="00A3042C" w:rsidRDefault="00F86863" w:rsidP="00F86863">
      <w:r w:rsidRPr="00A3042C">
        <w:t>A conflict of interest is a conflict between a board member’s:</w:t>
      </w:r>
    </w:p>
    <w:p w:rsidR="00F86863" w:rsidRPr="00A3042C" w:rsidRDefault="00F86863" w:rsidP="00F86863">
      <w:pPr>
        <w:pStyle w:val="ListBullet"/>
        <w:keepLines/>
        <w:numPr>
          <w:ilvl w:val="0"/>
          <w:numId w:val="25"/>
        </w:numPr>
        <w:tabs>
          <w:tab w:val="left" w:pos="284"/>
          <w:tab w:val="left" w:pos="567"/>
          <w:tab w:val="left" w:pos="851"/>
        </w:tabs>
        <w:spacing w:before="60" w:after="100"/>
      </w:pPr>
      <w:r w:rsidRPr="00CA48E0">
        <w:rPr>
          <w:b/>
        </w:rPr>
        <w:t>public duty</w:t>
      </w:r>
      <w:r w:rsidRPr="00A3042C">
        <w:t xml:space="preserve"> to act in the best interests of the organisation; and</w:t>
      </w:r>
    </w:p>
    <w:p w:rsidR="00F86863" w:rsidRPr="00A3042C" w:rsidRDefault="00F86863" w:rsidP="00F86863">
      <w:pPr>
        <w:pStyle w:val="ListBullet"/>
        <w:keepLines/>
        <w:numPr>
          <w:ilvl w:val="0"/>
          <w:numId w:val="25"/>
        </w:numPr>
        <w:tabs>
          <w:tab w:val="left" w:pos="284"/>
          <w:tab w:val="left" w:pos="567"/>
          <w:tab w:val="left" w:pos="851"/>
        </w:tabs>
        <w:spacing w:before="60" w:after="100"/>
      </w:pPr>
      <w:r w:rsidRPr="00CA48E0">
        <w:t xml:space="preserve">their </w:t>
      </w:r>
      <w:r w:rsidRPr="00CA48E0">
        <w:rPr>
          <w:b/>
        </w:rPr>
        <w:t>private interests</w:t>
      </w:r>
      <w:r w:rsidRPr="00A3042C">
        <w:t>.</w:t>
      </w:r>
    </w:p>
    <w:p w:rsidR="00F86863" w:rsidRPr="00F86863" w:rsidRDefault="00F86863" w:rsidP="005B6BA0">
      <w:pPr>
        <w:pStyle w:val="Heading2"/>
      </w:pPr>
      <w:r w:rsidRPr="00F86863">
        <w:t>Conflict of duty</w:t>
      </w:r>
    </w:p>
    <w:p w:rsidR="00F86863" w:rsidRPr="00A3042C" w:rsidRDefault="00F86863" w:rsidP="00F86863">
      <w:r>
        <w:t>A conflict of duty (also known as a conflict of role</w:t>
      </w:r>
      <w:r w:rsidRPr="00A3042C">
        <w:t xml:space="preserve">) is a </w:t>
      </w:r>
      <w:r w:rsidR="003067A3">
        <w:t xml:space="preserve">type of </w:t>
      </w:r>
      <w:r w:rsidRPr="00A3042C">
        <w:t xml:space="preserve">conflict of interest that can occur </w:t>
      </w:r>
      <w:r w:rsidRPr="006554A4">
        <w:rPr>
          <w:rStyle w:val="Emphasis-Italics"/>
          <w:i w:val="0"/>
        </w:rPr>
        <w:t>even if a board member does not have any private interest at stake</w:t>
      </w:r>
      <w:r w:rsidRPr="00A3042C">
        <w:rPr>
          <w:i/>
        </w:rPr>
        <w:t>.</w:t>
      </w:r>
      <w:r w:rsidRPr="00A3042C">
        <w:t xml:space="preserve"> It is a conflict between a board member’s:</w:t>
      </w:r>
    </w:p>
    <w:p w:rsidR="00F86863" w:rsidRPr="00A3042C" w:rsidRDefault="00F86863" w:rsidP="00F86863">
      <w:pPr>
        <w:pStyle w:val="ListBullet"/>
        <w:keepLines/>
        <w:numPr>
          <w:ilvl w:val="0"/>
          <w:numId w:val="25"/>
        </w:numPr>
        <w:tabs>
          <w:tab w:val="left" w:pos="284"/>
          <w:tab w:val="left" w:pos="567"/>
          <w:tab w:val="left" w:pos="851"/>
        </w:tabs>
        <w:spacing w:before="100" w:after="100"/>
      </w:pPr>
      <w:r w:rsidRPr="00CA48E0">
        <w:rPr>
          <w:b/>
        </w:rPr>
        <w:t>public duty</w:t>
      </w:r>
      <w:r w:rsidRPr="00A3042C">
        <w:t xml:space="preserve"> to act in the best interests of the organisation; and</w:t>
      </w:r>
    </w:p>
    <w:p w:rsidR="00F86863" w:rsidRPr="00A3042C" w:rsidRDefault="00F86863" w:rsidP="00F86863">
      <w:pPr>
        <w:pStyle w:val="ListBullet"/>
        <w:keepLines/>
        <w:numPr>
          <w:ilvl w:val="0"/>
          <w:numId w:val="25"/>
        </w:numPr>
        <w:tabs>
          <w:tab w:val="left" w:pos="284"/>
          <w:tab w:val="left" w:pos="567"/>
          <w:tab w:val="left" w:pos="851"/>
        </w:tabs>
        <w:spacing w:before="100" w:after="100"/>
      </w:pPr>
      <w:r w:rsidRPr="00A3042C">
        <w:t>their duty</w:t>
      </w:r>
      <w:r w:rsidRPr="002063D6">
        <w:t xml:space="preserve"> to</w:t>
      </w:r>
      <w:r w:rsidRPr="00CA48E0">
        <w:rPr>
          <w:b/>
        </w:rPr>
        <w:t xml:space="preserve"> another public sector or private organisation</w:t>
      </w:r>
      <w:r w:rsidRPr="00A3042C">
        <w:t>.  It exists due to the board member’s role with the other organisation (e.g. as a committee member, employee, volunteer, or organisation member).</w:t>
      </w:r>
    </w:p>
    <w:p w:rsidR="00F86863" w:rsidRPr="00F86863" w:rsidRDefault="00F86863" w:rsidP="000A1A91">
      <w:pPr>
        <w:pStyle w:val="Heading2"/>
      </w:pPr>
      <w:r w:rsidRPr="00F86863">
        <w:t xml:space="preserve">How broad is the definition? </w:t>
      </w:r>
    </w:p>
    <w:p w:rsidR="00F86863" w:rsidRPr="00A3042C" w:rsidRDefault="00F86863" w:rsidP="00F86863">
      <w:r w:rsidRPr="00A3042C">
        <w:t>The following applies to all conflicts of interest, including conflicts of duty:</w:t>
      </w:r>
    </w:p>
    <w:p w:rsidR="00F86863" w:rsidRPr="00F86863" w:rsidRDefault="00F86863" w:rsidP="000A1A91">
      <w:pPr>
        <w:pStyle w:val="Heading3"/>
      </w:pPr>
      <w:r w:rsidRPr="00F86863">
        <w:t>Real, potential or perceived</w:t>
      </w:r>
    </w:p>
    <w:p w:rsidR="00F86863" w:rsidRPr="00A3042C" w:rsidRDefault="00F86863" w:rsidP="00F86863">
      <w:pPr>
        <w:spacing w:before="60"/>
      </w:pPr>
      <w:r w:rsidRPr="00A3042C">
        <w:t>A conflict of interest exists whether it is:</w:t>
      </w:r>
    </w:p>
    <w:p w:rsidR="00F86863" w:rsidRPr="00A3042C" w:rsidRDefault="00F86863" w:rsidP="00F86863">
      <w:pPr>
        <w:pStyle w:val="ListBullet"/>
        <w:keepLines/>
        <w:numPr>
          <w:ilvl w:val="0"/>
          <w:numId w:val="25"/>
        </w:numPr>
        <w:tabs>
          <w:tab w:val="left" w:pos="284"/>
          <w:tab w:val="left" w:pos="567"/>
          <w:tab w:val="left" w:pos="851"/>
        </w:tabs>
        <w:spacing w:before="60" w:after="100" w:line="250" w:lineRule="atLeast"/>
      </w:pPr>
      <w:r w:rsidRPr="00CA48E0">
        <w:rPr>
          <w:b/>
        </w:rPr>
        <w:t>real</w:t>
      </w:r>
      <w:r w:rsidRPr="00A3042C">
        <w:t xml:space="preserve"> – it currently exists;</w:t>
      </w:r>
    </w:p>
    <w:p w:rsidR="00F86863" w:rsidRPr="00A3042C" w:rsidRDefault="00F86863" w:rsidP="00F86863">
      <w:pPr>
        <w:pStyle w:val="ListBullet"/>
        <w:keepLines/>
        <w:numPr>
          <w:ilvl w:val="0"/>
          <w:numId w:val="25"/>
        </w:numPr>
        <w:tabs>
          <w:tab w:val="left" w:pos="284"/>
          <w:tab w:val="left" w:pos="567"/>
          <w:tab w:val="left" w:pos="851"/>
        </w:tabs>
        <w:spacing w:before="60" w:after="100" w:line="250" w:lineRule="atLeast"/>
      </w:pPr>
      <w:r w:rsidRPr="00CA48E0">
        <w:rPr>
          <w:b/>
        </w:rPr>
        <w:t>potential</w:t>
      </w:r>
      <w:r w:rsidRPr="00A3042C">
        <w:t xml:space="preserve"> – it may arise, given the circumstances; or</w:t>
      </w:r>
    </w:p>
    <w:p w:rsidR="00F86863" w:rsidRPr="00A3042C" w:rsidRDefault="00F86863" w:rsidP="00F86863">
      <w:pPr>
        <w:pStyle w:val="ListBullet"/>
        <w:keepLines/>
        <w:numPr>
          <w:ilvl w:val="0"/>
          <w:numId w:val="25"/>
        </w:numPr>
        <w:tabs>
          <w:tab w:val="left" w:pos="284"/>
          <w:tab w:val="left" w:pos="567"/>
          <w:tab w:val="left" w:pos="851"/>
        </w:tabs>
        <w:spacing w:before="60" w:after="100" w:line="250" w:lineRule="atLeast"/>
      </w:pPr>
      <w:r w:rsidRPr="00CA48E0">
        <w:rPr>
          <w:b/>
        </w:rPr>
        <w:t>perceived</w:t>
      </w:r>
      <w:r w:rsidRPr="00A3042C">
        <w:t xml:space="preserve"> – members of the public could reasonably form the view that a conflict exists</w:t>
      </w:r>
      <w:r>
        <w:t>,</w:t>
      </w:r>
      <w:r w:rsidRPr="00A3042C">
        <w:t xml:space="preserve"> or could arise</w:t>
      </w:r>
      <w:r>
        <w:t>,</w:t>
      </w:r>
      <w:r w:rsidRPr="00A3042C">
        <w:t xml:space="preserve"> that may improperly influence the board member’s performance of his/her duty to the organisation, now or in the future.</w:t>
      </w:r>
    </w:p>
    <w:p w:rsidR="00F86863" w:rsidRPr="00A3042C" w:rsidRDefault="00F86863" w:rsidP="000A1A91">
      <w:pPr>
        <w:pStyle w:val="Heading3"/>
      </w:pPr>
      <w:r w:rsidRPr="00A3042C">
        <w:t>Direct or indirect</w:t>
      </w:r>
    </w:p>
    <w:p w:rsidR="00F86863" w:rsidRPr="00A3042C" w:rsidRDefault="00F86863" w:rsidP="00F86863">
      <w:pPr>
        <w:spacing w:before="60"/>
      </w:pPr>
      <w:r w:rsidRPr="00A3042C">
        <w:t xml:space="preserve">A private interest can be </w:t>
      </w:r>
      <w:r w:rsidRPr="006E48AC">
        <w:t>direct or indirect</w:t>
      </w:r>
      <w:r w:rsidRPr="00A3042C">
        <w:t xml:space="preserve">. A </w:t>
      </w:r>
      <w:r w:rsidRPr="00F16821">
        <w:t>direct</w:t>
      </w:r>
      <w:r w:rsidRPr="00A3042C">
        <w:t xml:space="preserve"> interest is held by the board member. An </w:t>
      </w:r>
      <w:r w:rsidRPr="00F16821">
        <w:t>indirect</w:t>
      </w:r>
      <w:r w:rsidRPr="00A3042C">
        <w:t xml:space="preserve"> interest is held by a relative or close associate of the board member, for example:</w:t>
      </w:r>
    </w:p>
    <w:p w:rsidR="00F86863" w:rsidRPr="00A3042C" w:rsidRDefault="00F86863" w:rsidP="00F86863">
      <w:pPr>
        <w:pStyle w:val="ListBullet"/>
        <w:numPr>
          <w:ilvl w:val="0"/>
          <w:numId w:val="2"/>
        </w:numPr>
      </w:pPr>
      <w:r w:rsidRPr="00A3042C">
        <w:t xml:space="preserve">an </w:t>
      </w:r>
      <w:r w:rsidRPr="006E48AC">
        <w:t>immediate family</w:t>
      </w:r>
      <w:r w:rsidRPr="00A3042C">
        <w:t xml:space="preserve"> member (e.g. spouse, partner, child, parent, sibling);</w:t>
      </w:r>
    </w:p>
    <w:p w:rsidR="00F86863" w:rsidRPr="00A3042C" w:rsidRDefault="00F86863" w:rsidP="00F86863">
      <w:pPr>
        <w:pStyle w:val="ListBullet"/>
        <w:numPr>
          <w:ilvl w:val="0"/>
          <w:numId w:val="2"/>
        </w:numPr>
      </w:pPr>
      <w:r w:rsidRPr="00A3042C">
        <w:t xml:space="preserve">a regular </w:t>
      </w:r>
      <w:r w:rsidRPr="006E48AC">
        <w:t>household member</w:t>
      </w:r>
      <w:r w:rsidRPr="00CA48E0">
        <w:rPr>
          <w:b/>
        </w:rPr>
        <w:t xml:space="preserve"> </w:t>
      </w:r>
      <w:r w:rsidRPr="006E48AC">
        <w:t xml:space="preserve">(i.e. someone who normally resides with the board member); </w:t>
      </w:r>
      <w:r w:rsidRPr="00A3042C">
        <w:t>or</w:t>
      </w:r>
    </w:p>
    <w:p w:rsidR="00F86863" w:rsidRPr="00A3042C" w:rsidRDefault="00F86863" w:rsidP="00F86863">
      <w:pPr>
        <w:pStyle w:val="ListBullet"/>
        <w:numPr>
          <w:ilvl w:val="0"/>
          <w:numId w:val="2"/>
        </w:numPr>
      </w:pPr>
      <w:r w:rsidRPr="00A3042C">
        <w:t xml:space="preserve">another close </w:t>
      </w:r>
      <w:r w:rsidRPr="006E48AC">
        <w:t>associate</w:t>
      </w:r>
      <w:r w:rsidRPr="00A3042C">
        <w:t xml:space="preserve"> (e.g. friend, relative, business associate, rival, enemy). </w:t>
      </w:r>
    </w:p>
    <w:p w:rsidR="00F86863" w:rsidRPr="000A1A91" w:rsidRDefault="00F86863" w:rsidP="000A1A91">
      <w:pPr>
        <w:pStyle w:val="Heading3"/>
      </w:pPr>
      <w:r w:rsidRPr="000A1A91">
        <w:t>Pecuniary or non-pecuniary</w:t>
      </w:r>
    </w:p>
    <w:p w:rsidR="00F86863" w:rsidRPr="00A3042C" w:rsidRDefault="00F86863" w:rsidP="00F86863">
      <w:r w:rsidRPr="00A3042C">
        <w:t xml:space="preserve">A private interest can be </w:t>
      </w:r>
      <w:r w:rsidRPr="005E3C89">
        <w:t>pecuniary (financial) or non-pecuniary</w:t>
      </w:r>
      <w:r w:rsidRPr="00A3042C">
        <w:t xml:space="preserve"> (non-financial), or a mixture of both. It can arise from a wide range of personal or professional/business-related sources.</w:t>
      </w:r>
    </w:p>
    <w:p w:rsidR="000A1A91" w:rsidRDefault="00F86863" w:rsidP="00F86863">
      <w:r w:rsidRPr="00CA48E0">
        <w:rPr>
          <w:b/>
        </w:rPr>
        <w:t>Pecuniary interests</w:t>
      </w:r>
      <w:r w:rsidRPr="00A3042C">
        <w:t xml:space="preserve"> - include actual, potential, or perceived financial gain or loss. Money does not need to change hands. The interest exists if the board member (or a relative or close associate):</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owns property;</w:t>
      </w:r>
    </w:p>
    <w:p w:rsidR="00F86863" w:rsidRPr="00A3042C" w:rsidRDefault="00F86863" w:rsidP="00F86863">
      <w:pPr>
        <w:pStyle w:val="ListBullet"/>
        <w:keepLines/>
        <w:numPr>
          <w:ilvl w:val="0"/>
          <w:numId w:val="25"/>
        </w:numPr>
        <w:tabs>
          <w:tab w:val="left" w:pos="284"/>
          <w:tab w:val="left" w:pos="567"/>
          <w:tab w:val="left" w:pos="851"/>
        </w:tabs>
        <w:spacing w:before="60" w:after="80"/>
      </w:pPr>
      <w:r w:rsidRPr="00A3042C">
        <w:t>holds shares, investments or other business interests;</w:t>
      </w:r>
    </w:p>
    <w:p w:rsidR="00F86863" w:rsidRPr="00A3042C" w:rsidRDefault="00F86863" w:rsidP="00F86863">
      <w:pPr>
        <w:pStyle w:val="ListBullet"/>
        <w:keepLines/>
        <w:numPr>
          <w:ilvl w:val="0"/>
          <w:numId w:val="25"/>
        </w:numPr>
        <w:tabs>
          <w:tab w:val="left" w:pos="284"/>
          <w:tab w:val="left" w:pos="567"/>
          <w:tab w:val="left" w:pos="851"/>
        </w:tabs>
        <w:spacing w:before="60" w:after="80"/>
      </w:pPr>
      <w:r w:rsidRPr="00A3042C">
        <w:t>has a position in a company bidding for government work;</w:t>
      </w:r>
    </w:p>
    <w:p w:rsidR="00F86863" w:rsidRPr="00A3042C" w:rsidRDefault="00F86863" w:rsidP="00F86863">
      <w:pPr>
        <w:pStyle w:val="ListBullet"/>
        <w:keepLines/>
        <w:numPr>
          <w:ilvl w:val="0"/>
          <w:numId w:val="25"/>
        </w:numPr>
        <w:tabs>
          <w:tab w:val="left" w:pos="284"/>
          <w:tab w:val="left" w:pos="567"/>
          <w:tab w:val="left" w:pos="851"/>
        </w:tabs>
        <w:spacing w:before="60" w:after="80"/>
      </w:pPr>
      <w:r w:rsidRPr="00A3042C">
        <w:t xml:space="preserve">receives benefits such as concessions, discounts, gifts or hospitality from a particular source; </w:t>
      </w:r>
    </w:p>
    <w:p w:rsidR="00F86863" w:rsidRPr="00A3042C" w:rsidRDefault="00F86863" w:rsidP="00F86863">
      <w:pPr>
        <w:pStyle w:val="ListBullet"/>
        <w:keepLines/>
        <w:numPr>
          <w:ilvl w:val="0"/>
          <w:numId w:val="25"/>
        </w:numPr>
        <w:tabs>
          <w:tab w:val="left" w:pos="284"/>
          <w:tab w:val="left" w:pos="567"/>
          <w:tab w:val="left" w:pos="851"/>
        </w:tabs>
        <w:spacing w:before="60" w:after="80"/>
      </w:pPr>
      <w:r w:rsidRPr="00A3042C">
        <w:t>holds office in a corporation (public, private or trustee), incorporated association, or other entity; or</w:t>
      </w:r>
    </w:p>
    <w:p w:rsidR="00F86863" w:rsidRPr="00A3042C" w:rsidRDefault="00F86863" w:rsidP="00F86863">
      <w:pPr>
        <w:pStyle w:val="ListBullet"/>
        <w:keepLines/>
        <w:numPr>
          <w:ilvl w:val="0"/>
          <w:numId w:val="25"/>
        </w:numPr>
        <w:tabs>
          <w:tab w:val="left" w:pos="284"/>
          <w:tab w:val="left" w:pos="567"/>
          <w:tab w:val="left" w:pos="851"/>
        </w:tabs>
        <w:spacing w:before="60" w:after="80"/>
      </w:pPr>
      <w:r w:rsidRPr="00A3042C">
        <w:t xml:space="preserve">has any other relevant financial interest, for example: </w:t>
      </w:r>
    </w:p>
    <w:p w:rsidR="00F86863" w:rsidRPr="00A3042C" w:rsidRDefault="00F86863" w:rsidP="00F86863">
      <w:pPr>
        <w:pStyle w:val="ListBullet2"/>
        <w:keepLines/>
        <w:numPr>
          <w:ilvl w:val="1"/>
          <w:numId w:val="25"/>
        </w:numPr>
        <w:tabs>
          <w:tab w:val="clear" w:pos="454"/>
          <w:tab w:val="left" w:pos="284"/>
          <w:tab w:val="left" w:pos="567"/>
          <w:tab w:val="left" w:pos="851"/>
          <w:tab w:val="num" w:pos="1134"/>
        </w:tabs>
        <w:spacing w:before="60" w:after="80"/>
        <w:ind w:left="568" w:hanging="284"/>
      </w:pPr>
      <w:r w:rsidRPr="00A3042C">
        <w:t>is entitled to receive income derived from a contract;</w:t>
      </w:r>
    </w:p>
    <w:p w:rsidR="00F86863" w:rsidRPr="00A3042C" w:rsidRDefault="00F86863" w:rsidP="00F86863">
      <w:pPr>
        <w:pStyle w:val="ListBullet2"/>
        <w:keepLines/>
        <w:numPr>
          <w:ilvl w:val="1"/>
          <w:numId w:val="25"/>
        </w:numPr>
        <w:tabs>
          <w:tab w:val="clear" w:pos="454"/>
          <w:tab w:val="left" w:pos="284"/>
          <w:tab w:val="left" w:pos="567"/>
          <w:tab w:val="left" w:pos="851"/>
          <w:tab w:val="num" w:pos="1134"/>
        </w:tabs>
        <w:spacing w:before="60" w:after="80"/>
        <w:ind w:left="568" w:hanging="284"/>
      </w:pPr>
      <w:r w:rsidRPr="00A3042C">
        <w:t>is a beneficiary or trustee of a trust; or</w:t>
      </w:r>
    </w:p>
    <w:p w:rsidR="00F86863" w:rsidRPr="00A3042C" w:rsidRDefault="00F86863" w:rsidP="00F86863">
      <w:pPr>
        <w:pStyle w:val="ListBullet2"/>
        <w:keepLines/>
        <w:numPr>
          <w:ilvl w:val="1"/>
          <w:numId w:val="25"/>
        </w:numPr>
        <w:tabs>
          <w:tab w:val="clear" w:pos="454"/>
          <w:tab w:val="left" w:pos="284"/>
          <w:tab w:val="left" w:pos="567"/>
          <w:tab w:val="left" w:pos="851"/>
          <w:tab w:val="num" w:pos="1134"/>
        </w:tabs>
        <w:spacing w:before="100" w:line="250" w:lineRule="atLeast"/>
        <w:ind w:left="568" w:hanging="284"/>
      </w:pPr>
      <w:r w:rsidRPr="00A3042C">
        <w:t xml:space="preserve">is entitled to receive income from an office held for payment/reward or </w:t>
      </w:r>
      <w:r w:rsidR="00241C30">
        <w:t xml:space="preserve">from </w:t>
      </w:r>
      <w:r w:rsidRPr="00A3042C">
        <w:t>a trade, vocation, or profession.</w:t>
      </w:r>
    </w:p>
    <w:p w:rsidR="00F86863" w:rsidRPr="00A3042C" w:rsidRDefault="00F86863" w:rsidP="00F86863">
      <w:r w:rsidRPr="00573554">
        <w:rPr>
          <w:b/>
        </w:rPr>
        <w:t>Non-pecuniary interests</w:t>
      </w:r>
      <w:r w:rsidRPr="00A3042C">
        <w:t xml:space="preserve"> - may arise from p</w:t>
      </w:r>
      <w:r w:rsidR="00241C30">
        <w:t>ersonal or family relationships</w:t>
      </w:r>
      <w:r w:rsidRPr="00A3042C">
        <w:t xml:space="preserve"> or from involvement in sporting, social, or cultural activities, etc. They include a tendency towards favour or prejudice resulting from friendship, animosity, or other personal involvement with another person or group. If personal values are likely to impact on the proper performance of public duty, this can also lead to a conflict of interest. Enmity as well as friendship can give rise to a conflict of interest.</w:t>
      </w:r>
    </w:p>
    <w:p w:rsidR="00F86863" w:rsidRPr="00A3042C" w:rsidRDefault="00F86863" w:rsidP="002641A7">
      <w:pPr>
        <w:pStyle w:val="Heading1"/>
        <w:spacing w:after="100"/>
      </w:pPr>
      <w:r w:rsidRPr="00A3042C">
        <w:t>4.</w:t>
      </w:r>
      <w:r w:rsidRPr="00A3042C">
        <w:tab/>
        <w:t xml:space="preserve">Annual Declaration of Private </w:t>
      </w:r>
      <w:r w:rsidRPr="001A3C24">
        <w:t>I</w:t>
      </w:r>
      <w:r w:rsidRPr="00A3042C">
        <w:t>nterests</w:t>
      </w:r>
    </w:p>
    <w:p w:rsidR="002641A7" w:rsidRDefault="00F86863" w:rsidP="002641A7">
      <w:pPr>
        <w:spacing w:after="100"/>
      </w:pPr>
      <w:r w:rsidRPr="00A3042C">
        <w:t xml:space="preserve">Upon appointment to the board, each board member will make a </w:t>
      </w:r>
      <w:r w:rsidRPr="00815894">
        <w:rPr>
          <w:i/>
        </w:rPr>
        <w:t>Declaration of Private Interests</w:t>
      </w:r>
      <w:r w:rsidRPr="00A3042C">
        <w:t xml:space="preserve"> using the form </w:t>
      </w:r>
      <w:r>
        <w:t xml:space="preserve">specified </w:t>
      </w:r>
      <w:r w:rsidRPr="00A3042C">
        <w:t>in Appendix 1.  Declarations will be lodged with the chair, who will ensure that</w:t>
      </w:r>
      <w:r w:rsidR="009B4891">
        <w:t>:</w:t>
      </w:r>
      <w:r w:rsidRPr="00A3042C">
        <w:t xml:space="preserve"> </w:t>
      </w:r>
    </w:p>
    <w:p w:rsidR="002641A7" w:rsidRDefault="00F86863" w:rsidP="002641A7">
      <w:pPr>
        <w:pStyle w:val="ListBullet"/>
        <w:spacing w:after="100"/>
      </w:pPr>
      <w:r w:rsidRPr="00A3042C">
        <w:t xml:space="preserve">the information provided in relation to a board member’s interests is recorded in the </w:t>
      </w:r>
      <w:r w:rsidRPr="00A3042C">
        <w:rPr>
          <w:i/>
        </w:rPr>
        <w:t>Register of Interests</w:t>
      </w:r>
      <w:r w:rsidR="002641A7">
        <w:rPr>
          <w:i/>
        </w:rPr>
        <w:t>;</w:t>
      </w:r>
      <w:r w:rsidRPr="00A3042C">
        <w:rPr>
          <w:i/>
        </w:rPr>
        <w:t xml:space="preserve"> </w:t>
      </w:r>
      <w:r w:rsidRPr="00A3042C">
        <w:t xml:space="preserve">and </w:t>
      </w:r>
    </w:p>
    <w:p w:rsidR="00F86863" w:rsidRPr="00A3042C" w:rsidRDefault="00F86863" w:rsidP="002641A7">
      <w:pPr>
        <w:pStyle w:val="ListBullet"/>
        <w:spacing w:after="100"/>
      </w:pPr>
      <w:r w:rsidRPr="00A3042C">
        <w:t xml:space="preserve">all information provided </w:t>
      </w:r>
      <w:r w:rsidR="00AF21D1">
        <w:t xml:space="preserve">on the form </w:t>
      </w:r>
      <w:r w:rsidRPr="00A3042C">
        <w:t xml:space="preserve">is stored and used in accordance with the </w:t>
      </w:r>
      <w:r w:rsidRPr="00A3042C">
        <w:rPr>
          <w:i/>
        </w:rPr>
        <w:t>Privacy and Data Protection Act 2014</w:t>
      </w:r>
      <w:r w:rsidRPr="00A3042C">
        <w:t xml:space="preserve"> and the </w:t>
      </w:r>
      <w:r w:rsidRPr="00A3042C">
        <w:rPr>
          <w:i/>
        </w:rPr>
        <w:t xml:space="preserve">Public Records Act 1973. </w:t>
      </w:r>
    </w:p>
    <w:p w:rsidR="00F86863" w:rsidRPr="00A3042C" w:rsidRDefault="00F86863" w:rsidP="00F86863">
      <w:r w:rsidRPr="00A3042C">
        <w:t xml:space="preserve">Board members will update their declaration </w:t>
      </w:r>
      <w:r w:rsidRPr="00E433F5">
        <w:t>annually</w:t>
      </w:r>
      <w:r w:rsidRPr="00573554">
        <w:rPr>
          <w:b/>
        </w:rPr>
        <w:t>.</w:t>
      </w:r>
      <w:r w:rsidRPr="00A3042C">
        <w:t xml:space="preserve">  If a board member’s circ</w:t>
      </w:r>
      <w:r>
        <w:t>umstance change in the meantime,</w:t>
      </w:r>
      <w:r w:rsidRPr="00A3042C">
        <w:t xml:space="preserve"> he or she wil</w:t>
      </w:r>
      <w:r>
        <w:t>l lodge an</w:t>
      </w:r>
      <w:r w:rsidR="006307E5">
        <w:t xml:space="preserve"> updat</w:t>
      </w:r>
      <w:bookmarkStart w:id="0" w:name="_GoBack"/>
      <w:bookmarkEnd w:id="0"/>
      <w:r w:rsidR="006307E5">
        <w:t xml:space="preserve">ed declaration, </w:t>
      </w:r>
      <w:r w:rsidRPr="00A3042C">
        <w:t xml:space="preserve">unless the change is already adequately recorded in the register as a result of a declaration made at </w:t>
      </w:r>
      <w:r w:rsidR="006307E5">
        <w:t>a board meeting (</w:t>
      </w:r>
      <w:r>
        <w:t>see ‘5’ below)</w:t>
      </w:r>
      <w:r w:rsidRPr="00A3042C">
        <w:t xml:space="preserve">.  </w:t>
      </w:r>
    </w:p>
    <w:p w:rsidR="00F86863" w:rsidRPr="00DC4C83" w:rsidRDefault="00F86863" w:rsidP="00DC4C83">
      <w:pPr>
        <w:spacing w:line="250" w:lineRule="atLeast"/>
      </w:pPr>
      <w:r w:rsidRPr="00DC4C83">
        <w:rPr>
          <w:rStyle w:val="Emphasis-Italics"/>
          <w:szCs w:val="21"/>
        </w:rPr>
        <w:t>[If the establishing Act contains additional requirements</w:t>
      </w:r>
      <w:r w:rsidR="000A1A91" w:rsidRPr="00DC4C83">
        <w:rPr>
          <w:rStyle w:val="Emphasis-Italics"/>
          <w:szCs w:val="21"/>
        </w:rPr>
        <w:t xml:space="preserve"> include these</w:t>
      </w:r>
      <w:r w:rsidR="00DC4C83">
        <w:rPr>
          <w:rStyle w:val="Emphasis-Italics"/>
          <w:szCs w:val="21"/>
        </w:rPr>
        <w:t xml:space="preserve"> – e.g.</w:t>
      </w:r>
      <w:r w:rsidR="00DC4C83" w:rsidRPr="00DC4C83">
        <w:rPr>
          <w:rStyle w:val="Emphasis-Italics"/>
          <w:szCs w:val="21"/>
        </w:rPr>
        <w:t xml:space="preserve"> for </w:t>
      </w:r>
      <w:r w:rsidR="00DC4C83" w:rsidRPr="00864095">
        <w:rPr>
          <w:rStyle w:val="Emphasis-Italics"/>
          <w:b/>
          <w:szCs w:val="21"/>
        </w:rPr>
        <w:t>CMAs</w:t>
      </w:r>
      <w:r w:rsidR="00DC4C83" w:rsidRPr="00DC4C83">
        <w:rPr>
          <w:rStyle w:val="Emphasis-Italics"/>
          <w:szCs w:val="21"/>
        </w:rPr>
        <w:t xml:space="preserve"> (s</w:t>
      </w:r>
      <w:r w:rsidR="00DC4C83">
        <w:rPr>
          <w:rStyle w:val="Emphasis-Italics"/>
          <w:szCs w:val="21"/>
        </w:rPr>
        <w:t xml:space="preserve"> 18K to s 18</w:t>
      </w:r>
      <w:r w:rsidR="00DC4C83" w:rsidRPr="00DC4C83">
        <w:rPr>
          <w:rStyle w:val="Emphasis-Italics"/>
          <w:szCs w:val="21"/>
        </w:rPr>
        <w:t>L of the Catchment and Land Protection Act</w:t>
      </w:r>
      <w:r w:rsidR="00DC4C83" w:rsidRPr="00DC4C83">
        <w:t xml:space="preserve">) and </w:t>
      </w:r>
      <w:r w:rsidR="00DC4C83" w:rsidRPr="00864095">
        <w:rPr>
          <w:b/>
        </w:rPr>
        <w:t>water corporations</w:t>
      </w:r>
      <w:r w:rsidR="00DC4C83" w:rsidRPr="00DC4C83">
        <w:t xml:space="preserve"> (s 113</w:t>
      </w:r>
      <w:r w:rsidR="00DC4C83">
        <w:t xml:space="preserve"> to s </w:t>
      </w:r>
      <w:r w:rsidR="00DC4C83" w:rsidRPr="00DC4C83">
        <w:t>115 of the Water Act)</w:t>
      </w:r>
      <w:r w:rsidR="000A1A91" w:rsidRPr="00DC4C83">
        <w:rPr>
          <w:rStyle w:val="Emphasis-Italics"/>
          <w:szCs w:val="21"/>
        </w:rPr>
        <w:t xml:space="preserve"> </w:t>
      </w:r>
      <w:r w:rsidR="00DC4C83" w:rsidRPr="00DC4C83">
        <w:rPr>
          <w:rStyle w:val="Emphasis-Italics"/>
          <w:szCs w:val="21"/>
        </w:rPr>
        <w:t>add:</w:t>
      </w:r>
      <w:r w:rsidR="000A1A91" w:rsidRPr="00DC4C83">
        <w:rPr>
          <w:rStyle w:val="Emphasis-Italics"/>
          <w:szCs w:val="21"/>
        </w:rPr>
        <w:t xml:space="preserve"> ‘</w:t>
      </w:r>
      <w:r w:rsidR="000A1A91" w:rsidRPr="00DC4C83">
        <w:rPr>
          <w:rStyle w:val="Emphasis-Italics"/>
          <w:i w:val="0"/>
          <w:szCs w:val="21"/>
        </w:rPr>
        <w:t>P</w:t>
      </w:r>
      <w:r w:rsidRPr="00DC4C83">
        <w:rPr>
          <w:rStyle w:val="Emphasis-Italics"/>
          <w:i w:val="0"/>
          <w:szCs w:val="21"/>
        </w:rPr>
        <w:t xml:space="preserve">rimary and ordinary </w:t>
      </w:r>
      <w:r w:rsidR="00DC4C83" w:rsidRPr="00DC4C83">
        <w:rPr>
          <w:rStyle w:val="Emphasis-Italics"/>
          <w:i w:val="0"/>
          <w:szCs w:val="21"/>
        </w:rPr>
        <w:t>returns required under s</w:t>
      </w:r>
      <w:r w:rsidRPr="00DC4C83">
        <w:rPr>
          <w:rStyle w:val="Emphasis-Italics"/>
          <w:i w:val="0"/>
          <w:szCs w:val="21"/>
        </w:rPr>
        <w:t xml:space="preserve"> X of Y Act should be attached to the Declaration of Private Interests </w:t>
      </w:r>
      <w:r w:rsidR="00DC4C83" w:rsidRPr="00DC4C83">
        <w:rPr>
          <w:rStyle w:val="Emphasis-Italics"/>
          <w:i w:val="0"/>
          <w:szCs w:val="21"/>
        </w:rPr>
        <w:t>form specified in Appendix 1.</w:t>
      </w:r>
      <w:r w:rsidR="00DC4C83" w:rsidRPr="00DC4C83">
        <w:rPr>
          <w:rStyle w:val="Emphasis-Italics"/>
          <w:szCs w:val="21"/>
        </w:rPr>
        <w:t>’</w:t>
      </w:r>
      <w:r w:rsidRPr="00DC4C83">
        <w:t>]</w:t>
      </w:r>
    </w:p>
    <w:p w:rsidR="00F86863" w:rsidRPr="00A3042C" w:rsidRDefault="00F86863" w:rsidP="002641A7">
      <w:pPr>
        <w:pStyle w:val="Heading1"/>
        <w:spacing w:after="100"/>
      </w:pPr>
      <w:r w:rsidRPr="00A3042C">
        <w:t>5.</w:t>
      </w:r>
      <w:r w:rsidRPr="00A3042C">
        <w:tab/>
        <w:t>Register of Interests</w:t>
      </w:r>
    </w:p>
    <w:p w:rsidR="00F86863" w:rsidRPr="00C33F2A" w:rsidRDefault="00F86863" w:rsidP="00F86863">
      <w:r>
        <w:t>A</w:t>
      </w:r>
      <w:r w:rsidRPr="00C33F2A">
        <w:t xml:space="preserve"> </w:t>
      </w:r>
      <w:r w:rsidRPr="00C33F2A">
        <w:rPr>
          <w:i/>
        </w:rPr>
        <w:t>Register of Interests</w:t>
      </w:r>
      <w:r w:rsidRPr="00C33F2A">
        <w:t xml:space="preserve"> will be maintained which includes details of both the direct and indirect interests of each board </w:t>
      </w:r>
      <w:r w:rsidRPr="00564546">
        <w:t>member</w:t>
      </w:r>
      <w:r w:rsidRPr="00C33F2A">
        <w:t xml:space="preserve"> </w:t>
      </w:r>
      <w:r w:rsidRPr="00564546">
        <w:t>that may give rise to a conflict of interest.</w:t>
      </w:r>
      <w:r w:rsidRPr="00C33F2A">
        <w:t xml:space="preserve">  The </w:t>
      </w:r>
      <w:r w:rsidRPr="00C33F2A">
        <w:rPr>
          <w:i/>
        </w:rPr>
        <w:t>Register of Interests</w:t>
      </w:r>
      <w:r w:rsidRPr="00C33F2A">
        <w:t xml:space="preserve"> template is set out in Appendix 2. </w:t>
      </w:r>
    </w:p>
    <w:p w:rsidR="00F86863" w:rsidRPr="000A1A91" w:rsidRDefault="00F86863" w:rsidP="002641A7">
      <w:pPr>
        <w:pStyle w:val="Heading2"/>
        <w:spacing w:before="160" w:after="100"/>
      </w:pPr>
      <w:r w:rsidRPr="000A1A91">
        <w:t>Confirmation of register at start of board meeting</w:t>
      </w:r>
    </w:p>
    <w:p w:rsidR="00F86863" w:rsidRPr="00A3042C" w:rsidRDefault="00F86863" w:rsidP="00F86863">
      <w:r w:rsidRPr="00CB2CD3">
        <w:rPr>
          <w:rStyle w:val="Emphasis-Italics"/>
          <w:i w:val="0"/>
        </w:rPr>
        <w:t>The chair will ensure that the</w:t>
      </w:r>
      <w:r w:rsidRPr="00A3042C">
        <w:rPr>
          <w:rStyle w:val="Emphasis-Italics"/>
        </w:rPr>
        <w:t xml:space="preserve"> Register of Interests </w:t>
      </w:r>
      <w:r w:rsidRPr="00CB2CD3">
        <w:rPr>
          <w:rStyle w:val="Emphasis-Italics"/>
          <w:i w:val="0"/>
        </w:rPr>
        <w:t>is present for reference at each board meeting</w:t>
      </w:r>
      <w:r w:rsidRPr="00A3042C">
        <w:rPr>
          <w:rStyle w:val="Emphasis-Italics"/>
        </w:rPr>
        <w:t>.</w:t>
      </w:r>
      <w:r w:rsidRPr="00494BA6">
        <w:rPr>
          <w:rStyle w:val="FootnoteReference"/>
        </w:rPr>
        <w:footnoteReference w:id="1"/>
      </w:r>
      <w:r w:rsidRPr="00A3042C">
        <w:rPr>
          <w:rStyle w:val="Emphasis-Italics"/>
        </w:rPr>
        <w:t xml:space="preserve">  </w:t>
      </w:r>
      <w:r w:rsidRPr="00A3042C">
        <w:t>At the start of the meeting, the chair will ask for all board members to state whether their interests as recorded in the register are complete and correct.  If there are no changes, the minutes will note that ‘all board members present confir</w:t>
      </w:r>
      <w:r w:rsidR="007D1C6C">
        <w:t>med that their entries</w:t>
      </w:r>
      <w:r w:rsidRPr="00A3042C">
        <w:t xml:space="preserve"> in the </w:t>
      </w:r>
      <w:r w:rsidRPr="00A3042C">
        <w:rPr>
          <w:i/>
        </w:rPr>
        <w:t>Register of Interests</w:t>
      </w:r>
      <w:r w:rsidRPr="00A3042C">
        <w:t xml:space="preserve"> </w:t>
      </w:r>
      <w:r w:rsidR="007D1C6C">
        <w:t>are</w:t>
      </w:r>
      <w:r w:rsidRPr="00A3042C">
        <w:t xml:space="preserve"> complete and correct’.  If any changes are declared, these will be recorded in the minutes for entry into the register.</w:t>
      </w:r>
    </w:p>
    <w:p w:rsidR="00F86863" w:rsidRPr="00A3042C" w:rsidRDefault="00F86863" w:rsidP="002641A7">
      <w:pPr>
        <w:pStyle w:val="Heading2"/>
        <w:spacing w:before="160" w:after="100"/>
      </w:pPr>
      <w:r w:rsidRPr="00A3042C">
        <w:t>Updating the register</w:t>
      </w:r>
    </w:p>
    <w:p w:rsidR="00F86863" w:rsidRPr="00A3042C" w:rsidRDefault="00F86863" w:rsidP="00F86863">
      <w:pPr>
        <w:spacing w:before="60"/>
      </w:pPr>
      <w:r w:rsidRPr="00A3042C">
        <w:t xml:space="preserve">The chair will ensure that the </w:t>
      </w:r>
      <w:r w:rsidRPr="00A3042C">
        <w:rPr>
          <w:i/>
        </w:rPr>
        <w:t>Register of Interests</w:t>
      </w:r>
      <w:r w:rsidRPr="00A3042C">
        <w:t xml:space="preserve"> is current and includes:</w:t>
      </w:r>
    </w:p>
    <w:p w:rsidR="00F86863" w:rsidRPr="00A3042C" w:rsidRDefault="00F86863" w:rsidP="00F86863">
      <w:pPr>
        <w:pStyle w:val="ListBullet"/>
        <w:keepLines/>
        <w:numPr>
          <w:ilvl w:val="0"/>
          <w:numId w:val="25"/>
        </w:numPr>
        <w:tabs>
          <w:tab w:val="left" w:pos="284"/>
          <w:tab w:val="left" w:pos="567"/>
          <w:tab w:val="left" w:pos="851"/>
        </w:tabs>
        <w:spacing w:before="60" w:after="100"/>
      </w:pPr>
      <w:r>
        <w:t xml:space="preserve">all interests declared in </w:t>
      </w:r>
      <w:r w:rsidRPr="00A3042C">
        <w:rPr>
          <w:i/>
        </w:rPr>
        <w:t>Declaration of Private Interests</w:t>
      </w:r>
      <w:r w:rsidRPr="00A3042C">
        <w:t xml:space="preserve"> forms lodged by board members [</w:t>
      </w:r>
      <w:r>
        <w:rPr>
          <w:i/>
        </w:rPr>
        <w:t>insert</w:t>
      </w:r>
      <w:r w:rsidRPr="00A3042C">
        <w:rPr>
          <w:i/>
        </w:rPr>
        <w:t xml:space="preserve"> if </w:t>
      </w:r>
      <w:r w:rsidR="004450BE">
        <w:rPr>
          <w:i/>
        </w:rPr>
        <w:t>applicable</w:t>
      </w:r>
      <w:r>
        <w:rPr>
          <w:i/>
        </w:rPr>
        <w:t>:</w:t>
      </w:r>
      <w:r>
        <w:t xml:space="preserve"> ‘and</w:t>
      </w:r>
      <w:r w:rsidRPr="00A3042C">
        <w:t xml:space="preserve"> </w:t>
      </w:r>
      <w:r>
        <w:t xml:space="preserve">in any </w:t>
      </w:r>
      <w:r w:rsidRPr="00A3042C">
        <w:t>returns required by the establishing Act’]; and</w:t>
      </w:r>
    </w:p>
    <w:p w:rsidR="00F86863" w:rsidRPr="00A3042C" w:rsidRDefault="00F86863" w:rsidP="000A1A91">
      <w:pPr>
        <w:pStyle w:val="ListBullet"/>
        <w:keepLines/>
        <w:numPr>
          <w:ilvl w:val="0"/>
          <w:numId w:val="25"/>
        </w:numPr>
        <w:tabs>
          <w:tab w:val="left" w:pos="284"/>
          <w:tab w:val="left" w:pos="567"/>
          <w:tab w:val="left" w:pos="851"/>
        </w:tabs>
        <w:spacing w:before="60" w:after="0"/>
      </w:pPr>
      <w:r w:rsidRPr="00A3042C">
        <w:t>any additional interests which have been declared and recorded in the minutes of a board meeting.</w:t>
      </w:r>
    </w:p>
    <w:p w:rsidR="00F86863" w:rsidRPr="00A3042C" w:rsidRDefault="00F86863" w:rsidP="00F86863">
      <w:pPr>
        <w:pStyle w:val="Heading1"/>
      </w:pPr>
      <w:r w:rsidRPr="00A3042C">
        <w:t>6.</w:t>
      </w:r>
      <w:r w:rsidRPr="00A3042C">
        <w:tab/>
        <w:t>Declaring conflicts of interest at the start of a meeting</w:t>
      </w:r>
    </w:p>
    <w:p w:rsidR="00F86863" w:rsidRPr="00A3042C" w:rsidRDefault="00F86863" w:rsidP="001233A7">
      <w:pPr>
        <w:spacing w:line="260" w:lineRule="atLeast"/>
      </w:pPr>
      <w:r w:rsidRPr="00A3042C">
        <w:t xml:space="preserve">In addition to checking whether the </w:t>
      </w:r>
      <w:r w:rsidRPr="00A3042C">
        <w:rPr>
          <w:i/>
        </w:rPr>
        <w:t>Register of Interests</w:t>
      </w:r>
      <w:r w:rsidRPr="00A3042C">
        <w:t xml:space="preserve"> is </w:t>
      </w:r>
      <w:r w:rsidR="00FE2219">
        <w:t>complete</w:t>
      </w:r>
      <w:r w:rsidRPr="00A3042C">
        <w:t xml:space="preserve"> and correct (see above), at the start of each board meeting the chair will ask if any board member present has an </w:t>
      </w:r>
      <w:r w:rsidRPr="00CD0C9F">
        <w:t>interest</w:t>
      </w:r>
      <w:r w:rsidRPr="00A3042C">
        <w:t xml:space="preserve"> (i.e. a private interest or a duty to another organisation) in respect to any item on the agenda.  If a board member has an interest he or she will </w:t>
      </w:r>
      <w:r w:rsidRPr="00CD0C9F">
        <w:t>declare</w:t>
      </w:r>
      <w:r w:rsidRPr="00A3042C">
        <w:t xml:space="preserve"> it, including the nature of the interest and the conflict that results, or may result, from it.  An interest must be declared even if it is already recorded in the </w:t>
      </w:r>
      <w:r w:rsidRPr="00A3042C">
        <w:rPr>
          <w:i/>
        </w:rPr>
        <w:t>Register</w:t>
      </w:r>
      <w:r w:rsidRPr="00A3042C">
        <w:t xml:space="preserve">.  </w:t>
      </w:r>
    </w:p>
    <w:p w:rsidR="00F86863" w:rsidRPr="00A3042C" w:rsidRDefault="00F86863" w:rsidP="001233A7">
      <w:pPr>
        <w:spacing w:line="260" w:lineRule="atLeast"/>
      </w:pPr>
      <w:r w:rsidRPr="00A3042C">
        <w:t xml:space="preserve">A board member who becomes aware during the meeting that he or she has an undeclared interest will declare it immediately.  </w:t>
      </w:r>
    </w:p>
    <w:p w:rsidR="00F86863" w:rsidRDefault="00F86863" w:rsidP="001233A7">
      <w:pPr>
        <w:spacing w:after="0" w:line="260" w:lineRule="atLeast"/>
      </w:pPr>
      <w:r w:rsidRPr="00A3042C">
        <w:t>A board member who believes that another board member may have an undeclared interest will raise this as a query, so as to enable the other board member to declare the interest, if it exists.</w:t>
      </w:r>
    </w:p>
    <w:p w:rsidR="00F86863" w:rsidRPr="00A3042C" w:rsidRDefault="00F86863" w:rsidP="00F86863">
      <w:pPr>
        <w:pStyle w:val="Heading1"/>
      </w:pPr>
      <w:r w:rsidRPr="00A3042C">
        <w:t>7.</w:t>
      </w:r>
      <w:r w:rsidRPr="00A3042C">
        <w:tab/>
        <w:t>Options for managing a conflict of interest</w:t>
      </w:r>
    </w:p>
    <w:p w:rsidR="00F86863" w:rsidRPr="00A3042C" w:rsidRDefault="00F86863" w:rsidP="00F86863">
      <w:r w:rsidRPr="00A3042C">
        <w:t xml:space="preserve">The board will manage all conflicts of interest in the </w:t>
      </w:r>
      <w:r w:rsidRPr="00FF227E">
        <w:rPr>
          <w:b/>
        </w:rPr>
        <w:t>public interest</w:t>
      </w:r>
      <w:r w:rsidRPr="00A3042C">
        <w:t xml:space="preserve">.  </w:t>
      </w:r>
      <w:r w:rsidR="00721BB3">
        <w:t>Depending on the conflict, o</w:t>
      </w:r>
      <w:r w:rsidRPr="00A3042C">
        <w:t>ptions include:</w:t>
      </w:r>
    </w:p>
    <w:p w:rsidR="00F86863" w:rsidRPr="00A3042C" w:rsidRDefault="00F86863" w:rsidP="001233A7">
      <w:pPr>
        <w:tabs>
          <w:tab w:val="left" w:pos="284"/>
        </w:tabs>
        <w:spacing w:after="140" w:line="260" w:lineRule="atLeast"/>
        <w:rPr>
          <w:rFonts w:asciiTheme="minorHAnsi" w:hAnsiTheme="minorHAnsi" w:cstheme="minorHAnsi"/>
        </w:rPr>
      </w:pPr>
      <w:r w:rsidRPr="000A1A91">
        <w:rPr>
          <w:rFonts w:asciiTheme="minorHAnsi" w:hAnsiTheme="minorHAnsi" w:cstheme="minorHAnsi"/>
          <w:bCs/>
        </w:rPr>
        <w:t>1.</w:t>
      </w:r>
      <w:r w:rsidRPr="000A1A91">
        <w:rPr>
          <w:rFonts w:asciiTheme="minorHAnsi" w:hAnsiTheme="minorHAnsi" w:cstheme="minorHAnsi"/>
          <w:bCs/>
        </w:rPr>
        <w:tab/>
      </w:r>
      <w:r w:rsidRPr="00A3042C">
        <w:rPr>
          <w:rFonts w:asciiTheme="minorHAnsi" w:hAnsiTheme="minorHAnsi" w:cstheme="minorHAnsi"/>
          <w:b/>
          <w:bCs/>
        </w:rPr>
        <w:t xml:space="preserve">Remove </w:t>
      </w:r>
      <w:r w:rsidRPr="00A3042C">
        <w:rPr>
          <w:rFonts w:asciiTheme="minorHAnsi" w:hAnsiTheme="minorHAnsi" w:cstheme="minorHAnsi"/>
        </w:rPr>
        <w:t xml:space="preserve">– the board member leaves the room and does not participate at all in the ‘conflicted’ matter.  </w:t>
      </w:r>
    </w:p>
    <w:p w:rsidR="00F86863" w:rsidRPr="00A3042C" w:rsidRDefault="00F86863" w:rsidP="001233A7">
      <w:pPr>
        <w:pStyle w:val="ListBullet"/>
        <w:numPr>
          <w:ilvl w:val="0"/>
          <w:numId w:val="0"/>
        </w:numPr>
        <w:spacing w:after="140" w:line="260" w:lineRule="atLeast"/>
        <w:ind w:left="284" w:hanging="284"/>
        <w:rPr>
          <w:rFonts w:asciiTheme="minorHAnsi" w:hAnsiTheme="minorHAnsi" w:cstheme="minorHAnsi"/>
        </w:rPr>
      </w:pPr>
      <w:r w:rsidRPr="000A1A91">
        <w:rPr>
          <w:rFonts w:asciiTheme="minorHAnsi" w:hAnsiTheme="minorHAnsi" w:cstheme="minorHAnsi"/>
          <w:bCs/>
        </w:rPr>
        <w:t>2.</w:t>
      </w:r>
      <w:r w:rsidRPr="000A1A91">
        <w:rPr>
          <w:rFonts w:asciiTheme="minorHAnsi" w:hAnsiTheme="minorHAnsi" w:cstheme="minorHAnsi"/>
          <w:bCs/>
        </w:rPr>
        <w:tab/>
      </w:r>
      <w:r w:rsidRPr="00A3042C">
        <w:rPr>
          <w:rFonts w:asciiTheme="minorHAnsi" w:hAnsiTheme="minorHAnsi" w:cstheme="minorHAnsi"/>
          <w:b/>
          <w:bCs/>
        </w:rPr>
        <w:t xml:space="preserve">Record </w:t>
      </w:r>
      <w:r w:rsidRPr="00A3042C">
        <w:rPr>
          <w:rFonts w:asciiTheme="minorHAnsi" w:hAnsiTheme="minorHAnsi" w:cstheme="minorHAnsi"/>
        </w:rPr>
        <w:t xml:space="preserve">– details of the conflict of interest are recorded in the minutes.  Monitoring occurs to check whether this remains the appropriate option. </w:t>
      </w:r>
    </w:p>
    <w:p w:rsidR="00F86863" w:rsidRPr="00A3042C" w:rsidRDefault="00F86863" w:rsidP="001233A7">
      <w:pPr>
        <w:pStyle w:val="ListBullet"/>
        <w:numPr>
          <w:ilvl w:val="0"/>
          <w:numId w:val="0"/>
        </w:numPr>
        <w:spacing w:after="140" w:line="260" w:lineRule="atLeast"/>
        <w:ind w:left="284" w:hanging="284"/>
        <w:rPr>
          <w:rFonts w:asciiTheme="minorHAnsi" w:hAnsiTheme="minorHAnsi" w:cstheme="minorHAnsi"/>
        </w:rPr>
      </w:pPr>
      <w:r w:rsidRPr="000A1A91">
        <w:rPr>
          <w:rFonts w:asciiTheme="minorHAnsi" w:hAnsiTheme="minorHAnsi" w:cstheme="minorHAnsi"/>
          <w:bCs/>
        </w:rPr>
        <w:t>3.</w:t>
      </w:r>
      <w:r w:rsidRPr="00A3042C">
        <w:rPr>
          <w:rFonts w:asciiTheme="minorHAnsi" w:hAnsiTheme="minorHAnsi" w:cstheme="minorHAnsi"/>
          <w:b/>
          <w:bCs/>
        </w:rPr>
        <w:tab/>
        <w:t xml:space="preserve">Restrict </w:t>
      </w:r>
      <w:r w:rsidRPr="00A3042C">
        <w:rPr>
          <w:rFonts w:asciiTheme="minorHAnsi" w:hAnsiTheme="minorHAnsi" w:cstheme="minorHAnsi"/>
        </w:rPr>
        <w:t>– the board member’s involvement in discussion and/or decision-making on the matter is restricted to the extent that matches the public interest.  Monitoring occurs to check</w:t>
      </w:r>
      <w:r w:rsidR="00CE12BB">
        <w:rPr>
          <w:rFonts w:asciiTheme="minorHAnsi" w:hAnsiTheme="minorHAnsi" w:cstheme="minorHAnsi"/>
        </w:rPr>
        <w:t xml:space="preserve"> whether</w:t>
      </w:r>
      <w:r w:rsidRPr="00A3042C">
        <w:rPr>
          <w:rFonts w:asciiTheme="minorHAnsi" w:hAnsiTheme="minorHAnsi" w:cstheme="minorHAnsi"/>
        </w:rPr>
        <w:t xml:space="preserve"> this remains the appropriate option.</w:t>
      </w:r>
    </w:p>
    <w:p w:rsidR="00F86863" w:rsidRPr="00A3042C" w:rsidRDefault="00F86863" w:rsidP="001233A7">
      <w:pPr>
        <w:tabs>
          <w:tab w:val="left" w:pos="284"/>
        </w:tabs>
        <w:spacing w:after="140" w:line="260" w:lineRule="atLeast"/>
        <w:ind w:left="284" w:hanging="284"/>
        <w:rPr>
          <w:rFonts w:asciiTheme="minorHAnsi" w:hAnsiTheme="minorHAnsi" w:cstheme="minorHAnsi"/>
        </w:rPr>
      </w:pPr>
      <w:r w:rsidRPr="000A1A91">
        <w:rPr>
          <w:rFonts w:asciiTheme="minorHAnsi" w:hAnsiTheme="minorHAnsi" w:cstheme="minorHAnsi"/>
          <w:bCs/>
        </w:rPr>
        <w:t>4.</w:t>
      </w:r>
      <w:r w:rsidRPr="000A1A91">
        <w:rPr>
          <w:rFonts w:asciiTheme="minorHAnsi" w:hAnsiTheme="minorHAnsi" w:cstheme="minorHAnsi"/>
          <w:bCs/>
        </w:rPr>
        <w:tab/>
      </w:r>
      <w:r w:rsidRPr="00A3042C">
        <w:rPr>
          <w:rFonts w:asciiTheme="minorHAnsi" w:hAnsiTheme="minorHAnsi" w:cstheme="minorHAnsi"/>
          <w:b/>
          <w:bCs/>
        </w:rPr>
        <w:t xml:space="preserve">Recruit </w:t>
      </w:r>
      <w:r w:rsidRPr="00A3042C">
        <w:rPr>
          <w:rFonts w:asciiTheme="minorHAnsi" w:hAnsiTheme="minorHAnsi" w:cstheme="minorHAnsi"/>
        </w:rPr>
        <w:t>– an impartial third party is engaged to provide advice (e.g. a probity adviser, lawyer, or governance expert from the department or the Victorian Public Sector Commission).</w:t>
      </w:r>
    </w:p>
    <w:p w:rsidR="00F86863" w:rsidRPr="00A3042C" w:rsidRDefault="00F86863" w:rsidP="001233A7">
      <w:pPr>
        <w:tabs>
          <w:tab w:val="left" w:pos="284"/>
        </w:tabs>
        <w:spacing w:after="140" w:line="260" w:lineRule="atLeast"/>
        <w:ind w:left="284" w:hanging="284"/>
        <w:rPr>
          <w:rFonts w:asciiTheme="minorHAnsi" w:hAnsiTheme="minorHAnsi" w:cstheme="minorHAnsi"/>
        </w:rPr>
      </w:pPr>
      <w:r w:rsidRPr="000A1A91">
        <w:rPr>
          <w:rFonts w:asciiTheme="minorHAnsi" w:hAnsiTheme="minorHAnsi" w:cstheme="minorHAnsi"/>
          <w:bCs/>
        </w:rPr>
        <w:t>5.</w:t>
      </w:r>
      <w:r w:rsidRPr="000A1A91">
        <w:rPr>
          <w:rFonts w:asciiTheme="minorHAnsi" w:hAnsiTheme="minorHAnsi" w:cstheme="minorHAnsi"/>
          <w:bCs/>
        </w:rPr>
        <w:tab/>
      </w:r>
      <w:r w:rsidRPr="00A3042C">
        <w:rPr>
          <w:rFonts w:asciiTheme="minorHAnsi" w:hAnsiTheme="minorHAnsi" w:cstheme="minorHAnsi"/>
          <w:b/>
          <w:bCs/>
        </w:rPr>
        <w:t xml:space="preserve">Relinquish or resign </w:t>
      </w:r>
      <w:r w:rsidRPr="00A3042C">
        <w:rPr>
          <w:rFonts w:asciiTheme="minorHAnsi" w:hAnsiTheme="minorHAnsi" w:cstheme="minorHAnsi"/>
        </w:rPr>
        <w:t>– the board member relinquishes their private interest or steps down from their role with the other organisation on a temporary or permanent basis.  Alternatively, the board member resigns from the board itself.</w:t>
      </w:r>
    </w:p>
    <w:p w:rsidR="00F86863" w:rsidRPr="00A3042C" w:rsidRDefault="00F86863" w:rsidP="00F86863">
      <w:pPr>
        <w:tabs>
          <w:tab w:val="left" w:pos="284"/>
        </w:tabs>
        <w:spacing w:after="140"/>
        <w:ind w:left="284" w:hanging="284"/>
        <w:rPr>
          <w:rFonts w:asciiTheme="minorHAnsi" w:hAnsiTheme="minorHAnsi" w:cstheme="minorHAnsi"/>
        </w:rPr>
      </w:pPr>
      <w:r w:rsidRPr="00A3042C">
        <w:rPr>
          <w:rFonts w:asciiTheme="minorHAnsi" w:hAnsiTheme="minorHAnsi" w:cstheme="minorHAnsi"/>
          <w:bCs/>
        </w:rPr>
        <w:t>The process for determining which option is in the public interest is set out below (see items 8 to 10).</w:t>
      </w:r>
    </w:p>
    <w:p w:rsidR="00F86863" w:rsidRPr="00EA06EC" w:rsidRDefault="00F86863" w:rsidP="00F86863">
      <w:pPr>
        <w:spacing w:before="60" w:after="140"/>
        <w:rPr>
          <w:i/>
          <w:sz w:val="18"/>
          <w:szCs w:val="18"/>
        </w:rPr>
      </w:pPr>
      <w:r w:rsidRPr="00EA06EC">
        <w:rPr>
          <w:i/>
          <w:sz w:val="18"/>
          <w:szCs w:val="18"/>
        </w:rPr>
        <w:t xml:space="preserve">[If the establishing Act or terms or reference have specific requirements for managing conflicts of interests it may be necessary to adapt the </w:t>
      </w:r>
      <w:r w:rsidRPr="003B42CF">
        <w:rPr>
          <w:i/>
          <w:sz w:val="18"/>
          <w:szCs w:val="18"/>
          <w:u w:val="single"/>
        </w:rPr>
        <w:t>options a</w:t>
      </w:r>
      <w:r w:rsidRPr="00EA06EC">
        <w:rPr>
          <w:i/>
          <w:sz w:val="18"/>
          <w:szCs w:val="18"/>
          <w:u w:val="single"/>
        </w:rPr>
        <w:t>bove</w:t>
      </w:r>
      <w:r w:rsidRPr="00EA06EC">
        <w:rPr>
          <w:i/>
          <w:sz w:val="18"/>
          <w:szCs w:val="18"/>
        </w:rPr>
        <w:t xml:space="preserve"> and the processes in </w:t>
      </w:r>
      <w:r w:rsidRPr="00EA06EC">
        <w:rPr>
          <w:i/>
          <w:sz w:val="18"/>
          <w:szCs w:val="18"/>
          <w:u w:val="single"/>
        </w:rPr>
        <w:t>items 8 to 10</w:t>
      </w:r>
      <w:r w:rsidRPr="00EA06EC">
        <w:rPr>
          <w:i/>
          <w:sz w:val="18"/>
          <w:szCs w:val="18"/>
        </w:rPr>
        <w:t xml:space="preserve"> to take those requirements into account.]</w:t>
      </w:r>
    </w:p>
    <w:p w:rsidR="00F86863" w:rsidRPr="00A3042C" w:rsidRDefault="00F86863" w:rsidP="00C71C37">
      <w:pPr>
        <w:pStyle w:val="Heading1"/>
        <w:spacing w:before="240" w:after="100"/>
      </w:pPr>
      <w:r w:rsidRPr="00A3042C">
        <w:t>8.</w:t>
      </w:r>
      <w:r w:rsidRPr="00A3042C">
        <w:tab/>
        <w:t>Is the conflict material?</w:t>
      </w:r>
    </w:p>
    <w:p w:rsidR="00F86863" w:rsidRPr="00A3042C" w:rsidRDefault="00F86863" w:rsidP="00C75878">
      <w:pPr>
        <w:spacing w:line="260" w:lineRule="atLeast"/>
      </w:pPr>
      <w:r w:rsidRPr="00A3042C">
        <w:t xml:space="preserve">When deciding how to manage a conflict of interest, the board will </w:t>
      </w:r>
      <w:r w:rsidR="005A1F4B">
        <w:t xml:space="preserve">first </w:t>
      </w:r>
      <w:r w:rsidRPr="00A3042C">
        <w:t xml:space="preserve">determine whether the conflict is </w:t>
      </w:r>
      <w:r w:rsidRPr="00EA06EC">
        <w:rPr>
          <w:b/>
        </w:rPr>
        <w:t>material</w:t>
      </w:r>
      <w:r w:rsidR="00FD4F11">
        <w:rPr>
          <w:b/>
        </w:rPr>
        <w:t xml:space="preserve"> </w:t>
      </w:r>
      <w:r w:rsidR="00FD4F11" w:rsidRPr="00FD4F11">
        <w:t>(serious)</w:t>
      </w:r>
      <w:r w:rsidRPr="00FD4F11">
        <w:t>.</w:t>
      </w:r>
      <w:r w:rsidRPr="00FD4F11">
        <w:rPr>
          <w:rStyle w:val="FootnoteReference"/>
        </w:rPr>
        <w:footnoteReference w:id="2"/>
      </w:r>
      <w:r w:rsidRPr="00EA06EC">
        <w:rPr>
          <w:rStyle w:val="FootnoteReference"/>
        </w:rPr>
        <w:t xml:space="preserve"> </w:t>
      </w:r>
      <w:r w:rsidRPr="00EA06EC">
        <w:rPr>
          <w:b/>
        </w:rPr>
        <w:t xml:space="preserve"> </w:t>
      </w:r>
      <w:r w:rsidRPr="00EA06EC">
        <w:t>In doing so, the board will take into account all the relevant factors and circumstances, including:</w:t>
      </w:r>
    </w:p>
    <w:p w:rsidR="00F86863" w:rsidRPr="00A3042C" w:rsidRDefault="00F86863" w:rsidP="00C75878">
      <w:pPr>
        <w:pStyle w:val="ListBullet"/>
        <w:keepLines/>
        <w:numPr>
          <w:ilvl w:val="0"/>
          <w:numId w:val="25"/>
        </w:numPr>
        <w:tabs>
          <w:tab w:val="left" w:pos="284"/>
          <w:tab w:val="left" w:pos="567"/>
          <w:tab w:val="left" w:pos="851"/>
        </w:tabs>
        <w:spacing w:before="80" w:after="100" w:line="260" w:lineRule="atLeast"/>
      </w:pPr>
      <w:r w:rsidRPr="00A3042C">
        <w:t xml:space="preserve">the </w:t>
      </w:r>
      <w:r w:rsidRPr="00EA06EC">
        <w:rPr>
          <w:b/>
        </w:rPr>
        <w:t xml:space="preserve">objectives </w:t>
      </w:r>
      <w:r w:rsidRPr="001B2943">
        <w:t>and</w:t>
      </w:r>
      <w:r w:rsidRPr="00EA06EC">
        <w:rPr>
          <w:b/>
        </w:rPr>
        <w:t xml:space="preserve"> functions</w:t>
      </w:r>
      <w:r w:rsidRPr="00A3042C">
        <w:t xml:space="preserve"> of the organisation;</w:t>
      </w:r>
    </w:p>
    <w:p w:rsidR="00F86863" w:rsidRPr="00A3042C" w:rsidRDefault="00F86863" w:rsidP="00C75878">
      <w:pPr>
        <w:pStyle w:val="ListBullet"/>
        <w:keepLines/>
        <w:numPr>
          <w:ilvl w:val="0"/>
          <w:numId w:val="25"/>
        </w:numPr>
        <w:tabs>
          <w:tab w:val="left" w:pos="284"/>
          <w:tab w:val="left" w:pos="567"/>
          <w:tab w:val="left" w:pos="851"/>
        </w:tabs>
        <w:spacing w:before="80" w:after="100" w:line="260" w:lineRule="atLeast"/>
      </w:pPr>
      <w:r w:rsidRPr="00A3042C">
        <w:t xml:space="preserve">the </w:t>
      </w:r>
      <w:r w:rsidRPr="00EA06EC">
        <w:rPr>
          <w:b/>
        </w:rPr>
        <w:t>matter</w:t>
      </w:r>
      <w:r w:rsidRPr="00A3042C">
        <w:t xml:space="preserve"> that is to be discussed and determined by the board;</w:t>
      </w:r>
    </w:p>
    <w:p w:rsidR="00F86863" w:rsidRPr="00A3042C" w:rsidRDefault="00F86863" w:rsidP="00C75878">
      <w:pPr>
        <w:pStyle w:val="ListBullet"/>
        <w:keepLines/>
        <w:numPr>
          <w:ilvl w:val="0"/>
          <w:numId w:val="25"/>
        </w:numPr>
        <w:tabs>
          <w:tab w:val="left" w:pos="284"/>
          <w:tab w:val="left" w:pos="567"/>
          <w:tab w:val="left" w:pos="851"/>
        </w:tabs>
        <w:spacing w:before="80" w:after="100" w:line="260" w:lineRule="atLeast"/>
      </w:pPr>
      <w:r w:rsidRPr="00A3042C">
        <w:t xml:space="preserve">the </w:t>
      </w:r>
      <w:r w:rsidRPr="00EA06EC">
        <w:rPr>
          <w:b/>
        </w:rPr>
        <w:t>nature</w:t>
      </w:r>
      <w:r w:rsidR="00991585">
        <w:t xml:space="preserve"> of the conflict (e.g</w:t>
      </w:r>
      <w:r w:rsidRPr="00A3042C">
        <w:t>. is it real, potential, or perceived?);</w:t>
      </w:r>
    </w:p>
    <w:p w:rsidR="00F86863" w:rsidRPr="00A3042C" w:rsidRDefault="00F86863" w:rsidP="00C75878">
      <w:pPr>
        <w:pStyle w:val="ListBullet"/>
        <w:keepLines/>
        <w:numPr>
          <w:ilvl w:val="0"/>
          <w:numId w:val="25"/>
        </w:numPr>
        <w:tabs>
          <w:tab w:val="left" w:pos="284"/>
          <w:tab w:val="left" w:pos="567"/>
          <w:tab w:val="left" w:pos="851"/>
        </w:tabs>
        <w:spacing w:before="80" w:after="100" w:line="260" w:lineRule="atLeast"/>
      </w:pPr>
      <w:r w:rsidRPr="00A3042C">
        <w:t xml:space="preserve">the </w:t>
      </w:r>
      <w:r w:rsidRPr="00B47165">
        <w:rPr>
          <w:b/>
        </w:rPr>
        <w:t>severity</w:t>
      </w:r>
      <w:r w:rsidRPr="00A3042C">
        <w:t xml:space="preserve"> of the conflict, including:</w:t>
      </w:r>
    </w:p>
    <w:p w:rsidR="00F86863" w:rsidRPr="00A3042C" w:rsidRDefault="00F86863" w:rsidP="00C75878">
      <w:pPr>
        <w:pStyle w:val="ListBullet2"/>
        <w:keepLines/>
        <w:numPr>
          <w:ilvl w:val="1"/>
          <w:numId w:val="25"/>
        </w:numPr>
        <w:tabs>
          <w:tab w:val="clear" w:pos="454"/>
          <w:tab w:val="left" w:pos="284"/>
          <w:tab w:val="left" w:pos="567"/>
          <w:tab w:val="left" w:pos="851"/>
          <w:tab w:val="num" w:pos="1134"/>
        </w:tabs>
        <w:spacing w:before="100" w:line="260" w:lineRule="atLeast"/>
        <w:ind w:left="568" w:hanging="284"/>
      </w:pPr>
      <w:r w:rsidRPr="00A3042C">
        <w:t>the amount, scope, and likelihood of any expected benefit (e.g. is it a large benefit primarily to the board member or a small benefit that thousands of people including the board member will receive?);</w:t>
      </w:r>
      <w:r w:rsidR="00A70DB2">
        <w:t xml:space="preserve"> and</w:t>
      </w:r>
    </w:p>
    <w:p w:rsidR="00F86863" w:rsidRPr="00A3042C" w:rsidRDefault="00F86863" w:rsidP="00721BB3">
      <w:pPr>
        <w:pStyle w:val="ListBullet2"/>
        <w:keepLines/>
        <w:numPr>
          <w:ilvl w:val="1"/>
          <w:numId w:val="25"/>
        </w:numPr>
        <w:tabs>
          <w:tab w:val="clear" w:pos="454"/>
          <w:tab w:val="left" w:pos="284"/>
          <w:tab w:val="left" w:pos="567"/>
          <w:tab w:val="left" w:pos="851"/>
          <w:tab w:val="num" w:pos="1134"/>
        </w:tabs>
        <w:spacing w:before="100" w:line="260" w:lineRule="atLeast"/>
        <w:ind w:left="568" w:hanging="284"/>
      </w:pPr>
      <w:r w:rsidRPr="00A3042C">
        <w:t>any other relevant circumstances (e.g. if the conflict relates to a board member’s partner working at an organisation about which the board is to make a decision: is the partner currently working there as the CEO?  Or did they leave a few years ago from a large organisation in which their work was not connected to the decision being made by the board?);</w:t>
      </w:r>
    </w:p>
    <w:p w:rsidR="00F86863" w:rsidRPr="00A3042C" w:rsidRDefault="00F86863" w:rsidP="00721BB3">
      <w:pPr>
        <w:pStyle w:val="ListBullet"/>
        <w:keepLines/>
        <w:numPr>
          <w:ilvl w:val="0"/>
          <w:numId w:val="25"/>
        </w:numPr>
        <w:tabs>
          <w:tab w:val="left" w:pos="284"/>
          <w:tab w:val="left" w:pos="567"/>
          <w:tab w:val="left" w:pos="851"/>
        </w:tabs>
        <w:spacing w:before="100" w:after="100" w:line="260" w:lineRule="atLeast"/>
      </w:pPr>
      <w:r w:rsidRPr="00A3042C">
        <w:t xml:space="preserve">the </w:t>
      </w:r>
      <w:r w:rsidRPr="00EA06EC">
        <w:rPr>
          <w:b/>
        </w:rPr>
        <w:t>potential effect</w:t>
      </w:r>
      <w:r w:rsidRPr="00A3042C">
        <w:t xml:space="preserve"> of the conflict, including:</w:t>
      </w:r>
    </w:p>
    <w:p w:rsidR="00F86863" w:rsidRPr="00A3042C" w:rsidRDefault="00F86863" w:rsidP="00721BB3">
      <w:pPr>
        <w:pStyle w:val="ListBullet2"/>
        <w:keepLines/>
        <w:numPr>
          <w:ilvl w:val="1"/>
          <w:numId w:val="25"/>
        </w:numPr>
        <w:tabs>
          <w:tab w:val="clear" w:pos="454"/>
          <w:tab w:val="left" w:pos="284"/>
          <w:tab w:val="left" w:pos="567"/>
          <w:tab w:val="left" w:pos="851"/>
          <w:tab w:val="num" w:pos="1134"/>
        </w:tabs>
        <w:spacing w:before="100" w:line="260" w:lineRule="atLeast"/>
        <w:ind w:left="568" w:hanging="284"/>
      </w:pPr>
      <w:r w:rsidRPr="00A3042C">
        <w:t>the extent to which the board member’s ability to make an impartial decision in the public</w:t>
      </w:r>
      <w:r>
        <w:t xml:space="preserve"> interest could be compromised, </w:t>
      </w:r>
      <w:r w:rsidRPr="00A3042C">
        <w:t>or could reasonably be seen to be comp</w:t>
      </w:r>
      <w:r>
        <w:t>romised</w:t>
      </w:r>
      <w:r w:rsidRPr="00A3042C">
        <w:t>; and</w:t>
      </w:r>
    </w:p>
    <w:p w:rsidR="00F86863" w:rsidRPr="00A3042C" w:rsidRDefault="00F86863" w:rsidP="00721BB3">
      <w:pPr>
        <w:pStyle w:val="ListBullet2"/>
        <w:keepLines/>
        <w:numPr>
          <w:ilvl w:val="1"/>
          <w:numId w:val="25"/>
        </w:numPr>
        <w:tabs>
          <w:tab w:val="clear" w:pos="454"/>
          <w:tab w:val="left" w:pos="284"/>
          <w:tab w:val="left" w:pos="567"/>
          <w:tab w:val="left" w:pos="851"/>
          <w:tab w:val="num" w:pos="1134"/>
        </w:tabs>
        <w:spacing w:before="100" w:line="260" w:lineRule="atLeast"/>
        <w:ind w:left="568" w:hanging="284"/>
      </w:pPr>
      <w:r w:rsidRPr="00A3042C">
        <w:t>the overall likelihood that the conflict of interest may affect public confidence in the integrity of the board and its decisions.</w:t>
      </w:r>
    </w:p>
    <w:p w:rsidR="00F86863" w:rsidRPr="00A3042C" w:rsidRDefault="00F86863" w:rsidP="00721BB3">
      <w:pPr>
        <w:pStyle w:val="Heading1"/>
      </w:pPr>
      <w:r w:rsidRPr="00A3042C">
        <w:t>9.</w:t>
      </w:r>
      <w:r w:rsidRPr="00A3042C">
        <w:tab/>
        <w:t xml:space="preserve">Managing material conflicts of interest </w:t>
      </w:r>
    </w:p>
    <w:p w:rsidR="00F86863" w:rsidRPr="00A3042C" w:rsidRDefault="00F86863" w:rsidP="00721BB3">
      <w:pPr>
        <w:spacing w:line="260" w:lineRule="atLeast"/>
      </w:pPr>
      <w:r w:rsidRPr="00A3042C">
        <w:t xml:space="preserve">The board’s </w:t>
      </w:r>
      <w:r w:rsidRPr="00A3042C">
        <w:rPr>
          <w:b/>
        </w:rPr>
        <w:t>standard procedure</w:t>
      </w:r>
      <w:r w:rsidRPr="00A3042C">
        <w:t xml:space="preserve"> for managing a material conflict of interest is to </w:t>
      </w:r>
      <w:r w:rsidRPr="00A3042C">
        <w:rPr>
          <w:b/>
        </w:rPr>
        <w:t>remove</w:t>
      </w:r>
      <w:r w:rsidRPr="00A3042C">
        <w:t xml:space="preserve"> the board member from all participation in the matter.  The board member will:</w:t>
      </w:r>
    </w:p>
    <w:p w:rsidR="00F86863" w:rsidRPr="00A3042C" w:rsidRDefault="00F86863" w:rsidP="00721BB3">
      <w:pPr>
        <w:pStyle w:val="ListBullet"/>
        <w:spacing w:line="260" w:lineRule="atLeast"/>
      </w:pPr>
      <w:r w:rsidRPr="00A3042C">
        <w:t>leave the room at the start of the relevant agenda item and not return until the start of the next agenda item;</w:t>
      </w:r>
    </w:p>
    <w:p w:rsidR="00F86863" w:rsidRPr="00A3042C" w:rsidRDefault="00F86863" w:rsidP="00721BB3">
      <w:pPr>
        <w:pStyle w:val="ListBullet"/>
        <w:spacing w:line="260" w:lineRule="atLeast"/>
      </w:pPr>
      <w:r w:rsidRPr="00A3042C">
        <w:t>not discuss the matter at all with any other board member (either in the meeting or elsewhere); and</w:t>
      </w:r>
    </w:p>
    <w:p w:rsidR="00F86863" w:rsidRPr="00A3042C" w:rsidRDefault="00F86863" w:rsidP="00721BB3">
      <w:pPr>
        <w:pStyle w:val="ListBullet"/>
        <w:spacing w:line="260" w:lineRule="atLeast"/>
      </w:pPr>
      <w:r w:rsidRPr="00A3042C">
        <w:t>not participate in any board decision on the matter.</w:t>
      </w:r>
    </w:p>
    <w:p w:rsidR="00F86863" w:rsidRPr="00A3042C" w:rsidRDefault="00F86863" w:rsidP="00721BB3">
      <w:pPr>
        <w:spacing w:before="60" w:after="0" w:line="260" w:lineRule="atLeast"/>
      </w:pPr>
      <w:r w:rsidRPr="00A3042C">
        <w:t xml:space="preserve">The standard procedure will be followed unless the board determines and records in the minutes clear reasons why it is not in the public interest.  </w:t>
      </w:r>
    </w:p>
    <w:p w:rsidR="00F86863" w:rsidRPr="00A3042C" w:rsidRDefault="00F86863" w:rsidP="00721BB3">
      <w:pPr>
        <w:pStyle w:val="Heading2"/>
      </w:pPr>
      <w:r w:rsidRPr="00A3042C">
        <w:t xml:space="preserve">Stronger option for managing a material conflict </w:t>
      </w:r>
    </w:p>
    <w:p w:rsidR="00F86863" w:rsidRPr="00A3042C" w:rsidRDefault="00F86863" w:rsidP="00721BB3">
      <w:pPr>
        <w:spacing w:before="60" w:line="260" w:lineRule="atLeast"/>
      </w:pPr>
      <w:r w:rsidRPr="00A3042C">
        <w:t xml:space="preserve">If the public could reasonably form the view that </w:t>
      </w:r>
      <w:r>
        <w:t>a material</w:t>
      </w:r>
      <w:r w:rsidRPr="00A3042C">
        <w:t xml:space="preserve"> conflict is of unacceptable frequency and/or duration then to maintain public confidence and protect the reputation of the organisation it may be necessary, in </w:t>
      </w:r>
      <w:r w:rsidRPr="00974044">
        <w:t>the public interest</w:t>
      </w:r>
      <w:r w:rsidRPr="00A3042C">
        <w:t>, for the board member to:</w:t>
      </w:r>
    </w:p>
    <w:p w:rsidR="00F86863" w:rsidRPr="00A3042C" w:rsidRDefault="00F86863" w:rsidP="00721BB3">
      <w:pPr>
        <w:pStyle w:val="ListBullet"/>
        <w:spacing w:line="260" w:lineRule="atLeast"/>
      </w:pPr>
      <w:r w:rsidRPr="00A3042C">
        <w:t>relinquish their private interest;</w:t>
      </w:r>
    </w:p>
    <w:p w:rsidR="00F86863" w:rsidRPr="00A3042C" w:rsidRDefault="00F86863" w:rsidP="00721BB3">
      <w:pPr>
        <w:pStyle w:val="ListBullet"/>
        <w:spacing w:line="260" w:lineRule="atLeast"/>
      </w:pPr>
      <w:r w:rsidRPr="00A3042C">
        <w:t>resign or stand down on a temporary basis from the other organisation to which he/she has a duty; or</w:t>
      </w:r>
    </w:p>
    <w:p w:rsidR="00F86863" w:rsidRPr="00A3042C" w:rsidRDefault="00F86863" w:rsidP="00721BB3">
      <w:pPr>
        <w:pStyle w:val="ListBullet"/>
        <w:spacing w:line="260" w:lineRule="atLeast"/>
      </w:pPr>
      <w:r w:rsidRPr="00A3042C">
        <w:t>resign from the board.</w:t>
      </w:r>
    </w:p>
    <w:p w:rsidR="00F86863" w:rsidRPr="00A3042C" w:rsidRDefault="00F86863" w:rsidP="00721BB3">
      <w:pPr>
        <w:spacing w:after="0" w:line="260" w:lineRule="atLeast"/>
      </w:pPr>
      <w:r w:rsidRPr="00A3042C">
        <w:t xml:space="preserve">If the board is unsure whether a stronger option is in the public interest the department will be contacted for advice.   </w:t>
      </w:r>
    </w:p>
    <w:p w:rsidR="00F86863" w:rsidRPr="00A3042C" w:rsidRDefault="00F86863" w:rsidP="00721BB3">
      <w:pPr>
        <w:pStyle w:val="Heading2"/>
      </w:pPr>
      <w:r w:rsidRPr="00A3042C">
        <w:t xml:space="preserve">Lesser options for managing a material conflict </w:t>
      </w:r>
    </w:p>
    <w:p w:rsidR="00F86863" w:rsidRPr="00A3042C" w:rsidRDefault="00F86863" w:rsidP="00721BB3">
      <w:pPr>
        <w:spacing w:line="260" w:lineRule="atLeast"/>
      </w:pPr>
      <w:r w:rsidRPr="00A3042C">
        <w:t xml:space="preserve">A lesser option (i.e. record, restrict or </w:t>
      </w:r>
      <w:r>
        <w:t>recruit</w:t>
      </w:r>
      <w:r w:rsidRPr="00A3042C">
        <w:t xml:space="preserve">) will not usually be in the public interest for managing </w:t>
      </w:r>
      <w:r>
        <w:t>a material conflict</w:t>
      </w:r>
      <w:r w:rsidRPr="00A3042C">
        <w:t xml:space="preserve"> of interest.  If the board is unsure whether a lesser option is in the public interest </w:t>
      </w:r>
      <w:r w:rsidR="009130C2">
        <w:t>it</w:t>
      </w:r>
      <w:r w:rsidRPr="00A3042C">
        <w:t xml:space="preserve"> will err on the side of caution.</w:t>
      </w:r>
    </w:p>
    <w:p w:rsidR="00F86863" w:rsidRPr="00A3042C" w:rsidRDefault="00F86863" w:rsidP="00721BB3">
      <w:pPr>
        <w:spacing w:line="260" w:lineRule="atLeast"/>
      </w:pPr>
      <w:r w:rsidRPr="00A3042C">
        <w:t xml:space="preserve">If the board decides on a lesser option then, in addition to minuting why it is in the public interest, careful monitoring will occur to ensure that the lesser option remains appropriate.  </w:t>
      </w:r>
    </w:p>
    <w:p w:rsidR="00F86863" w:rsidRPr="00A3042C" w:rsidRDefault="00F86863" w:rsidP="00721BB3">
      <w:pPr>
        <w:pStyle w:val="Heading3"/>
      </w:pPr>
      <w:r w:rsidRPr="00A3042C">
        <w:t>Examples</w:t>
      </w:r>
    </w:p>
    <w:p w:rsidR="00F86863" w:rsidRPr="00A3042C" w:rsidRDefault="00F86863" w:rsidP="00721BB3">
      <w:r w:rsidRPr="00A3042C">
        <w:t xml:space="preserve">Examples of where a lesser option may be in the public interest, taking into account all </w:t>
      </w:r>
      <w:r w:rsidR="003011AF">
        <w:t xml:space="preserve">the </w:t>
      </w:r>
      <w:r w:rsidRPr="00A3042C">
        <w:t xml:space="preserve">relevant circumstances, </w:t>
      </w:r>
      <w:r w:rsidR="000E585A">
        <w:t>are</w:t>
      </w:r>
      <w:r w:rsidRPr="00A3042C">
        <w:t>:</w:t>
      </w:r>
    </w:p>
    <w:p w:rsidR="00F86863" w:rsidRPr="00A3042C" w:rsidRDefault="00F86863" w:rsidP="00F86863">
      <w:pPr>
        <w:pStyle w:val="ListBullet"/>
        <w:keepLines/>
        <w:numPr>
          <w:ilvl w:val="0"/>
          <w:numId w:val="25"/>
        </w:numPr>
        <w:tabs>
          <w:tab w:val="left" w:pos="284"/>
          <w:tab w:val="left" w:pos="567"/>
          <w:tab w:val="left" w:pos="851"/>
        </w:tabs>
        <w:spacing w:before="100" w:after="100" w:line="260" w:lineRule="atLeast"/>
      </w:pPr>
      <w:r w:rsidRPr="00A3042C">
        <w:rPr>
          <w:b/>
        </w:rPr>
        <w:t>Discussion:</w:t>
      </w:r>
      <w:r w:rsidRPr="00A3042C">
        <w:t xml:space="preserve"> If the board member </w:t>
      </w:r>
      <w:r w:rsidR="00621E9B">
        <w:t xml:space="preserve">with the conflict of interest </w:t>
      </w:r>
      <w:r w:rsidRPr="00A3042C">
        <w:t xml:space="preserve">was appointed on the basis of their knowledge of the matter, it may be in the public interest for them to be present for part of the board’s discussions.  (However, if an ‘unconflicted’ board member is absent who also has this expertise, it will usually be in the public interest for discussion to occur at the next meeting instead.) </w:t>
      </w:r>
    </w:p>
    <w:p w:rsidR="00F86863" w:rsidRPr="00A3042C" w:rsidRDefault="00F86863" w:rsidP="00F86863">
      <w:pPr>
        <w:pStyle w:val="ListBullet"/>
        <w:keepLines/>
        <w:numPr>
          <w:ilvl w:val="0"/>
          <w:numId w:val="25"/>
        </w:numPr>
        <w:tabs>
          <w:tab w:val="left" w:pos="284"/>
          <w:tab w:val="left" w:pos="567"/>
          <w:tab w:val="left" w:pos="851"/>
        </w:tabs>
        <w:spacing w:before="100" w:after="100" w:line="260" w:lineRule="atLeast"/>
      </w:pPr>
      <w:r w:rsidRPr="00A3042C">
        <w:rPr>
          <w:b/>
        </w:rPr>
        <w:t>Decision</w:t>
      </w:r>
      <w:r w:rsidRPr="00A3042C">
        <w:t xml:space="preserve">: If the recommended procedure </w:t>
      </w:r>
      <w:r w:rsidR="00FD4F11">
        <w:t xml:space="preserve">of ‘remove’ </w:t>
      </w:r>
      <w:r w:rsidRPr="00A3042C">
        <w:t>would mean that there is no quorum for the decision even if all ‘unconflicted’ board members are present, then a lesser option will be in the public interest.</w:t>
      </w:r>
      <w:r w:rsidRPr="00A3042C">
        <w:rPr>
          <w:rStyle w:val="FootnoteReference"/>
        </w:rPr>
        <w:footnoteReference w:id="3"/>
      </w:r>
      <w:r w:rsidRPr="00A3042C">
        <w:t xml:space="preserve">  (However,</w:t>
      </w:r>
      <w:r>
        <w:t xml:space="preserve"> if ‘unconflicted’ board member(</w:t>
      </w:r>
      <w:r w:rsidRPr="00A3042C">
        <w:t>s</w:t>
      </w:r>
      <w:r>
        <w:t>)</w:t>
      </w:r>
      <w:r w:rsidRPr="00A3042C">
        <w:t xml:space="preserve"> are absent then it will usually be in the public interest for the decision to be held over to the next board meeting instead.)</w:t>
      </w:r>
    </w:p>
    <w:p w:rsidR="00F86863" w:rsidRPr="00A3042C" w:rsidRDefault="00F86863" w:rsidP="00F86863">
      <w:pPr>
        <w:pStyle w:val="Heading1"/>
        <w:spacing w:before="180" w:after="100"/>
      </w:pPr>
      <w:r w:rsidRPr="00A3042C">
        <w:t>10.</w:t>
      </w:r>
      <w:r w:rsidRPr="00A3042C">
        <w:tab/>
        <w:t>Managing non-material conflicts of interest</w:t>
      </w:r>
    </w:p>
    <w:p w:rsidR="00F86863" w:rsidRPr="00A3042C" w:rsidRDefault="00F86863" w:rsidP="00F86863">
      <w:pPr>
        <w:spacing w:line="260" w:lineRule="atLeast"/>
      </w:pPr>
      <w:r w:rsidRPr="00A3042C">
        <w:t xml:space="preserve">For a </w:t>
      </w:r>
      <w:r w:rsidRPr="00CD784C">
        <w:t>non-material</w:t>
      </w:r>
      <w:r w:rsidRPr="00A3042C">
        <w:t xml:space="preserve"> conflict of interest, there is more likelihood that a lesser option (i.e. record, restrict or </w:t>
      </w:r>
      <w:r>
        <w:t>recruit</w:t>
      </w:r>
      <w:r w:rsidRPr="00A3042C">
        <w:t>) will be in the public interest.  In making its decision, the board will take into account all rele</w:t>
      </w:r>
      <w:r w:rsidR="009A7649">
        <w:t xml:space="preserve">vant factors and circumstances </w:t>
      </w:r>
      <w:r w:rsidR="009A7649">
        <w:br/>
        <w:t xml:space="preserve">- </w:t>
      </w:r>
      <w:r w:rsidRPr="00A3042C">
        <w:t>e.g. the lower the severity of the conflict, the more likely that a lesser option wi</w:t>
      </w:r>
      <w:r w:rsidR="009A7649">
        <w:t>ll be in the public interest</w:t>
      </w:r>
      <w:r w:rsidRPr="00A3042C">
        <w:t>.</w:t>
      </w:r>
    </w:p>
    <w:p w:rsidR="00F86863" w:rsidRPr="00A3042C" w:rsidRDefault="00F86863" w:rsidP="00F86863">
      <w:pPr>
        <w:spacing w:line="260" w:lineRule="atLeast"/>
      </w:pPr>
      <w:r w:rsidRPr="00A3042C">
        <w:t>If the board decides on a lesser option then, in addition to minuting why it is in the public interest, careful monitoring will occur to ensu</w:t>
      </w:r>
      <w:r>
        <w:t xml:space="preserve">re that it remains appropriate </w:t>
      </w:r>
      <w:r w:rsidR="009A7649">
        <w:t xml:space="preserve">- </w:t>
      </w:r>
      <w:r w:rsidR="00FE285C">
        <w:t>e.g.</w:t>
      </w:r>
      <w:r w:rsidRPr="00A3042C">
        <w:t xml:space="preserve"> the board </w:t>
      </w:r>
      <w:r w:rsidR="0084434C">
        <w:t>may initially decide to only ‘record’ the conflict but after monitoring may decide instead to ‘restrict’ the board member by allowing them to participate in some aspects of the discussion but removing them from others and from all</w:t>
      </w:r>
      <w:r w:rsidR="009A7649">
        <w:t xml:space="preserve"> decision-making on the issue.</w:t>
      </w:r>
      <w:r w:rsidRPr="00A3042C">
        <w:t xml:space="preserve">  </w:t>
      </w:r>
    </w:p>
    <w:p w:rsidR="00F86863" w:rsidRPr="00A3042C" w:rsidRDefault="00F86863" w:rsidP="00F86863">
      <w:pPr>
        <w:spacing w:line="260" w:lineRule="atLeast"/>
      </w:pPr>
      <w:r w:rsidRPr="00A3042C">
        <w:t xml:space="preserve">If the board is unsure whether a lesser option is in the public interest </w:t>
      </w:r>
      <w:r w:rsidR="009316E6">
        <w:t xml:space="preserve">then </w:t>
      </w:r>
      <w:r w:rsidRPr="00A3042C">
        <w:t xml:space="preserve">it will err on the side of caution and decide on the standard procedure of </w:t>
      </w:r>
      <w:r w:rsidRPr="00A3042C">
        <w:rPr>
          <w:b/>
        </w:rPr>
        <w:t>remove</w:t>
      </w:r>
      <w:r w:rsidRPr="00A3042C">
        <w:t xml:space="preserve"> (i.e.</w:t>
      </w:r>
      <w:r w:rsidRPr="00A3042C">
        <w:rPr>
          <w:b/>
        </w:rPr>
        <w:t xml:space="preserve"> </w:t>
      </w:r>
      <w:r w:rsidRPr="00A3042C">
        <w:t>the board member leave</w:t>
      </w:r>
      <w:r w:rsidR="00FB62E5">
        <w:t>s</w:t>
      </w:r>
      <w:r w:rsidRPr="00A3042C">
        <w:t xml:space="preserve"> the room and </w:t>
      </w:r>
      <w:r w:rsidR="00FB62E5">
        <w:t xml:space="preserve">does </w:t>
      </w:r>
      <w:r w:rsidRPr="00A3042C">
        <w:t>not participate in any discussion or decision-making on the matter).</w:t>
      </w:r>
    </w:p>
    <w:p w:rsidR="00F86863" w:rsidRPr="00A3042C" w:rsidRDefault="00F86863" w:rsidP="00F86863">
      <w:pPr>
        <w:pStyle w:val="Heading1"/>
      </w:pPr>
      <w:r w:rsidRPr="00A3042C">
        <w:t>11.</w:t>
      </w:r>
      <w:r w:rsidRPr="00A3042C">
        <w:tab/>
        <w:t>Recording in minutes</w:t>
      </w:r>
    </w:p>
    <w:p w:rsidR="00F86863" w:rsidRPr="00A3042C" w:rsidRDefault="00F86863" w:rsidP="00F86863">
      <w:pPr>
        <w:spacing w:before="80"/>
      </w:pPr>
      <w:r w:rsidRPr="00A3042C">
        <w:t>If a board member declares a conflict of interest, the following information will be recorded in the minutes:</w:t>
      </w:r>
    </w:p>
    <w:p w:rsidR="00F86863" w:rsidRPr="00A3042C" w:rsidRDefault="00F86863" w:rsidP="00F86863">
      <w:pPr>
        <w:pStyle w:val="ListBullet"/>
        <w:keepLines/>
        <w:numPr>
          <w:ilvl w:val="0"/>
          <w:numId w:val="25"/>
        </w:numPr>
        <w:tabs>
          <w:tab w:val="left" w:pos="284"/>
          <w:tab w:val="left" w:pos="567"/>
          <w:tab w:val="left" w:pos="851"/>
        </w:tabs>
        <w:spacing w:before="80" w:after="100" w:line="250" w:lineRule="atLeast"/>
      </w:pPr>
      <w:r w:rsidRPr="00A3042C">
        <w:t xml:space="preserve">a </w:t>
      </w:r>
      <w:r w:rsidRPr="007131A0">
        <w:t>description</w:t>
      </w:r>
      <w:r w:rsidRPr="00A3042C">
        <w:t xml:space="preserve"> of the interest and the conflict (the dollar value of a financial interest does not need to be included);</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 xml:space="preserve">whether the conflict is </w:t>
      </w:r>
      <w:r w:rsidRPr="007131A0">
        <w:t>material</w:t>
      </w:r>
      <w:r w:rsidRPr="00A3042C">
        <w:t>;</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 xml:space="preserve">the </w:t>
      </w:r>
      <w:r w:rsidRPr="007131A0">
        <w:t>action</w:t>
      </w:r>
      <w:r w:rsidRPr="00A3042C">
        <w:t xml:space="preserve"> the board will take to manage the conflict in the </w:t>
      </w:r>
      <w:r w:rsidRPr="007131A0">
        <w:t>public interest;</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if a lesser option or stronger option is to be taken, why it is in the public interest; and</w:t>
      </w:r>
    </w:p>
    <w:p w:rsidR="00F86863" w:rsidRPr="00A3042C" w:rsidRDefault="00F86863" w:rsidP="00F86863">
      <w:pPr>
        <w:pStyle w:val="ListBullet"/>
        <w:keepLines/>
        <w:numPr>
          <w:ilvl w:val="0"/>
          <w:numId w:val="25"/>
        </w:numPr>
        <w:tabs>
          <w:tab w:val="left" w:pos="284"/>
          <w:tab w:val="left" w:pos="567"/>
          <w:tab w:val="left" w:pos="851"/>
        </w:tabs>
        <w:spacing w:before="100" w:after="80" w:line="250" w:lineRule="atLeast"/>
      </w:pPr>
      <w:r w:rsidRPr="00A3042C">
        <w:t>if the board member leaves the room during discussion and/or decision-making on the ‘conflicted’ matter, the time that he/she leaves and returns and the i</w:t>
      </w:r>
      <w:r w:rsidR="00383E20">
        <w:t>tem, or part of thereof,</w:t>
      </w:r>
      <w:r w:rsidRPr="00A3042C">
        <w:t xml:space="preserve"> for which he or she was absent.</w:t>
      </w:r>
    </w:p>
    <w:p w:rsidR="00F86863" w:rsidRPr="00B47165" w:rsidRDefault="00F86863" w:rsidP="00F86863">
      <w:pPr>
        <w:spacing w:before="60" w:after="0"/>
        <w:rPr>
          <w:i/>
          <w:sz w:val="18"/>
          <w:szCs w:val="18"/>
        </w:rPr>
      </w:pPr>
      <w:r w:rsidRPr="00B47165">
        <w:rPr>
          <w:i/>
          <w:sz w:val="18"/>
          <w:szCs w:val="18"/>
        </w:rPr>
        <w:t>[If the establishing Act or terms or reference include additional requirements about the minutes, also list these here].</w:t>
      </w:r>
    </w:p>
    <w:p w:rsidR="00F86863" w:rsidRPr="00A3042C" w:rsidRDefault="00F86863" w:rsidP="00A50650">
      <w:pPr>
        <w:pStyle w:val="Heading1"/>
      </w:pPr>
      <w:r w:rsidRPr="00A3042C">
        <w:t>12.</w:t>
      </w:r>
      <w:r w:rsidRPr="00A3042C">
        <w:tab/>
        <w:t>Breach of this policy</w:t>
      </w:r>
    </w:p>
    <w:p w:rsidR="00F86863" w:rsidRPr="00A3042C" w:rsidRDefault="00F86863" w:rsidP="00A50650">
      <w:r w:rsidRPr="00A3042C">
        <w:t>A board member who may have breached this policy must notify the chair i</w:t>
      </w:r>
      <w:r w:rsidR="00A50650">
        <w:t>mmediately:</w:t>
      </w:r>
      <w:r w:rsidRPr="00A3042C">
        <w:t xml:space="preserve"> </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If the chair is of the view that a breach has not occurred, the board will determine at the next scheduled board meeting, and record in the minutes, whether a breach has occurred.</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 xml:space="preserve">If the chair is of the view that a breach has occurred, he/she will arrange for the board to determine on an urgent basis, and record in the minutes, whether a breach has occurred. </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If a breach has occurred, the chair will notify the Minister and the Secretary of DELWP in writing as soon as practicable, including whether the breach relates to a material conflict of interest.</w:t>
      </w:r>
      <w:r w:rsidRPr="00A3042C">
        <w:rPr>
          <w:rStyle w:val="FootnoteReference"/>
        </w:rPr>
        <w:footnoteReference w:id="4"/>
      </w:r>
      <w:r w:rsidRPr="00A3042C">
        <w:t xml:space="preserve"> </w:t>
      </w:r>
    </w:p>
    <w:p w:rsidR="00F86863" w:rsidRPr="00A3042C" w:rsidRDefault="00F86863" w:rsidP="00F86863">
      <w:r w:rsidRPr="00A3042C">
        <w:t>A board member who believes that another board member may have breached this policy but not yet notified the chair will bring this to the attention of the chair or will approach the other board member, who will then notify the chair.</w:t>
      </w:r>
      <w:r w:rsidRPr="00A3042C">
        <w:rPr>
          <w:rStyle w:val="FootnoteReference"/>
        </w:rPr>
        <w:footnoteReference w:id="5"/>
      </w:r>
    </w:p>
    <w:p w:rsidR="00F86863" w:rsidRPr="00A3042C" w:rsidRDefault="00F86863" w:rsidP="00F86863">
      <w:pPr>
        <w:pStyle w:val="Heading1"/>
      </w:pPr>
      <w:r w:rsidRPr="00A3042C">
        <w:t>13.</w:t>
      </w:r>
      <w:r w:rsidRPr="00A3042C">
        <w:tab/>
        <w:t>Obligations and good practice</w:t>
      </w:r>
    </w:p>
    <w:p w:rsidR="00F86863" w:rsidRPr="00A3042C" w:rsidRDefault="00F86863" w:rsidP="00F86863">
      <w:r w:rsidRPr="00A3042C">
        <w:t>The board will act in accordance with its obligations and with good public sector governance practice, including:</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the establishing Act, being </w:t>
      </w:r>
      <w:r w:rsidRPr="00A3042C">
        <w:rPr>
          <w:rStyle w:val="Emphasis-Italics"/>
        </w:rPr>
        <w:t>[insert];</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the public sector values in section 7 of the </w:t>
      </w:r>
      <w:r w:rsidRPr="00A3042C">
        <w:rPr>
          <w:i/>
        </w:rPr>
        <w:t>Public Administration Act</w:t>
      </w:r>
      <w:r w:rsidR="000A1A91">
        <w:t xml:space="preserve"> 2004 (PAA</w:t>
      </w:r>
      <w:r w:rsidRPr="00A3042C">
        <w:t>);</w:t>
      </w:r>
      <w:r w:rsidRPr="00A3042C">
        <w:rPr>
          <w:rStyle w:val="FootnoteReference"/>
        </w:rPr>
        <w:footnoteReference w:id="6"/>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the ‘duties of directors’ </w:t>
      </w:r>
      <w:r w:rsidR="00EA3DED">
        <w:t xml:space="preserve">(board members) </w:t>
      </w:r>
      <w:r w:rsidRPr="00A3042C">
        <w:t>in section 79 of the PAA;</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the requirement in section 81(1)(f) of the PAA that certain processes be in place for dealing with conflicts of interest; </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the </w:t>
      </w:r>
      <w:hyperlink r:id="rId12" w:history="1">
        <w:r w:rsidRPr="00A3042C">
          <w:rPr>
            <w:rStyle w:val="Hyperlink"/>
          </w:rPr>
          <w:t>Directors’ Code of Conduct</w:t>
        </w:r>
      </w:hyperlink>
      <w:r w:rsidRPr="00A3042C">
        <w:rPr>
          <w:rStyle w:val="Hyperlink"/>
        </w:rPr>
        <w:t xml:space="preserve"> </w:t>
      </w:r>
      <w:r w:rsidRPr="00A3042C">
        <w:t>issued by the Victo</w:t>
      </w:r>
      <w:r w:rsidR="000A1A91">
        <w:t>rian Public Sector Commission (VPSC</w:t>
      </w:r>
      <w:r w:rsidRPr="00A3042C">
        <w:t xml:space="preserve">); </w:t>
      </w:r>
    </w:p>
    <w:p w:rsidR="00F86863" w:rsidRPr="00A3042C" w:rsidRDefault="00F86863" w:rsidP="00F86863">
      <w:pPr>
        <w:pStyle w:val="ListBullet"/>
        <w:numPr>
          <w:ilvl w:val="0"/>
          <w:numId w:val="25"/>
        </w:numPr>
        <w:tabs>
          <w:tab w:val="left" w:pos="284"/>
          <w:tab w:val="left" w:pos="567"/>
          <w:tab w:val="left" w:pos="851"/>
        </w:tabs>
        <w:spacing w:after="100"/>
      </w:pPr>
      <w:r w:rsidRPr="00A3042C">
        <w:t xml:space="preserve">government policy; </w:t>
      </w:r>
    </w:p>
    <w:p w:rsidR="00F86863" w:rsidRPr="00A3042C" w:rsidRDefault="00F86863" w:rsidP="00F86863">
      <w:pPr>
        <w:pStyle w:val="ListBullet"/>
        <w:numPr>
          <w:ilvl w:val="0"/>
          <w:numId w:val="25"/>
        </w:numPr>
        <w:tabs>
          <w:tab w:val="left" w:pos="284"/>
          <w:tab w:val="left" w:pos="567"/>
          <w:tab w:val="left" w:pos="851"/>
        </w:tabs>
        <w:spacing w:after="100"/>
      </w:pPr>
      <w:r w:rsidRPr="00A3042C">
        <w:t>any directions, guidelines and/or statements of obligation or expectation issued by the Minister; and</w:t>
      </w:r>
    </w:p>
    <w:p w:rsidR="00F86863" w:rsidRPr="00A3042C" w:rsidRDefault="00F86863" w:rsidP="00F86863">
      <w:pPr>
        <w:pStyle w:val="ListBullet"/>
        <w:numPr>
          <w:ilvl w:val="0"/>
          <w:numId w:val="25"/>
        </w:numPr>
        <w:tabs>
          <w:tab w:val="left" w:pos="284"/>
          <w:tab w:val="left" w:pos="567"/>
          <w:tab w:val="left" w:pos="851"/>
        </w:tabs>
        <w:spacing w:after="100"/>
      </w:pPr>
      <w:r w:rsidRPr="00A3042C">
        <w:t>all other laws and obligations that bind the organisation.</w:t>
      </w:r>
    </w:p>
    <w:p w:rsidR="00F86863" w:rsidRPr="00A3042C" w:rsidRDefault="00F86863" w:rsidP="00F86863">
      <w:pPr>
        <w:pStyle w:val="Heading1"/>
      </w:pPr>
      <w:r w:rsidRPr="00A3042C">
        <w:t>14.</w:t>
      </w:r>
      <w:r w:rsidRPr="00A3042C">
        <w:tab/>
        <w:t>Regular review of this policy</w:t>
      </w:r>
    </w:p>
    <w:p w:rsidR="00F86863" w:rsidRPr="00A3042C" w:rsidRDefault="00F86863" w:rsidP="00F86863">
      <w:r w:rsidRPr="00A3042C">
        <w:t xml:space="preserve">The board will review this policy on an annual basis or more frequently, if required, to keep up-to-date with changes to laws, government policy, etc. This policy was </w:t>
      </w:r>
      <w:r w:rsidRPr="00446453">
        <w:rPr>
          <w:b/>
        </w:rPr>
        <w:t>last reviewed on</w:t>
      </w:r>
      <w:r w:rsidRPr="00A3042C">
        <w:t xml:space="preserve"> </w:t>
      </w:r>
      <w:r w:rsidRPr="00A3042C">
        <w:rPr>
          <w:rStyle w:val="Emphasis-Italics"/>
        </w:rPr>
        <w:t>[insert]</w:t>
      </w:r>
      <w:r w:rsidRPr="00A3042C">
        <w:t>.</w:t>
      </w:r>
    </w:p>
    <w:p w:rsidR="00F86863" w:rsidRPr="00A3042C" w:rsidRDefault="00F86863" w:rsidP="00F86863">
      <w:pPr>
        <w:pStyle w:val="Heading1"/>
      </w:pPr>
      <w:r w:rsidRPr="00A3042C">
        <w:t>15.</w:t>
      </w:r>
      <w:r w:rsidRPr="00A3042C">
        <w:tab/>
        <w:t>Related policies</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Gifts, Benefits and Hospitality</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Meetings and Decision-making</w:t>
      </w:r>
    </w:p>
    <w:p w:rsidR="00F86863" w:rsidRPr="00A3042C" w:rsidRDefault="00F86863" w:rsidP="00F86863">
      <w:pPr>
        <w:pStyle w:val="ListBullet"/>
        <w:keepLines/>
        <w:numPr>
          <w:ilvl w:val="0"/>
          <w:numId w:val="25"/>
        </w:numPr>
        <w:tabs>
          <w:tab w:val="left" w:pos="284"/>
          <w:tab w:val="left" w:pos="567"/>
          <w:tab w:val="left" w:pos="851"/>
        </w:tabs>
        <w:spacing w:before="100" w:after="100" w:line="250" w:lineRule="atLeast"/>
      </w:pPr>
      <w:r w:rsidRPr="00A3042C">
        <w:t>Code of Conduct.</w:t>
      </w:r>
    </w:p>
    <w:p w:rsidR="00F86863" w:rsidRPr="00A3042C" w:rsidRDefault="00F86863" w:rsidP="00F86863">
      <w:pPr>
        <w:pStyle w:val="Heading1"/>
      </w:pPr>
      <w:r w:rsidRPr="00A3042C">
        <w:t>16.</w:t>
      </w:r>
      <w:r w:rsidRPr="00A3042C">
        <w:tab/>
        <w:t>Further information</w:t>
      </w:r>
    </w:p>
    <w:p w:rsidR="00F86863" w:rsidRDefault="00F86863" w:rsidP="00F86863">
      <w:pPr>
        <w:rPr>
          <w:rFonts w:eastAsia="Calibri"/>
        </w:rPr>
      </w:pPr>
      <w:r w:rsidRPr="00F86863">
        <w:t>On Board</w:t>
      </w:r>
      <w:r w:rsidRPr="00F86863">
        <w:rPr>
          <w:rFonts w:eastAsiaTheme="majorEastAsia"/>
        </w:rPr>
        <w:t xml:space="preserve"> (</w:t>
      </w:r>
      <w:hyperlink r:id="rId13" w:history="1">
        <w:r w:rsidRPr="00A3042C">
          <w:rPr>
            <w:rStyle w:val="Hyperlink"/>
            <w:rFonts w:eastAsiaTheme="majorEastAsia"/>
          </w:rPr>
          <w:t>www.delwp.vic.gov.au/onboard</w:t>
        </w:r>
      </w:hyperlink>
      <w:r w:rsidRPr="00F86863">
        <w:rPr>
          <w:rFonts w:eastAsiaTheme="majorEastAsia"/>
        </w:rPr>
        <w:t>)</w:t>
      </w:r>
      <w:r w:rsidRPr="00F86863">
        <w:t>,</w:t>
      </w:r>
      <w:r w:rsidRPr="00A3042C">
        <w:t xml:space="preserve"> in particular, the </w:t>
      </w:r>
      <w:hyperlink r:id="rId14" w:history="1">
        <w:r w:rsidRPr="00A3042C">
          <w:rPr>
            <w:rStyle w:val="Hyperlink"/>
          </w:rPr>
          <w:t>Conflict of Interest</w:t>
        </w:r>
      </w:hyperlink>
      <w:r w:rsidRPr="00A3042C">
        <w:t xml:space="preserve"> support module, which has a range of resources, including guidance notes, direct links to this topic on the VPSC website, et</w:t>
      </w:r>
      <w:r>
        <w:t>c.</w:t>
      </w:r>
    </w:p>
    <w:p w:rsidR="00621E9B" w:rsidRDefault="00621E9B">
      <w:pPr>
        <w:spacing w:after="0" w:line="240" w:lineRule="auto"/>
        <w:rPr>
          <w:rFonts w:cs="Arial"/>
          <w:bCs/>
          <w:color w:val="228591"/>
          <w:kern w:val="32"/>
          <w:sz w:val="37"/>
          <w:szCs w:val="32"/>
        </w:rPr>
      </w:pPr>
      <w:r>
        <w:br w:type="page"/>
      </w:r>
    </w:p>
    <w:p w:rsidR="00621E9B" w:rsidRDefault="00621E9B" w:rsidP="00621E9B"/>
    <w:p w:rsidR="00F86863" w:rsidRPr="007E6690" w:rsidRDefault="00F86863" w:rsidP="00F86863">
      <w:pPr>
        <w:pStyle w:val="Heading1"/>
      </w:pPr>
      <w:r w:rsidRPr="007E6690">
        <w:t xml:space="preserve">Appendix 1: Declaration of Private Interests (DOPI) </w:t>
      </w:r>
    </w:p>
    <w:p w:rsidR="00F86863" w:rsidRDefault="00F86863" w:rsidP="00F86863">
      <w:r>
        <w:t>The</w:t>
      </w:r>
      <w:r w:rsidRPr="00A3042C">
        <w:t xml:space="preserve"> board will ensure that </w:t>
      </w:r>
      <w:r w:rsidR="009E2344">
        <w:t>its</w:t>
      </w:r>
      <w:r w:rsidRPr="00A3042C">
        <w:t xml:space="preserve"> </w:t>
      </w:r>
      <w:r w:rsidRPr="00A3042C">
        <w:rPr>
          <w:i/>
        </w:rPr>
        <w:t>Declaration of Private Interests</w:t>
      </w:r>
      <w:r w:rsidRPr="00A3042C">
        <w:t xml:space="preserve"> form </w:t>
      </w:r>
      <w:r w:rsidR="00091EB2">
        <w:t>has the same content as</w:t>
      </w:r>
      <w:r w:rsidRPr="00A3042C">
        <w:t xml:space="preserve"> the </w:t>
      </w:r>
      <w:r w:rsidR="003968A1">
        <w:t>template</w:t>
      </w:r>
      <w:r w:rsidRPr="00A3042C">
        <w:t xml:space="preserve"> published in the </w:t>
      </w:r>
      <w:hyperlink r:id="rId15" w:history="1">
        <w:r w:rsidRPr="00A3042C">
          <w:rPr>
            <w:rStyle w:val="Hyperlink"/>
          </w:rPr>
          <w:t>Conflict of Interest</w:t>
        </w:r>
      </w:hyperlink>
      <w:r>
        <w:t xml:space="preserve"> s</w:t>
      </w:r>
      <w:r w:rsidRPr="00A3042C">
        <w:t>upport module on DELWP’s governance website, On Board (</w:t>
      </w:r>
      <w:hyperlink r:id="rId16" w:history="1">
        <w:r w:rsidRPr="00A3042C">
          <w:rPr>
            <w:rStyle w:val="Hyperlink"/>
          </w:rPr>
          <w:t>www.delwp.vic.gov.au/onboard</w:t>
        </w:r>
      </w:hyperlink>
      <w:r w:rsidRPr="00A3042C">
        <w:t>).</w:t>
      </w:r>
      <w:r>
        <w:t xml:space="preserve">  </w:t>
      </w:r>
      <w:r w:rsidR="002F288C">
        <w:br/>
      </w:r>
      <w:r w:rsidRPr="00A3042C">
        <w:t>A copy of the</w:t>
      </w:r>
      <w:r>
        <w:t xml:space="preserve"> board’s</w:t>
      </w:r>
      <w:r w:rsidR="003968A1">
        <w:t xml:space="preserve"> DOPI</w:t>
      </w:r>
      <w:r w:rsidRPr="00A3042C">
        <w:t xml:space="preserve"> form is attached. </w:t>
      </w:r>
    </w:p>
    <w:p w:rsidR="00F86863" w:rsidRPr="00A3042C" w:rsidRDefault="00F86863" w:rsidP="00F86863">
      <w:pPr>
        <w:pStyle w:val="Heading1"/>
      </w:pPr>
      <w:r w:rsidRPr="007E6690">
        <w:t>Appendix</w:t>
      </w:r>
      <w:r w:rsidRPr="00A3042C">
        <w:t xml:space="preserve"> 2: Register of Interests template</w:t>
      </w:r>
    </w:p>
    <w:p w:rsidR="00F86863" w:rsidRPr="007E6690" w:rsidRDefault="00F86863" w:rsidP="00F86863">
      <w:pPr>
        <w:spacing w:after="200"/>
        <w:rPr>
          <w:rStyle w:val="Emphasis-Italics"/>
          <w:sz w:val="18"/>
          <w:szCs w:val="18"/>
        </w:rPr>
      </w:pPr>
      <w:r w:rsidRPr="007E6690">
        <w:rPr>
          <w:rStyle w:val="Emphasis-Italics"/>
          <w:sz w:val="18"/>
          <w:szCs w:val="18"/>
        </w:rPr>
        <w:t xml:space="preserve">[This template is based on the recommendations of the </w:t>
      </w:r>
      <w:r w:rsidR="00FF23A8">
        <w:rPr>
          <w:rStyle w:val="Emphasis-Italics"/>
          <w:sz w:val="18"/>
          <w:szCs w:val="18"/>
        </w:rPr>
        <w:t>VPSC</w:t>
      </w:r>
      <w:r w:rsidRPr="007E6690">
        <w:rPr>
          <w:rStyle w:val="Emphasis-Italics"/>
          <w:sz w:val="18"/>
          <w:szCs w:val="18"/>
        </w:rPr>
        <w:t>. It can be adjusted to take into account any requirements in your organisa</w:t>
      </w:r>
      <w:r>
        <w:rPr>
          <w:rStyle w:val="Emphasis-Italics"/>
          <w:sz w:val="18"/>
          <w:szCs w:val="18"/>
        </w:rPr>
        <w:t>tion’s establishing Act</w:t>
      </w:r>
      <w:r w:rsidRPr="007E6690">
        <w:rPr>
          <w:rStyle w:val="Emphasis-Italics"/>
          <w:sz w:val="18"/>
          <w:szCs w:val="18"/>
        </w:rPr>
        <w:t>.]</w:t>
      </w:r>
    </w:p>
    <w:tbl>
      <w:tblPr>
        <w:tblW w:w="0" w:type="auto"/>
        <w:tblBorders>
          <w:top w:val="single" w:sz="4" w:space="0" w:color="1C1C1C"/>
          <w:left w:val="single" w:sz="4" w:space="0" w:color="1C1C1C"/>
          <w:bottom w:val="single" w:sz="4" w:space="0" w:color="1C1C1C"/>
          <w:right w:val="single" w:sz="4" w:space="0" w:color="1C1C1C"/>
          <w:insideH w:val="single" w:sz="4" w:space="0" w:color="1C1C1C"/>
          <w:insideV w:val="single" w:sz="4" w:space="0" w:color="1C1C1C"/>
        </w:tblBorders>
        <w:tblCellMar>
          <w:left w:w="0" w:type="dxa"/>
          <w:right w:w="0" w:type="dxa"/>
        </w:tblCellMar>
        <w:tblLook w:val="0420" w:firstRow="1" w:lastRow="0" w:firstColumn="0" w:lastColumn="0" w:noHBand="0" w:noVBand="1"/>
      </w:tblPr>
      <w:tblGrid>
        <w:gridCol w:w="2415"/>
        <w:gridCol w:w="3402"/>
        <w:gridCol w:w="2126"/>
        <w:gridCol w:w="2273"/>
      </w:tblGrid>
      <w:tr w:rsidR="00F86863" w:rsidRPr="00A3042C" w:rsidTr="000706C3">
        <w:tc>
          <w:tcPr>
            <w:tcW w:w="2415" w:type="dxa"/>
            <w:tcBorders>
              <w:top w:val="single" w:sz="4" w:space="0" w:color="00548E"/>
              <w:left w:val="single" w:sz="4" w:space="0" w:color="00548E"/>
              <w:bottom w:val="single" w:sz="4" w:space="0" w:color="1C1C1C"/>
              <w:right w:val="single" w:sz="4" w:space="0" w:color="FFFFFF"/>
              <w:tl2br w:val="nil"/>
              <w:tr2bl w:val="nil"/>
            </w:tcBorders>
            <w:shd w:val="clear" w:color="auto" w:fill="228591"/>
          </w:tcPr>
          <w:p w:rsidR="00F86863" w:rsidRPr="00A3042C" w:rsidRDefault="00F86863" w:rsidP="000706C3">
            <w:pPr>
              <w:spacing w:before="100" w:after="100"/>
              <w:ind w:left="226" w:hanging="113"/>
              <w:rPr>
                <w:b/>
                <w:color w:val="FFFFFF" w:themeColor="background1"/>
                <w:sz w:val="20"/>
                <w:szCs w:val="20"/>
              </w:rPr>
            </w:pPr>
            <w:r w:rsidRPr="00A3042C">
              <w:rPr>
                <w:b/>
                <w:color w:val="FFFFFF" w:themeColor="background1"/>
                <w:sz w:val="20"/>
                <w:szCs w:val="20"/>
              </w:rPr>
              <w:t>Name of board member</w:t>
            </w:r>
          </w:p>
        </w:tc>
        <w:tc>
          <w:tcPr>
            <w:tcW w:w="3402" w:type="dxa"/>
            <w:tcBorders>
              <w:top w:val="single" w:sz="4" w:space="0" w:color="00548E"/>
              <w:left w:val="single" w:sz="4" w:space="0" w:color="FFFFFF"/>
              <w:bottom w:val="single" w:sz="4" w:space="0" w:color="1C1C1C"/>
              <w:right w:val="single" w:sz="4" w:space="0" w:color="FFFFFF"/>
              <w:tl2br w:val="nil"/>
              <w:tr2bl w:val="nil"/>
            </w:tcBorders>
            <w:shd w:val="clear" w:color="auto" w:fill="228591"/>
          </w:tcPr>
          <w:p w:rsidR="00F86863" w:rsidRPr="00A3042C" w:rsidRDefault="00F86863" w:rsidP="000706C3">
            <w:pPr>
              <w:spacing w:before="100" w:after="100"/>
              <w:ind w:left="226" w:hanging="113"/>
              <w:rPr>
                <w:b/>
                <w:color w:val="FFFFFF" w:themeColor="background1"/>
                <w:sz w:val="20"/>
                <w:szCs w:val="20"/>
              </w:rPr>
            </w:pPr>
            <w:r w:rsidRPr="00A3042C">
              <w:rPr>
                <w:b/>
                <w:color w:val="FFFFFF" w:themeColor="background1"/>
                <w:sz w:val="20"/>
                <w:szCs w:val="20"/>
              </w:rPr>
              <w:t>Description of interest</w:t>
            </w:r>
          </w:p>
        </w:tc>
        <w:tc>
          <w:tcPr>
            <w:tcW w:w="2126" w:type="dxa"/>
            <w:tcBorders>
              <w:top w:val="single" w:sz="4" w:space="0" w:color="00548E"/>
              <w:left w:val="single" w:sz="4" w:space="0" w:color="FFFFFF"/>
              <w:bottom w:val="single" w:sz="4" w:space="0" w:color="1C1C1C"/>
              <w:right w:val="single" w:sz="4" w:space="0" w:color="FFFFFF"/>
              <w:tl2br w:val="nil"/>
              <w:tr2bl w:val="nil"/>
            </w:tcBorders>
            <w:shd w:val="clear" w:color="auto" w:fill="228591"/>
          </w:tcPr>
          <w:p w:rsidR="00F86863" w:rsidRPr="00A3042C" w:rsidRDefault="00F86863" w:rsidP="000706C3">
            <w:pPr>
              <w:spacing w:before="100" w:after="100"/>
              <w:ind w:left="226" w:hanging="113"/>
              <w:rPr>
                <w:b/>
                <w:color w:val="FFFFFF" w:themeColor="background1"/>
                <w:sz w:val="20"/>
                <w:szCs w:val="20"/>
              </w:rPr>
            </w:pPr>
            <w:r w:rsidRPr="00A3042C">
              <w:rPr>
                <w:b/>
                <w:color w:val="FFFFFF" w:themeColor="background1"/>
                <w:sz w:val="20"/>
                <w:szCs w:val="20"/>
              </w:rPr>
              <w:t>Interested parties</w:t>
            </w:r>
          </w:p>
        </w:tc>
        <w:tc>
          <w:tcPr>
            <w:tcW w:w="2273" w:type="dxa"/>
            <w:tcBorders>
              <w:top w:val="single" w:sz="4" w:space="0" w:color="00548E"/>
              <w:left w:val="single" w:sz="4" w:space="0" w:color="FFFFFF"/>
              <w:bottom w:val="single" w:sz="4" w:space="0" w:color="1C1C1C"/>
              <w:right w:val="single" w:sz="4" w:space="0" w:color="00548E"/>
              <w:tl2br w:val="nil"/>
              <w:tr2bl w:val="nil"/>
            </w:tcBorders>
            <w:shd w:val="clear" w:color="auto" w:fill="228591"/>
          </w:tcPr>
          <w:p w:rsidR="00F86863" w:rsidRPr="00A3042C" w:rsidRDefault="00F86863" w:rsidP="000706C3">
            <w:pPr>
              <w:spacing w:before="100" w:after="100"/>
              <w:ind w:left="226" w:hanging="113"/>
              <w:rPr>
                <w:b/>
                <w:color w:val="FFFFFF" w:themeColor="background1"/>
                <w:sz w:val="20"/>
                <w:szCs w:val="20"/>
              </w:rPr>
            </w:pPr>
            <w:r w:rsidRPr="00A3042C">
              <w:rPr>
                <w:b/>
                <w:color w:val="FFFFFF" w:themeColor="background1"/>
                <w:sz w:val="20"/>
                <w:szCs w:val="20"/>
              </w:rPr>
              <w:t>Is the interest current?</w:t>
            </w:r>
          </w:p>
        </w:tc>
      </w:tr>
      <w:tr w:rsidR="00F86863" w:rsidRPr="00A3042C" w:rsidTr="000706C3">
        <w:tc>
          <w:tcPr>
            <w:tcW w:w="2415" w:type="dxa"/>
          </w:tcPr>
          <w:p w:rsidR="00F86863" w:rsidRPr="00A3042C" w:rsidRDefault="00F86863" w:rsidP="000706C3">
            <w:pPr>
              <w:spacing w:before="100"/>
              <w:ind w:left="226" w:hanging="113"/>
            </w:pPr>
            <w:r w:rsidRPr="00A3042C">
              <w:t>[e.g. John Smith]</w:t>
            </w:r>
          </w:p>
        </w:tc>
        <w:tc>
          <w:tcPr>
            <w:tcW w:w="3402" w:type="dxa"/>
          </w:tcPr>
          <w:p w:rsidR="00F86863" w:rsidRPr="00A3042C" w:rsidRDefault="00F86863" w:rsidP="000706C3">
            <w:pPr>
              <w:spacing w:before="100"/>
              <w:ind w:left="226" w:hanging="113"/>
            </w:pPr>
            <w:r w:rsidRPr="00A3042C">
              <w:t>[e.g. sister-in-law co-owns a company which could potentially become a contractor to this organisation.]</w:t>
            </w:r>
          </w:p>
        </w:tc>
        <w:tc>
          <w:tcPr>
            <w:tcW w:w="2126" w:type="dxa"/>
          </w:tcPr>
          <w:p w:rsidR="00F86863" w:rsidRPr="00A3042C" w:rsidRDefault="00F86863" w:rsidP="000706C3">
            <w:pPr>
              <w:spacing w:before="100"/>
              <w:ind w:left="226" w:hanging="113"/>
            </w:pPr>
            <w:r w:rsidRPr="00A3042C">
              <w:t>[e.g. sister in law]</w:t>
            </w:r>
          </w:p>
        </w:tc>
        <w:tc>
          <w:tcPr>
            <w:tcW w:w="2273" w:type="dxa"/>
          </w:tcPr>
          <w:p w:rsidR="00F86863" w:rsidRPr="00A3042C" w:rsidRDefault="00F86863" w:rsidP="000706C3">
            <w:pPr>
              <w:spacing w:before="100"/>
              <w:ind w:left="226" w:hanging="113"/>
            </w:pPr>
            <w:r w:rsidRPr="00A3042C">
              <w:t>[e.g. Yes]</w:t>
            </w:r>
          </w:p>
        </w:tc>
      </w:tr>
      <w:tr w:rsidR="00F86863" w:rsidRPr="00A3042C" w:rsidTr="000706C3">
        <w:tc>
          <w:tcPr>
            <w:tcW w:w="2415" w:type="dxa"/>
          </w:tcPr>
          <w:p w:rsidR="00F86863" w:rsidRPr="00A3042C" w:rsidRDefault="00F86863" w:rsidP="000706C3">
            <w:pPr>
              <w:spacing w:before="100"/>
              <w:ind w:left="226" w:hanging="113"/>
            </w:pPr>
            <w:r w:rsidRPr="00A3042C">
              <w:t>[e.g. Lorna James]</w:t>
            </w:r>
          </w:p>
        </w:tc>
        <w:tc>
          <w:tcPr>
            <w:tcW w:w="3402" w:type="dxa"/>
          </w:tcPr>
          <w:p w:rsidR="00F86863" w:rsidRPr="00A3042C" w:rsidRDefault="00F86863" w:rsidP="000706C3">
            <w:pPr>
              <w:spacing w:before="100"/>
              <w:ind w:left="226" w:hanging="113"/>
            </w:pPr>
            <w:r w:rsidRPr="00A3042C">
              <w:t>[e.g. Owner of eco-lodge business]</w:t>
            </w:r>
          </w:p>
        </w:tc>
        <w:tc>
          <w:tcPr>
            <w:tcW w:w="2126" w:type="dxa"/>
          </w:tcPr>
          <w:p w:rsidR="00F86863" w:rsidRPr="00A3042C" w:rsidRDefault="00F86863" w:rsidP="000706C3">
            <w:pPr>
              <w:spacing w:before="100"/>
              <w:ind w:left="226" w:hanging="113"/>
            </w:pPr>
            <w:r w:rsidRPr="00A3042C">
              <w:t>[e.g. board member]</w:t>
            </w:r>
          </w:p>
        </w:tc>
        <w:tc>
          <w:tcPr>
            <w:tcW w:w="2273" w:type="dxa"/>
          </w:tcPr>
          <w:p w:rsidR="00F86863" w:rsidRPr="00A3042C" w:rsidRDefault="00F86863" w:rsidP="000706C3">
            <w:pPr>
              <w:spacing w:before="100"/>
              <w:ind w:left="226" w:hanging="113"/>
            </w:pPr>
            <w:r w:rsidRPr="00A3042C">
              <w:t>[e.g. Yes]</w:t>
            </w:r>
          </w:p>
        </w:tc>
      </w:tr>
    </w:tbl>
    <w:p w:rsidR="00F86863" w:rsidRDefault="00F86863" w:rsidP="00F86863">
      <w:pPr>
        <w:widowControl w:val="0"/>
        <w:spacing w:after="40" w:line="200" w:lineRule="atLeast"/>
        <w:rPr>
          <w:rFonts w:asciiTheme="minorHAnsi" w:hAnsiTheme="minorHAnsi"/>
          <w:sz w:val="15"/>
          <w:szCs w:val="15"/>
        </w:rPr>
      </w:pPr>
    </w:p>
    <w:p w:rsidR="00F86863" w:rsidRDefault="00F86863" w:rsidP="00F86863">
      <w:pPr>
        <w:widowControl w:val="0"/>
        <w:spacing w:after="40" w:line="200" w:lineRule="atLeast"/>
        <w:rPr>
          <w:rFonts w:asciiTheme="minorHAnsi" w:hAnsiTheme="minorHAnsi"/>
          <w:sz w:val="15"/>
          <w:szCs w:val="15"/>
        </w:rPr>
      </w:pPr>
    </w:p>
    <w:p w:rsidR="00F86863" w:rsidRDefault="00F86863" w:rsidP="00F86863">
      <w:pPr>
        <w:widowControl w:val="0"/>
        <w:spacing w:after="40" w:line="200" w:lineRule="atLeast"/>
        <w:rPr>
          <w:rFonts w:asciiTheme="minorHAnsi" w:hAnsiTheme="minorHAnsi"/>
          <w:sz w:val="15"/>
          <w:szCs w:val="15"/>
        </w:rPr>
      </w:pPr>
    </w:p>
    <w:p w:rsidR="00AA13BD" w:rsidRPr="00FC4E61" w:rsidRDefault="001F256D" w:rsidP="00A61E04">
      <w:pPr>
        <w:rPr>
          <w:rFonts w:eastAsia="Calibri"/>
        </w:rPr>
      </w:pPr>
      <w:r w:rsidRPr="00732FB1">
        <w:rPr>
          <w:noProof/>
          <w:color w:val="228591"/>
          <w:lang w:eastAsia="en-AU"/>
        </w:rPr>
        <mc:AlternateContent>
          <mc:Choice Requires="wpc">
            <w:drawing>
              <wp:anchor distT="0" distB="0" distL="114300" distR="114300" simplePos="0" relativeHeight="251659776" behindDoc="0" locked="1" layoutInCell="1" allowOverlap="1" wp14:anchorId="7262EBDE" wp14:editId="57FF92B1">
                <wp:simplePos x="0" y="0"/>
                <wp:positionH relativeFrom="page">
                  <wp:posOffset>340995</wp:posOffset>
                </wp:positionH>
                <wp:positionV relativeFrom="page">
                  <wp:posOffset>8282940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7"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8"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9"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0"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A01D24" w:rsidP="001F256D">
                              <w:pPr>
                                <w:widowControl w:val="0"/>
                                <w:spacing w:after="100" w:line="200" w:lineRule="atLeast"/>
                                <w:rPr>
                                  <w:rFonts w:asciiTheme="minorHAnsi" w:hAnsiTheme="minorHAnsi"/>
                                  <w:sz w:val="15"/>
                                  <w:szCs w:val="15"/>
                                </w:rPr>
                              </w:pPr>
                              <w:r>
                                <w:rPr>
                                  <w:rFonts w:asciiTheme="minorHAnsi" w:hAnsiTheme="minorHAnsi"/>
                                  <w:sz w:val="15"/>
                                  <w:szCs w:val="15"/>
                                </w:rPr>
                                <w:t>4</w:t>
                              </w:r>
                              <w:r w:rsidR="001F256D" w:rsidRPr="0022751F">
                                <w:rPr>
                                  <w:rFonts w:asciiTheme="minorHAnsi" w:hAnsiTheme="minorHAnsi"/>
                                  <w:sz w:val="15"/>
                                  <w:szCs w:val="15"/>
                                </w:rPr>
                                <w:t xml:space="preserve"> </w:t>
                              </w:r>
                              <w:r w:rsidR="00EC5764">
                                <w:rPr>
                                  <w:rFonts w:asciiTheme="minorHAnsi" w:hAnsiTheme="minorHAnsi"/>
                                  <w:sz w:val="15"/>
                                  <w:szCs w:val="15"/>
                                </w:rPr>
                                <w:t>September</w:t>
                              </w:r>
                              <w:r w:rsidR="001F256D" w:rsidRPr="0022751F">
                                <w:rPr>
                                  <w:rFonts w:asciiTheme="minorHAnsi" w:hAnsiTheme="minorHAnsi"/>
                                  <w:sz w:val="15"/>
                                  <w:szCs w:val="15"/>
                                </w:rPr>
                                <w:t xml:space="preserve"> 2015 (</w:t>
                              </w:r>
                              <w:r w:rsidR="001F256D">
                                <w:rPr>
                                  <w:rStyle w:val="Emphasis-Bold"/>
                                  <w:rFonts w:asciiTheme="minorHAnsi" w:hAnsiTheme="minorHAnsi"/>
                                  <w:sz w:val="15"/>
                                  <w:szCs w:val="15"/>
                                </w:rPr>
                                <w:t>version 2</w:t>
                              </w:r>
                              <w:r w:rsidR="00715A65">
                                <w:rPr>
                                  <w:rStyle w:val="Emphasis-Bold"/>
                                  <w:rFonts w:asciiTheme="minorHAnsi" w:hAnsiTheme="minorHAnsi"/>
                                  <w:sz w:val="15"/>
                                  <w:szCs w:val="15"/>
                                </w:rPr>
                                <w:t>.05</w:t>
                              </w:r>
                              <w:r w:rsidR="001F256D" w:rsidRPr="0022751F">
                                <w:rPr>
                                  <w:rFonts w:asciiTheme="minorHAnsi" w:hAnsiTheme="minorHAnsi"/>
                                  <w:sz w:val="15"/>
                                  <w:szCs w:val="15"/>
                                </w:rPr>
                                <w:t xml:space="preserve">) </w:t>
                              </w:r>
                              <w:r w:rsidR="00204FA7">
                                <w:rPr>
                                  <w:rFonts w:asciiTheme="minorHAnsi" w:hAnsiTheme="minorHAnsi"/>
                                  <w:sz w:val="15"/>
                                  <w:szCs w:val="15"/>
                                </w:rPr>
                                <w:t xml:space="preserve">– </w:t>
                              </w:r>
                              <w:r w:rsidR="00366E7F">
                                <w:rPr>
                                  <w:rFonts w:asciiTheme="minorHAnsi" w:hAnsiTheme="minorHAnsi"/>
                                  <w:sz w:val="15"/>
                                  <w:szCs w:val="15"/>
                                </w:rPr>
                                <w:t>48</w:t>
                              </w:r>
                              <w:r w:rsidR="00AC202D">
                                <w:rPr>
                                  <w:rFonts w:asciiTheme="minorHAnsi" w:hAnsiTheme="minorHAnsi"/>
                                  <w:sz w:val="15"/>
                                  <w:szCs w:val="15"/>
                                </w:rPr>
                                <w:t>.</w:t>
                              </w:r>
                              <w:r w:rsidR="00542665">
                                <w:rPr>
                                  <w:rFonts w:asciiTheme="minorHAnsi" w:hAnsiTheme="minorHAnsi"/>
                                  <w:sz w:val="15"/>
                                  <w:szCs w:val="15"/>
                                </w:rPr>
                                <w:t>1</w:t>
                              </w:r>
                              <w:r w:rsidR="007B730B">
                                <w:rPr>
                                  <w:rFonts w:asciiTheme="minorHAnsi" w:hAnsiTheme="minorHAnsi"/>
                                  <w:sz w:val="15"/>
                                  <w:szCs w:val="15"/>
                                </w:rPr>
                                <w:t>8</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5973EBB5" wp14:editId="4F266747">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2"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6.85pt;margin-top:652.2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3"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4"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5"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6"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A01D24" w:rsidP="001F256D">
                        <w:pPr>
                          <w:widowControl w:val="0"/>
                          <w:spacing w:after="100" w:line="200" w:lineRule="atLeast"/>
                          <w:rPr>
                            <w:rFonts w:asciiTheme="minorHAnsi" w:hAnsiTheme="minorHAnsi"/>
                            <w:sz w:val="15"/>
                            <w:szCs w:val="15"/>
                          </w:rPr>
                        </w:pPr>
                        <w:r>
                          <w:rPr>
                            <w:rFonts w:asciiTheme="minorHAnsi" w:hAnsiTheme="minorHAnsi"/>
                            <w:sz w:val="15"/>
                            <w:szCs w:val="15"/>
                          </w:rPr>
                          <w:t>4</w:t>
                        </w:r>
                        <w:r w:rsidR="001F256D" w:rsidRPr="0022751F">
                          <w:rPr>
                            <w:rFonts w:asciiTheme="minorHAnsi" w:hAnsiTheme="minorHAnsi"/>
                            <w:sz w:val="15"/>
                            <w:szCs w:val="15"/>
                          </w:rPr>
                          <w:t xml:space="preserve"> </w:t>
                        </w:r>
                        <w:r w:rsidR="00EC5764">
                          <w:rPr>
                            <w:rFonts w:asciiTheme="minorHAnsi" w:hAnsiTheme="minorHAnsi"/>
                            <w:sz w:val="15"/>
                            <w:szCs w:val="15"/>
                          </w:rPr>
                          <w:t>September</w:t>
                        </w:r>
                        <w:bookmarkStart w:id="1" w:name="_GoBack"/>
                        <w:bookmarkEnd w:id="1"/>
                        <w:r w:rsidR="001F256D" w:rsidRPr="0022751F">
                          <w:rPr>
                            <w:rFonts w:asciiTheme="minorHAnsi" w:hAnsiTheme="minorHAnsi"/>
                            <w:sz w:val="15"/>
                            <w:szCs w:val="15"/>
                          </w:rPr>
                          <w:t xml:space="preserve"> 2015 (</w:t>
                        </w:r>
                        <w:r w:rsidR="001F256D">
                          <w:rPr>
                            <w:rStyle w:val="Emphasis-Bold"/>
                            <w:rFonts w:asciiTheme="minorHAnsi" w:hAnsiTheme="minorHAnsi"/>
                            <w:sz w:val="15"/>
                            <w:szCs w:val="15"/>
                          </w:rPr>
                          <w:t>version 2</w:t>
                        </w:r>
                        <w:r w:rsidR="00715A65">
                          <w:rPr>
                            <w:rStyle w:val="Emphasis-Bold"/>
                            <w:rFonts w:asciiTheme="minorHAnsi" w:hAnsiTheme="minorHAnsi"/>
                            <w:sz w:val="15"/>
                            <w:szCs w:val="15"/>
                          </w:rPr>
                          <w:t>.05</w:t>
                        </w:r>
                        <w:r w:rsidR="001F256D" w:rsidRPr="0022751F">
                          <w:rPr>
                            <w:rFonts w:asciiTheme="minorHAnsi" w:hAnsiTheme="minorHAnsi"/>
                            <w:sz w:val="15"/>
                            <w:szCs w:val="15"/>
                          </w:rPr>
                          <w:t xml:space="preserve">) </w:t>
                        </w:r>
                        <w:r w:rsidR="00204FA7">
                          <w:rPr>
                            <w:rFonts w:asciiTheme="minorHAnsi" w:hAnsiTheme="minorHAnsi"/>
                            <w:sz w:val="15"/>
                            <w:szCs w:val="15"/>
                          </w:rPr>
                          <w:t xml:space="preserve">– </w:t>
                        </w:r>
                        <w:r w:rsidR="00366E7F">
                          <w:rPr>
                            <w:rFonts w:asciiTheme="minorHAnsi" w:hAnsiTheme="minorHAnsi"/>
                            <w:sz w:val="15"/>
                            <w:szCs w:val="15"/>
                          </w:rPr>
                          <w:t>48</w:t>
                        </w:r>
                        <w:r w:rsidR="00AC202D">
                          <w:rPr>
                            <w:rFonts w:asciiTheme="minorHAnsi" w:hAnsiTheme="minorHAnsi"/>
                            <w:sz w:val="15"/>
                            <w:szCs w:val="15"/>
                          </w:rPr>
                          <w:t>.</w:t>
                        </w:r>
                        <w:r w:rsidR="00542665">
                          <w:rPr>
                            <w:rFonts w:asciiTheme="minorHAnsi" w:hAnsiTheme="minorHAnsi"/>
                            <w:sz w:val="15"/>
                            <w:szCs w:val="15"/>
                          </w:rPr>
                          <w:t>1</w:t>
                        </w:r>
                        <w:r w:rsidR="007B730B">
                          <w:rPr>
                            <w:rFonts w:asciiTheme="minorHAnsi" w:hAnsiTheme="minorHAnsi"/>
                            <w:sz w:val="15"/>
                            <w:szCs w:val="15"/>
                          </w:rPr>
                          <w:t>8</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Environment, Land, Water and Planning 2015</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5973EBB5" wp14:editId="4F266747">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8"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C4E61" w:rsidSect="00F96CFF">
      <w:headerReference w:type="even" r:id="rId29"/>
      <w:headerReference w:type="default" r:id="rId30"/>
      <w:footerReference w:type="even" r:id="rId31"/>
      <w:footerReference w:type="default" r:id="rId32"/>
      <w:headerReference w:type="first" r:id="rId33"/>
      <w:footerReference w:type="first" r:id="rId34"/>
      <w:pgSz w:w="11907" w:h="16840" w:code="9"/>
      <w:pgMar w:top="2268" w:right="567" w:bottom="851" w:left="1134" w:header="284" w:footer="1021"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C3" w:rsidRDefault="000706C3" w:rsidP="001855F2">
      <w:r>
        <w:separator/>
      </w:r>
    </w:p>
  </w:endnote>
  <w:endnote w:type="continuationSeparator" w:id="0">
    <w:p w:rsidR="000706C3" w:rsidRDefault="000706C3"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C0" w:rsidRDefault="00385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3852C0" w:rsidP="000F55F1">
    <w:pPr>
      <w:pStyle w:val="ImprintText"/>
      <w:spacing w:before="300" w:after="0"/>
    </w:pPr>
    <w:r>
      <w:rPr>
        <w:noProof/>
        <w:lang w:eastAsia="en-AU"/>
      </w:rPr>
      <w:drawing>
        <wp:anchor distT="0" distB="0" distL="114300" distR="114300" simplePos="0" relativeHeight="251665408" behindDoc="0" locked="0" layoutInCell="1" allowOverlap="1" wp14:anchorId="2CE168C6" wp14:editId="5E7D4753">
          <wp:simplePos x="0" y="0"/>
          <wp:positionH relativeFrom="column">
            <wp:posOffset>5377180</wp:posOffset>
          </wp:positionH>
          <wp:positionV relativeFrom="paragraph">
            <wp:posOffset>125095</wp:posOffset>
          </wp:positionV>
          <wp:extent cx="1160145" cy="3365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A3632C">
          <w:rPr>
            <w:noProof/>
            <w:szCs w:val="16"/>
          </w:rPr>
          <w:t>4</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A3632C">
          <w:rPr>
            <w:noProof/>
            <w:szCs w:val="16"/>
          </w:rPr>
          <w:t>8</w:t>
        </w:r>
        <w:r w:rsidR="00960CF0">
          <w:rPr>
            <w:noProof/>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3852C0"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3FA02333" wp14:editId="7D734240">
          <wp:simplePos x="0" y="0"/>
          <wp:positionH relativeFrom="column">
            <wp:posOffset>5131435</wp:posOffset>
          </wp:positionH>
          <wp:positionV relativeFrom="paragraph">
            <wp:posOffset>192405</wp:posOffset>
          </wp:positionV>
          <wp:extent cx="1160145" cy="33655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A3632C">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A3632C">
          <w:rPr>
            <w:noProof/>
            <w:szCs w:val="16"/>
          </w:rPr>
          <w:t>8</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C3" w:rsidRDefault="000706C3" w:rsidP="001855F2">
      <w:r>
        <w:separator/>
      </w:r>
    </w:p>
  </w:footnote>
  <w:footnote w:type="continuationSeparator" w:id="0">
    <w:p w:rsidR="000706C3" w:rsidRDefault="000706C3" w:rsidP="001855F2">
      <w:r>
        <w:continuationSeparator/>
      </w:r>
    </w:p>
  </w:footnote>
  <w:footnote w:id="1">
    <w:p w:rsidR="00F86863" w:rsidRDefault="00F86863" w:rsidP="00F86863">
      <w:pPr>
        <w:pStyle w:val="FootnoteText"/>
        <w:spacing w:after="0"/>
      </w:pPr>
      <w:r>
        <w:rPr>
          <w:rStyle w:val="FootnoteReference"/>
        </w:rPr>
        <w:footnoteRef/>
      </w:r>
      <w:r>
        <w:t xml:space="preserve"> </w:t>
      </w:r>
      <w:r>
        <w:tab/>
      </w:r>
      <w:r w:rsidRPr="00EA06EC">
        <w:t xml:space="preserve">Like other documents produced by the board (e.g. minutes of board meetings), the register is a public </w:t>
      </w:r>
      <w:r w:rsidR="00274385">
        <w:t>record</w:t>
      </w:r>
      <w:r w:rsidRPr="00EA06EC">
        <w:t>.  However, this does not mean that it is automatically ‘open to the public’.  Unless the board agrees, a member of the public who wants to see the register</w:t>
      </w:r>
      <w:r>
        <w:t xml:space="preserve"> would need to lodge an application under the </w:t>
      </w:r>
      <w:r>
        <w:rPr>
          <w:i/>
        </w:rPr>
        <w:t>Freedom of I</w:t>
      </w:r>
      <w:r w:rsidRPr="00946A43">
        <w:rPr>
          <w:i/>
        </w:rPr>
        <w:t>nformation Act</w:t>
      </w:r>
      <w:r>
        <w:t xml:space="preserve">.  If this occurs, the department can provide advice and </w:t>
      </w:r>
      <w:r w:rsidR="001F59D9">
        <w:t xml:space="preserve">assist the organisation to </w:t>
      </w:r>
      <w:r>
        <w:t>assess whether the register is exempt from disclosure under the Act.</w:t>
      </w:r>
    </w:p>
  </w:footnote>
  <w:footnote w:id="2">
    <w:p w:rsidR="00F86863" w:rsidRDefault="00F86863" w:rsidP="00F86863">
      <w:pPr>
        <w:pStyle w:val="FootnoteText"/>
        <w:spacing w:after="0"/>
      </w:pPr>
      <w:r>
        <w:rPr>
          <w:rStyle w:val="FootnoteReference"/>
        </w:rPr>
        <w:footnoteRef/>
      </w:r>
      <w:r>
        <w:t xml:space="preserve"> </w:t>
      </w:r>
      <w:r>
        <w:tab/>
        <w:t>C</w:t>
      </w:r>
      <w:r w:rsidRPr="007B417B">
        <w:t xml:space="preserve">onsistent with the requirements of s 81(1)(f) of the </w:t>
      </w:r>
      <w:r w:rsidRPr="007B417B">
        <w:rPr>
          <w:i/>
        </w:rPr>
        <w:t xml:space="preserve">Public Administration Act </w:t>
      </w:r>
      <w:r w:rsidRPr="00B47165">
        <w:rPr>
          <w:i/>
        </w:rPr>
        <w:t>2004</w:t>
      </w:r>
      <w:r w:rsidRPr="007B417B">
        <w:t>.</w:t>
      </w:r>
    </w:p>
  </w:footnote>
  <w:footnote w:id="3">
    <w:p w:rsidR="00F86863" w:rsidRDefault="00F86863" w:rsidP="00F86863">
      <w:pPr>
        <w:pStyle w:val="FootnoteText"/>
      </w:pPr>
      <w:r>
        <w:rPr>
          <w:rStyle w:val="FootnoteReference"/>
        </w:rPr>
        <w:footnoteRef/>
      </w:r>
      <w:r>
        <w:t xml:space="preserve"> </w:t>
      </w:r>
      <w:r>
        <w:tab/>
        <w:t xml:space="preserve">If this is a common occurrence, the department should be notified.  </w:t>
      </w:r>
    </w:p>
  </w:footnote>
  <w:footnote w:id="4">
    <w:p w:rsidR="00F86863" w:rsidRDefault="00F86863" w:rsidP="00F86863">
      <w:pPr>
        <w:pStyle w:val="FootnoteText"/>
        <w:spacing w:after="80"/>
      </w:pPr>
      <w:r>
        <w:rPr>
          <w:rStyle w:val="FootnoteReference"/>
        </w:rPr>
        <w:footnoteRef/>
      </w:r>
      <w:r>
        <w:t xml:space="preserve"> </w:t>
      </w:r>
      <w:r>
        <w:tab/>
      </w:r>
      <w:r w:rsidR="00C71C37">
        <w:t>C</w:t>
      </w:r>
      <w:r>
        <w:t>onsistent with s</w:t>
      </w:r>
      <w:r w:rsidRPr="00714EC1">
        <w:t xml:space="preserve"> 81(1)(b) and (f) of the </w:t>
      </w:r>
      <w:r w:rsidRPr="00B841A2">
        <w:rPr>
          <w:i/>
        </w:rPr>
        <w:t xml:space="preserve">Public Administration Act </w:t>
      </w:r>
      <w:r w:rsidRPr="008C17E0">
        <w:rPr>
          <w:i/>
        </w:rPr>
        <w:t>2004</w:t>
      </w:r>
      <w:r w:rsidRPr="00714EC1">
        <w:t>.</w:t>
      </w:r>
    </w:p>
  </w:footnote>
  <w:footnote w:id="5">
    <w:p w:rsidR="00F86863" w:rsidRPr="007B417B" w:rsidRDefault="00F86863" w:rsidP="00F86863">
      <w:pPr>
        <w:pStyle w:val="FootnoteText"/>
        <w:spacing w:after="80"/>
      </w:pPr>
      <w:r>
        <w:rPr>
          <w:rStyle w:val="FootnoteReference"/>
        </w:rPr>
        <w:footnoteRef/>
      </w:r>
      <w:r>
        <w:t xml:space="preserve"> </w:t>
      </w:r>
      <w:r>
        <w:tab/>
        <w:t xml:space="preserve">Or if the matter concerns a possible breach by the chair, to the attention of the deputy </w:t>
      </w:r>
      <w:r w:rsidRPr="007B417B">
        <w:t xml:space="preserve">chair. </w:t>
      </w:r>
      <w:r w:rsidRPr="007B417B">
        <w:rPr>
          <w:i/>
        </w:rPr>
        <w:t>[If there is no deputy chair insert instead</w:t>
      </w:r>
      <w:r w:rsidRPr="007B417B">
        <w:t>: ‘the board member nominated by the board to assist the chair with conflict of interest queries’</w:t>
      </w:r>
      <w:r w:rsidRPr="007B417B">
        <w:rPr>
          <w:i/>
        </w:rPr>
        <w:t>]</w:t>
      </w:r>
      <w:r w:rsidRPr="007B417B">
        <w:t>.</w:t>
      </w:r>
    </w:p>
  </w:footnote>
  <w:footnote w:id="6">
    <w:p w:rsidR="00F86863" w:rsidRDefault="00F86863" w:rsidP="00F86863">
      <w:pPr>
        <w:pStyle w:val="FootnoteText"/>
        <w:spacing w:after="80"/>
      </w:pPr>
      <w:r w:rsidRPr="007B417B">
        <w:rPr>
          <w:rStyle w:val="FootnoteReference"/>
        </w:rPr>
        <w:footnoteRef/>
      </w:r>
      <w:r w:rsidRPr="007B417B">
        <w:t xml:space="preserve"> </w:t>
      </w:r>
      <w:r w:rsidRPr="007B417B">
        <w:tab/>
        <w:t>The public sector values are: integrity, impartiality, accountability, respect, responsiveness,</w:t>
      </w:r>
      <w:r>
        <w:t xml:space="preserve"> human rights, and leadership.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C0" w:rsidRDefault="00385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0299BE29" wp14:editId="5F20DD78">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500777" w:rsidP="007D06DC">
          <w:pPr>
            <w:pStyle w:val="CertHDWhite"/>
            <w:tabs>
              <w:tab w:val="left" w:pos="3544"/>
              <w:tab w:val="left" w:pos="7513"/>
            </w:tabs>
            <w:rPr>
              <w:sz w:val="28"/>
              <w:szCs w:val="28"/>
            </w:rPr>
          </w:pPr>
          <w:r>
            <w:rPr>
              <w:sz w:val="28"/>
              <w:szCs w:val="28"/>
            </w:rPr>
            <w:t>Conflict of interest</w:t>
          </w:r>
          <w:r w:rsidR="000C753A">
            <w:rPr>
              <w:sz w:val="28"/>
              <w:szCs w:val="28"/>
            </w:rPr>
            <w:t xml:space="preserve"> – (1) Model policy </w:t>
          </w:r>
          <w:r w:rsidR="00B47165" w:rsidRPr="001A3C24">
            <w:rPr>
              <w:sz w:val="28"/>
              <w:szCs w:val="28"/>
            </w:rPr>
            <w:t>for boards of major DELWP agencies</w:t>
          </w:r>
        </w:p>
      </w:tc>
    </w:tr>
  </w:tbl>
  <w:p w:rsidR="00B47165" w:rsidRDefault="00B47165"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6902F927" wp14:editId="321D43EE">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6E2F73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3">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1"/>
  </w:num>
  <w:num w:numId="14">
    <w:abstractNumId w:val="16"/>
  </w:num>
  <w:num w:numId="15">
    <w:abstractNumId w:val="20"/>
  </w:num>
  <w:num w:numId="16">
    <w:abstractNumId w:val="11"/>
  </w:num>
  <w:num w:numId="17">
    <w:abstractNumId w:val="20"/>
  </w:num>
  <w:num w:numId="18">
    <w:abstractNumId w:val="20"/>
  </w:num>
  <w:num w:numId="19">
    <w:abstractNumId w:val="20"/>
  </w:num>
  <w:num w:numId="20">
    <w:abstractNumId w:val="10"/>
  </w:num>
  <w:num w:numId="21">
    <w:abstractNumId w:val="13"/>
  </w:num>
  <w:num w:numId="22">
    <w:abstractNumId w:val="17"/>
  </w:num>
  <w:num w:numId="23">
    <w:abstractNumId w:val="19"/>
  </w:num>
  <w:num w:numId="24">
    <w:abstractNumId w:val="12"/>
  </w:num>
  <w:num w:numId="25">
    <w:abstractNumId w:val="1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1"/>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4E59"/>
    <w:rsid w:val="00012793"/>
    <w:rsid w:val="00013D7A"/>
    <w:rsid w:val="00023243"/>
    <w:rsid w:val="0003050C"/>
    <w:rsid w:val="00031FA3"/>
    <w:rsid w:val="00034A8C"/>
    <w:rsid w:val="00034D96"/>
    <w:rsid w:val="0003535F"/>
    <w:rsid w:val="000473F1"/>
    <w:rsid w:val="0005215B"/>
    <w:rsid w:val="00055FEF"/>
    <w:rsid w:val="00056393"/>
    <w:rsid w:val="00062DAF"/>
    <w:rsid w:val="00063E31"/>
    <w:rsid w:val="000645D2"/>
    <w:rsid w:val="00065CAC"/>
    <w:rsid w:val="000706C3"/>
    <w:rsid w:val="00075307"/>
    <w:rsid w:val="00077758"/>
    <w:rsid w:val="00084C46"/>
    <w:rsid w:val="0008754B"/>
    <w:rsid w:val="00091EB2"/>
    <w:rsid w:val="0009699E"/>
    <w:rsid w:val="000A1A91"/>
    <w:rsid w:val="000B5903"/>
    <w:rsid w:val="000B65E4"/>
    <w:rsid w:val="000C1E27"/>
    <w:rsid w:val="000C3259"/>
    <w:rsid w:val="000C39E4"/>
    <w:rsid w:val="000C753A"/>
    <w:rsid w:val="000D2CAA"/>
    <w:rsid w:val="000D54BA"/>
    <w:rsid w:val="000E37C5"/>
    <w:rsid w:val="000E585A"/>
    <w:rsid w:val="000E7036"/>
    <w:rsid w:val="000E7DBC"/>
    <w:rsid w:val="000F1B8D"/>
    <w:rsid w:val="000F55F1"/>
    <w:rsid w:val="001013E9"/>
    <w:rsid w:val="00111811"/>
    <w:rsid w:val="00113F41"/>
    <w:rsid w:val="00120C40"/>
    <w:rsid w:val="00120F3F"/>
    <w:rsid w:val="001233A7"/>
    <w:rsid w:val="00125376"/>
    <w:rsid w:val="00135491"/>
    <w:rsid w:val="00135E62"/>
    <w:rsid w:val="00136086"/>
    <w:rsid w:val="0014585D"/>
    <w:rsid w:val="00154577"/>
    <w:rsid w:val="001576EE"/>
    <w:rsid w:val="001635B1"/>
    <w:rsid w:val="0017095A"/>
    <w:rsid w:val="00177115"/>
    <w:rsid w:val="00181FBC"/>
    <w:rsid w:val="001855F2"/>
    <w:rsid w:val="0019698F"/>
    <w:rsid w:val="001A243B"/>
    <w:rsid w:val="001A3C24"/>
    <w:rsid w:val="001A4A93"/>
    <w:rsid w:val="001A70BE"/>
    <w:rsid w:val="001B11D5"/>
    <w:rsid w:val="001B2943"/>
    <w:rsid w:val="001B64A3"/>
    <w:rsid w:val="001C14C3"/>
    <w:rsid w:val="001C3014"/>
    <w:rsid w:val="001C3CA8"/>
    <w:rsid w:val="001C3D80"/>
    <w:rsid w:val="001E1ADF"/>
    <w:rsid w:val="001E2024"/>
    <w:rsid w:val="001E46F0"/>
    <w:rsid w:val="001F256D"/>
    <w:rsid w:val="001F40CB"/>
    <w:rsid w:val="001F59D9"/>
    <w:rsid w:val="001F5EFC"/>
    <w:rsid w:val="002015AD"/>
    <w:rsid w:val="0020255B"/>
    <w:rsid w:val="00204FA7"/>
    <w:rsid w:val="002122D2"/>
    <w:rsid w:val="00217D52"/>
    <w:rsid w:val="00220902"/>
    <w:rsid w:val="0022751F"/>
    <w:rsid w:val="00235214"/>
    <w:rsid w:val="00236DA4"/>
    <w:rsid w:val="00241C30"/>
    <w:rsid w:val="0024281C"/>
    <w:rsid w:val="00246C83"/>
    <w:rsid w:val="00246D68"/>
    <w:rsid w:val="002526EA"/>
    <w:rsid w:val="00261DCB"/>
    <w:rsid w:val="002641A7"/>
    <w:rsid w:val="00271B91"/>
    <w:rsid w:val="00274385"/>
    <w:rsid w:val="00285925"/>
    <w:rsid w:val="002C12AF"/>
    <w:rsid w:val="002C4BC3"/>
    <w:rsid w:val="002C5BA2"/>
    <w:rsid w:val="002D2478"/>
    <w:rsid w:val="002D3CC8"/>
    <w:rsid w:val="002D680B"/>
    <w:rsid w:val="002D7E3C"/>
    <w:rsid w:val="002E2EC1"/>
    <w:rsid w:val="002F288C"/>
    <w:rsid w:val="003011AF"/>
    <w:rsid w:val="003067A3"/>
    <w:rsid w:val="00316A28"/>
    <w:rsid w:val="00321F9E"/>
    <w:rsid w:val="00326FBB"/>
    <w:rsid w:val="00327CF0"/>
    <w:rsid w:val="00330679"/>
    <w:rsid w:val="00330D84"/>
    <w:rsid w:val="0033233C"/>
    <w:rsid w:val="00340B78"/>
    <w:rsid w:val="0034391E"/>
    <w:rsid w:val="00345CC7"/>
    <w:rsid w:val="00350C01"/>
    <w:rsid w:val="00354FE2"/>
    <w:rsid w:val="00356963"/>
    <w:rsid w:val="0036130E"/>
    <w:rsid w:val="00361402"/>
    <w:rsid w:val="00366E7F"/>
    <w:rsid w:val="00383E20"/>
    <w:rsid w:val="003852C0"/>
    <w:rsid w:val="00385DE1"/>
    <w:rsid w:val="00391FEF"/>
    <w:rsid w:val="003968A1"/>
    <w:rsid w:val="003A21AE"/>
    <w:rsid w:val="003A38C0"/>
    <w:rsid w:val="003A5FCB"/>
    <w:rsid w:val="003B42CF"/>
    <w:rsid w:val="003B43DE"/>
    <w:rsid w:val="003C0AE2"/>
    <w:rsid w:val="003C2962"/>
    <w:rsid w:val="003C61A5"/>
    <w:rsid w:val="003C64BD"/>
    <w:rsid w:val="003E0B9A"/>
    <w:rsid w:val="003E36DD"/>
    <w:rsid w:val="003E3909"/>
    <w:rsid w:val="003F1932"/>
    <w:rsid w:val="003F22B5"/>
    <w:rsid w:val="003F3A22"/>
    <w:rsid w:val="003F437F"/>
    <w:rsid w:val="003F519F"/>
    <w:rsid w:val="003F5A5C"/>
    <w:rsid w:val="00402102"/>
    <w:rsid w:val="00404EF3"/>
    <w:rsid w:val="00405A2F"/>
    <w:rsid w:val="00405E81"/>
    <w:rsid w:val="00406463"/>
    <w:rsid w:val="004168CB"/>
    <w:rsid w:val="00426499"/>
    <w:rsid w:val="0043327C"/>
    <w:rsid w:val="0043348E"/>
    <w:rsid w:val="004426E1"/>
    <w:rsid w:val="004450BE"/>
    <w:rsid w:val="00446453"/>
    <w:rsid w:val="004469C1"/>
    <w:rsid w:val="00455AC0"/>
    <w:rsid w:val="00455EFA"/>
    <w:rsid w:val="00464027"/>
    <w:rsid w:val="004752E5"/>
    <w:rsid w:val="0047538B"/>
    <w:rsid w:val="0047767A"/>
    <w:rsid w:val="00482508"/>
    <w:rsid w:val="00487611"/>
    <w:rsid w:val="00494BA6"/>
    <w:rsid w:val="004969C1"/>
    <w:rsid w:val="004A283F"/>
    <w:rsid w:val="004A3E67"/>
    <w:rsid w:val="004C3893"/>
    <w:rsid w:val="004E0DA3"/>
    <w:rsid w:val="004E4BDF"/>
    <w:rsid w:val="004E6888"/>
    <w:rsid w:val="004E6D65"/>
    <w:rsid w:val="004F05CF"/>
    <w:rsid w:val="004F0BEF"/>
    <w:rsid w:val="004F79F8"/>
    <w:rsid w:val="00500777"/>
    <w:rsid w:val="005056F5"/>
    <w:rsid w:val="0050769F"/>
    <w:rsid w:val="00510A2E"/>
    <w:rsid w:val="00512102"/>
    <w:rsid w:val="00512C0A"/>
    <w:rsid w:val="00512D4E"/>
    <w:rsid w:val="00516CB2"/>
    <w:rsid w:val="005229C6"/>
    <w:rsid w:val="00524C52"/>
    <w:rsid w:val="005304F7"/>
    <w:rsid w:val="00533181"/>
    <w:rsid w:val="00534B38"/>
    <w:rsid w:val="00540762"/>
    <w:rsid w:val="00542665"/>
    <w:rsid w:val="00544B68"/>
    <w:rsid w:val="00546390"/>
    <w:rsid w:val="00557B17"/>
    <w:rsid w:val="0056076E"/>
    <w:rsid w:val="00565531"/>
    <w:rsid w:val="0057281A"/>
    <w:rsid w:val="00573554"/>
    <w:rsid w:val="00573E23"/>
    <w:rsid w:val="00575F3A"/>
    <w:rsid w:val="00576FFD"/>
    <w:rsid w:val="00580EFA"/>
    <w:rsid w:val="00582724"/>
    <w:rsid w:val="0058566F"/>
    <w:rsid w:val="005901C3"/>
    <w:rsid w:val="005A1F4B"/>
    <w:rsid w:val="005A4EE7"/>
    <w:rsid w:val="005B3CE8"/>
    <w:rsid w:val="005B4A26"/>
    <w:rsid w:val="005B55D4"/>
    <w:rsid w:val="005B6BA0"/>
    <w:rsid w:val="005C0840"/>
    <w:rsid w:val="005C70F5"/>
    <w:rsid w:val="005C7645"/>
    <w:rsid w:val="005E3C89"/>
    <w:rsid w:val="005E643F"/>
    <w:rsid w:val="005F2C9F"/>
    <w:rsid w:val="00602D4A"/>
    <w:rsid w:val="00603134"/>
    <w:rsid w:val="00606451"/>
    <w:rsid w:val="00621B48"/>
    <w:rsid w:val="00621E9B"/>
    <w:rsid w:val="00623482"/>
    <w:rsid w:val="0062669A"/>
    <w:rsid w:val="006307E5"/>
    <w:rsid w:val="00632914"/>
    <w:rsid w:val="0063635A"/>
    <w:rsid w:val="00645D03"/>
    <w:rsid w:val="0065542D"/>
    <w:rsid w:val="006554A4"/>
    <w:rsid w:val="00656186"/>
    <w:rsid w:val="00657072"/>
    <w:rsid w:val="0065776D"/>
    <w:rsid w:val="006643F2"/>
    <w:rsid w:val="006670F9"/>
    <w:rsid w:val="00667E70"/>
    <w:rsid w:val="006741C5"/>
    <w:rsid w:val="00675636"/>
    <w:rsid w:val="006767CB"/>
    <w:rsid w:val="006800DF"/>
    <w:rsid w:val="0069559B"/>
    <w:rsid w:val="006A2476"/>
    <w:rsid w:val="006A7A35"/>
    <w:rsid w:val="006B3449"/>
    <w:rsid w:val="006B4688"/>
    <w:rsid w:val="006C254A"/>
    <w:rsid w:val="006D2D9C"/>
    <w:rsid w:val="006E48AC"/>
    <w:rsid w:val="006F53DB"/>
    <w:rsid w:val="006F707D"/>
    <w:rsid w:val="006F7A86"/>
    <w:rsid w:val="0070362A"/>
    <w:rsid w:val="00705440"/>
    <w:rsid w:val="007065B0"/>
    <w:rsid w:val="007078B0"/>
    <w:rsid w:val="00712DA7"/>
    <w:rsid w:val="007131A0"/>
    <w:rsid w:val="00715A65"/>
    <w:rsid w:val="00721BB3"/>
    <w:rsid w:val="00725C38"/>
    <w:rsid w:val="00731631"/>
    <w:rsid w:val="00732FB1"/>
    <w:rsid w:val="007503F7"/>
    <w:rsid w:val="00752E36"/>
    <w:rsid w:val="0075546A"/>
    <w:rsid w:val="00756A07"/>
    <w:rsid w:val="00762889"/>
    <w:rsid w:val="00763884"/>
    <w:rsid w:val="007702BD"/>
    <w:rsid w:val="00777619"/>
    <w:rsid w:val="00783053"/>
    <w:rsid w:val="007A0889"/>
    <w:rsid w:val="007A5D48"/>
    <w:rsid w:val="007A7A83"/>
    <w:rsid w:val="007B0E45"/>
    <w:rsid w:val="007B10CA"/>
    <w:rsid w:val="007B1469"/>
    <w:rsid w:val="007B37CB"/>
    <w:rsid w:val="007B62F8"/>
    <w:rsid w:val="007B6E26"/>
    <w:rsid w:val="007B730B"/>
    <w:rsid w:val="007C279A"/>
    <w:rsid w:val="007C2C9A"/>
    <w:rsid w:val="007C68B6"/>
    <w:rsid w:val="007D06DC"/>
    <w:rsid w:val="007D1C6C"/>
    <w:rsid w:val="007D5D30"/>
    <w:rsid w:val="007E3E33"/>
    <w:rsid w:val="007E6690"/>
    <w:rsid w:val="007F2140"/>
    <w:rsid w:val="007F5211"/>
    <w:rsid w:val="00802259"/>
    <w:rsid w:val="008110B2"/>
    <w:rsid w:val="00815894"/>
    <w:rsid w:val="00826EBF"/>
    <w:rsid w:val="00827C74"/>
    <w:rsid w:val="00834943"/>
    <w:rsid w:val="0083541B"/>
    <w:rsid w:val="008401F9"/>
    <w:rsid w:val="0084434C"/>
    <w:rsid w:val="00844D8A"/>
    <w:rsid w:val="008461F9"/>
    <w:rsid w:val="00864095"/>
    <w:rsid w:val="00865A63"/>
    <w:rsid w:val="008700D2"/>
    <w:rsid w:val="00872BAF"/>
    <w:rsid w:val="008732EE"/>
    <w:rsid w:val="008832F9"/>
    <w:rsid w:val="00887805"/>
    <w:rsid w:val="008979EB"/>
    <w:rsid w:val="008A34B4"/>
    <w:rsid w:val="008A3B87"/>
    <w:rsid w:val="008A6BBA"/>
    <w:rsid w:val="008B15FC"/>
    <w:rsid w:val="008B61B5"/>
    <w:rsid w:val="008B7BB2"/>
    <w:rsid w:val="008C1B1D"/>
    <w:rsid w:val="008D1E0D"/>
    <w:rsid w:val="008E39E1"/>
    <w:rsid w:val="008E66DF"/>
    <w:rsid w:val="008F4932"/>
    <w:rsid w:val="009130C2"/>
    <w:rsid w:val="00915D5A"/>
    <w:rsid w:val="00920D57"/>
    <w:rsid w:val="009255AB"/>
    <w:rsid w:val="00926BDE"/>
    <w:rsid w:val="00927E6A"/>
    <w:rsid w:val="009316E6"/>
    <w:rsid w:val="00936BF0"/>
    <w:rsid w:val="00942CDF"/>
    <w:rsid w:val="00945A38"/>
    <w:rsid w:val="009519E3"/>
    <w:rsid w:val="009523BC"/>
    <w:rsid w:val="00953344"/>
    <w:rsid w:val="009537CD"/>
    <w:rsid w:val="00960CF0"/>
    <w:rsid w:val="00962D3B"/>
    <w:rsid w:val="0096491E"/>
    <w:rsid w:val="00972191"/>
    <w:rsid w:val="00974044"/>
    <w:rsid w:val="00976C10"/>
    <w:rsid w:val="00981EA2"/>
    <w:rsid w:val="009872FB"/>
    <w:rsid w:val="00990FC8"/>
    <w:rsid w:val="00991585"/>
    <w:rsid w:val="00992718"/>
    <w:rsid w:val="009A3F4B"/>
    <w:rsid w:val="009A4C27"/>
    <w:rsid w:val="009A69A3"/>
    <w:rsid w:val="009A7649"/>
    <w:rsid w:val="009B459F"/>
    <w:rsid w:val="009B4891"/>
    <w:rsid w:val="009C3B5A"/>
    <w:rsid w:val="009C7EBB"/>
    <w:rsid w:val="009D1F14"/>
    <w:rsid w:val="009D54D7"/>
    <w:rsid w:val="009D629C"/>
    <w:rsid w:val="009E1DC5"/>
    <w:rsid w:val="009E2344"/>
    <w:rsid w:val="009E666D"/>
    <w:rsid w:val="009E66AE"/>
    <w:rsid w:val="009F2D92"/>
    <w:rsid w:val="00A0021E"/>
    <w:rsid w:val="00A01D24"/>
    <w:rsid w:val="00A03F08"/>
    <w:rsid w:val="00A04614"/>
    <w:rsid w:val="00A049D6"/>
    <w:rsid w:val="00A11FE6"/>
    <w:rsid w:val="00A21F4F"/>
    <w:rsid w:val="00A357C2"/>
    <w:rsid w:val="00A3632C"/>
    <w:rsid w:val="00A36BC9"/>
    <w:rsid w:val="00A37BFA"/>
    <w:rsid w:val="00A500BE"/>
    <w:rsid w:val="00A50650"/>
    <w:rsid w:val="00A56C4D"/>
    <w:rsid w:val="00A61E04"/>
    <w:rsid w:val="00A6450E"/>
    <w:rsid w:val="00A6672D"/>
    <w:rsid w:val="00A66B72"/>
    <w:rsid w:val="00A67D11"/>
    <w:rsid w:val="00A70DB2"/>
    <w:rsid w:val="00A730A4"/>
    <w:rsid w:val="00A80E1B"/>
    <w:rsid w:val="00A83A7C"/>
    <w:rsid w:val="00A85593"/>
    <w:rsid w:val="00A91ECD"/>
    <w:rsid w:val="00A97A32"/>
    <w:rsid w:val="00AA13BD"/>
    <w:rsid w:val="00AA6401"/>
    <w:rsid w:val="00AB1938"/>
    <w:rsid w:val="00AB446A"/>
    <w:rsid w:val="00AB6453"/>
    <w:rsid w:val="00AC0691"/>
    <w:rsid w:val="00AC0ECF"/>
    <w:rsid w:val="00AC202D"/>
    <w:rsid w:val="00AC372B"/>
    <w:rsid w:val="00AE7772"/>
    <w:rsid w:val="00AF21D1"/>
    <w:rsid w:val="00AF4DB4"/>
    <w:rsid w:val="00AF5303"/>
    <w:rsid w:val="00AF6207"/>
    <w:rsid w:val="00AF7D3C"/>
    <w:rsid w:val="00B068DA"/>
    <w:rsid w:val="00B077CF"/>
    <w:rsid w:val="00B1116C"/>
    <w:rsid w:val="00B137B4"/>
    <w:rsid w:val="00B24A07"/>
    <w:rsid w:val="00B262B2"/>
    <w:rsid w:val="00B35868"/>
    <w:rsid w:val="00B47165"/>
    <w:rsid w:val="00B475BF"/>
    <w:rsid w:val="00B518B3"/>
    <w:rsid w:val="00B60419"/>
    <w:rsid w:val="00B63961"/>
    <w:rsid w:val="00B65C5D"/>
    <w:rsid w:val="00B7762B"/>
    <w:rsid w:val="00B928AF"/>
    <w:rsid w:val="00B95745"/>
    <w:rsid w:val="00BA342A"/>
    <w:rsid w:val="00BA5D84"/>
    <w:rsid w:val="00BB37E4"/>
    <w:rsid w:val="00BC7463"/>
    <w:rsid w:val="00BD4BC3"/>
    <w:rsid w:val="00BE3BD3"/>
    <w:rsid w:val="00BF0552"/>
    <w:rsid w:val="00BF28EE"/>
    <w:rsid w:val="00BF62F9"/>
    <w:rsid w:val="00C061DD"/>
    <w:rsid w:val="00C06C69"/>
    <w:rsid w:val="00C12A10"/>
    <w:rsid w:val="00C20463"/>
    <w:rsid w:val="00C33F2A"/>
    <w:rsid w:val="00C36059"/>
    <w:rsid w:val="00C403BA"/>
    <w:rsid w:val="00C41E08"/>
    <w:rsid w:val="00C42F01"/>
    <w:rsid w:val="00C46B5E"/>
    <w:rsid w:val="00C651CE"/>
    <w:rsid w:val="00C7182C"/>
    <w:rsid w:val="00C71C37"/>
    <w:rsid w:val="00C73267"/>
    <w:rsid w:val="00C75878"/>
    <w:rsid w:val="00C772CA"/>
    <w:rsid w:val="00C86652"/>
    <w:rsid w:val="00C86B17"/>
    <w:rsid w:val="00C93936"/>
    <w:rsid w:val="00CA19B7"/>
    <w:rsid w:val="00CA48E0"/>
    <w:rsid w:val="00CB2CD3"/>
    <w:rsid w:val="00CB38B8"/>
    <w:rsid w:val="00CB6FB3"/>
    <w:rsid w:val="00CD0C9F"/>
    <w:rsid w:val="00CD784C"/>
    <w:rsid w:val="00CE10A1"/>
    <w:rsid w:val="00CE12BB"/>
    <w:rsid w:val="00CE2CF3"/>
    <w:rsid w:val="00CF41F7"/>
    <w:rsid w:val="00CF5E50"/>
    <w:rsid w:val="00D00972"/>
    <w:rsid w:val="00D031F0"/>
    <w:rsid w:val="00D033C6"/>
    <w:rsid w:val="00D053C5"/>
    <w:rsid w:val="00D06E67"/>
    <w:rsid w:val="00D114E4"/>
    <w:rsid w:val="00D11924"/>
    <w:rsid w:val="00D13102"/>
    <w:rsid w:val="00D32969"/>
    <w:rsid w:val="00D33BE6"/>
    <w:rsid w:val="00D408CF"/>
    <w:rsid w:val="00D45BD0"/>
    <w:rsid w:val="00D54DE0"/>
    <w:rsid w:val="00D57FF0"/>
    <w:rsid w:val="00D634D8"/>
    <w:rsid w:val="00D8058E"/>
    <w:rsid w:val="00D840DE"/>
    <w:rsid w:val="00D84684"/>
    <w:rsid w:val="00DA0042"/>
    <w:rsid w:val="00DA36A0"/>
    <w:rsid w:val="00DB5F42"/>
    <w:rsid w:val="00DC4C83"/>
    <w:rsid w:val="00DC68E1"/>
    <w:rsid w:val="00DD0AB3"/>
    <w:rsid w:val="00DD1337"/>
    <w:rsid w:val="00DD3436"/>
    <w:rsid w:val="00DE2624"/>
    <w:rsid w:val="00DE5117"/>
    <w:rsid w:val="00DF494B"/>
    <w:rsid w:val="00DF4EF9"/>
    <w:rsid w:val="00DF6665"/>
    <w:rsid w:val="00E01765"/>
    <w:rsid w:val="00E01929"/>
    <w:rsid w:val="00E02650"/>
    <w:rsid w:val="00E07718"/>
    <w:rsid w:val="00E12A00"/>
    <w:rsid w:val="00E1532E"/>
    <w:rsid w:val="00E15BD0"/>
    <w:rsid w:val="00E2394C"/>
    <w:rsid w:val="00E24BA8"/>
    <w:rsid w:val="00E30FFD"/>
    <w:rsid w:val="00E325A1"/>
    <w:rsid w:val="00E33F9A"/>
    <w:rsid w:val="00E433F5"/>
    <w:rsid w:val="00E434E6"/>
    <w:rsid w:val="00E51072"/>
    <w:rsid w:val="00E535D0"/>
    <w:rsid w:val="00E53E6B"/>
    <w:rsid w:val="00E56D27"/>
    <w:rsid w:val="00E60C99"/>
    <w:rsid w:val="00E6278D"/>
    <w:rsid w:val="00E8448C"/>
    <w:rsid w:val="00E9178F"/>
    <w:rsid w:val="00E9718F"/>
    <w:rsid w:val="00EA06EC"/>
    <w:rsid w:val="00EA2B53"/>
    <w:rsid w:val="00EA31C2"/>
    <w:rsid w:val="00EA3DED"/>
    <w:rsid w:val="00EB236F"/>
    <w:rsid w:val="00EB2BB2"/>
    <w:rsid w:val="00EB4C83"/>
    <w:rsid w:val="00EB5E87"/>
    <w:rsid w:val="00EB75EA"/>
    <w:rsid w:val="00EC4DCD"/>
    <w:rsid w:val="00EC5764"/>
    <w:rsid w:val="00EC6F19"/>
    <w:rsid w:val="00F0013D"/>
    <w:rsid w:val="00F031CC"/>
    <w:rsid w:val="00F0569C"/>
    <w:rsid w:val="00F10174"/>
    <w:rsid w:val="00F10929"/>
    <w:rsid w:val="00F1125D"/>
    <w:rsid w:val="00F13B95"/>
    <w:rsid w:val="00F15CF7"/>
    <w:rsid w:val="00F16821"/>
    <w:rsid w:val="00F2171B"/>
    <w:rsid w:val="00F26838"/>
    <w:rsid w:val="00F27E16"/>
    <w:rsid w:val="00F40AC3"/>
    <w:rsid w:val="00F46148"/>
    <w:rsid w:val="00F54CCE"/>
    <w:rsid w:val="00F57A8A"/>
    <w:rsid w:val="00F67782"/>
    <w:rsid w:val="00F708A6"/>
    <w:rsid w:val="00F71D96"/>
    <w:rsid w:val="00F7222B"/>
    <w:rsid w:val="00F74611"/>
    <w:rsid w:val="00F74678"/>
    <w:rsid w:val="00F83A6F"/>
    <w:rsid w:val="00F845F4"/>
    <w:rsid w:val="00F86863"/>
    <w:rsid w:val="00F910D5"/>
    <w:rsid w:val="00F930FD"/>
    <w:rsid w:val="00F96CFF"/>
    <w:rsid w:val="00F97E7B"/>
    <w:rsid w:val="00FA2BC8"/>
    <w:rsid w:val="00FA403B"/>
    <w:rsid w:val="00FA73B6"/>
    <w:rsid w:val="00FB0441"/>
    <w:rsid w:val="00FB62E5"/>
    <w:rsid w:val="00FC01F8"/>
    <w:rsid w:val="00FC4E61"/>
    <w:rsid w:val="00FD34FA"/>
    <w:rsid w:val="00FD4F11"/>
    <w:rsid w:val="00FD674C"/>
    <w:rsid w:val="00FD74D6"/>
    <w:rsid w:val="00FE0078"/>
    <w:rsid w:val="00FE2219"/>
    <w:rsid w:val="00FE229F"/>
    <w:rsid w:val="00FE285C"/>
    <w:rsid w:val="00FE4EB7"/>
    <w:rsid w:val="00FE56FD"/>
    <w:rsid w:val="00FF0FE0"/>
    <w:rsid w:val="00FF227E"/>
    <w:rsid w:val="00FF2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DF494B"/>
    <w:pPr>
      <w:spacing w:after="113" w:line="240" w:lineRule="atLeast"/>
    </w:pPr>
    <w:rPr>
      <w:rFonts w:ascii="Calibri" w:hAnsi="Calibri"/>
      <w:sz w:val="21"/>
      <w:szCs w:val="24"/>
      <w:lang w:eastAsia="en-US"/>
    </w:rPr>
  </w:style>
  <w:style w:type="paragraph" w:styleId="Heading1">
    <w:name w:val="heading 1"/>
    <w:basedOn w:val="Normal"/>
    <w:next w:val="Normal"/>
    <w:qFormat/>
    <w:rsid w:val="00C71C37"/>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0A1A91"/>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3011A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36"/>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C71C37"/>
    <w:pPr>
      <w:numPr>
        <w:numId w:val="29"/>
      </w:numPr>
      <w:ind w:left="357" w:hanging="357"/>
    </w:pPr>
  </w:style>
  <w:style w:type="paragraph" w:styleId="ListBullet2">
    <w:name w:val="List Bullet 2"/>
    <w:basedOn w:val="Normal"/>
    <w:qFormat/>
    <w:rsid w:val="00C71C37"/>
    <w:pPr>
      <w:numPr>
        <w:numId w:val="31"/>
      </w:numPr>
      <w:spacing w:after="100"/>
      <w:ind w:left="641" w:hanging="357"/>
    </w:pPr>
  </w:style>
  <w:style w:type="paragraph" w:styleId="ListBullet3">
    <w:name w:val="List Bullet 3"/>
    <w:basedOn w:val="Normal"/>
    <w:qFormat/>
    <w:rsid w:val="003F3A22"/>
    <w:pPr>
      <w:numPr>
        <w:numId w:val="3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F3A22"/>
    <w:pPr>
      <w:numPr>
        <w:numId w:val="30"/>
      </w:numPr>
    </w:pPr>
  </w:style>
  <w:style w:type="paragraph" w:styleId="ListNumber2">
    <w:name w:val="List Number 2"/>
    <w:basedOn w:val="Normal"/>
    <w:uiPriority w:val="1"/>
    <w:qFormat/>
    <w:rsid w:val="003F3A22"/>
    <w:pPr>
      <w:numPr>
        <w:numId w:val="33"/>
      </w:numPr>
    </w:pPr>
  </w:style>
  <w:style w:type="paragraph" w:styleId="ListNumber3">
    <w:name w:val="List Number 3"/>
    <w:basedOn w:val="Normal"/>
    <w:uiPriority w:val="1"/>
    <w:qFormat/>
    <w:rsid w:val="003F3A22"/>
    <w:pPr>
      <w:numPr>
        <w:numId w:val="3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A2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C71C37"/>
    <w:pPr>
      <w:tabs>
        <w:tab w:val="left" w:pos="284"/>
      </w:tabs>
      <w:spacing w:after="40"/>
      <w:ind w:left="284" w:hanging="284"/>
    </w:pPr>
    <w:rPr>
      <w:sz w:val="18"/>
      <w:szCs w:val="20"/>
    </w:rPr>
  </w:style>
  <w:style w:type="character" w:customStyle="1" w:styleId="FootnoteTextChar">
    <w:name w:val="Footnote Text Char"/>
    <w:link w:val="FootnoteText"/>
    <w:rsid w:val="00C71C37"/>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DF494B"/>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DF494B"/>
    <w:pPr>
      <w:spacing w:after="113" w:line="240" w:lineRule="atLeast"/>
    </w:pPr>
    <w:rPr>
      <w:rFonts w:ascii="Calibri" w:hAnsi="Calibri"/>
      <w:sz w:val="21"/>
      <w:szCs w:val="24"/>
      <w:lang w:eastAsia="en-US"/>
    </w:rPr>
  </w:style>
  <w:style w:type="paragraph" w:styleId="Heading1">
    <w:name w:val="heading 1"/>
    <w:basedOn w:val="Normal"/>
    <w:next w:val="Normal"/>
    <w:qFormat/>
    <w:rsid w:val="00C71C37"/>
    <w:pPr>
      <w:keepNext/>
      <w:spacing w:before="200" w:after="120" w:line="264" w:lineRule="auto"/>
      <w:outlineLvl w:val="0"/>
    </w:pPr>
    <w:rPr>
      <w:rFonts w:cs="Arial"/>
      <w:bCs/>
      <w:color w:val="228591"/>
      <w:kern w:val="32"/>
      <w:sz w:val="37"/>
      <w:szCs w:val="32"/>
    </w:rPr>
  </w:style>
  <w:style w:type="paragraph" w:styleId="Heading2">
    <w:name w:val="heading 2"/>
    <w:basedOn w:val="Normal"/>
    <w:next w:val="Normal"/>
    <w:qFormat/>
    <w:rsid w:val="000A1A91"/>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3011A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rsid w:val="003F3A22"/>
    <w:pPr>
      <w:numPr>
        <w:ilvl w:val="1"/>
        <w:numId w:val="36"/>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F3A2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3F3A2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3F3A22"/>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C71C37"/>
    <w:pPr>
      <w:numPr>
        <w:numId w:val="29"/>
      </w:numPr>
      <w:ind w:left="357" w:hanging="357"/>
    </w:pPr>
  </w:style>
  <w:style w:type="paragraph" w:styleId="ListBullet2">
    <w:name w:val="List Bullet 2"/>
    <w:basedOn w:val="Normal"/>
    <w:qFormat/>
    <w:rsid w:val="00C71C37"/>
    <w:pPr>
      <w:numPr>
        <w:numId w:val="31"/>
      </w:numPr>
      <w:spacing w:after="100"/>
      <w:ind w:left="641" w:hanging="357"/>
    </w:pPr>
  </w:style>
  <w:style w:type="paragraph" w:styleId="ListBullet3">
    <w:name w:val="List Bullet 3"/>
    <w:basedOn w:val="Normal"/>
    <w:qFormat/>
    <w:rsid w:val="003F3A22"/>
    <w:pPr>
      <w:numPr>
        <w:numId w:val="3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3F3A22"/>
    <w:pPr>
      <w:numPr>
        <w:numId w:val="30"/>
      </w:numPr>
    </w:pPr>
  </w:style>
  <w:style w:type="paragraph" w:styleId="ListNumber2">
    <w:name w:val="List Number 2"/>
    <w:basedOn w:val="Normal"/>
    <w:uiPriority w:val="1"/>
    <w:qFormat/>
    <w:rsid w:val="003F3A22"/>
    <w:pPr>
      <w:numPr>
        <w:numId w:val="33"/>
      </w:numPr>
    </w:pPr>
  </w:style>
  <w:style w:type="paragraph" w:styleId="ListNumber3">
    <w:name w:val="List Number 3"/>
    <w:basedOn w:val="Normal"/>
    <w:uiPriority w:val="1"/>
    <w:qFormat/>
    <w:rsid w:val="003F3A22"/>
    <w:pPr>
      <w:numPr>
        <w:numId w:val="3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A2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C71C37"/>
    <w:pPr>
      <w:tabs>
        <w:tab w:val="left" w:pos="284"/>
      </w:tabs>
      <w:spacing w:after="40"/>
      <w:ind w:left="284" w:hanging="284"/>
    </w:pPr>
    <w:rPr>
      <w:sz w:val="18"/>
      <w:szCs w:val="20"/>
    </w:rPr>
  </w:style>
  <w:style w:type="character" w:customStyle="1" w:styleId="FootnoteTextChar">
    <w:name w:val="Footnote Text Char"/>
    <w:link w:val="FootnoteText"/>
    <w:rsid w:val="00C71C37"/>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3F3A22"/>
    <w:pPr>
      <w:ind w:left="720"/>
      <w:contextualSpacing/>
    </w:pPr>
  </w:style>
  <w:style w:type="character" w:customStyle="1" w:styleId="Emphasis-Bold">
    <w:name w:val="Emphasis - Bold"/>
    <w:qFormat/>
    <w:rsid w:val="003F3A22"/>
    <w:rPr>
      <w:rFonts w:ascii="Arial" w:hAnsi="Arial" w:cs="Arial"/>
      <w:b/>
      <w:color w:val="000000"/>
    </w:rPr>
  </w:style>
  <w:style w:type="paragraph" w:customStyle="1" w:styleId="Indent-05hangingPM">
    <w:name w:val="Indent - 0.5 hanging (PM)"/>
    <w:basedOn w:val="Normal"/>
    <w:qFormat/>
    <w:rsid w:val="003F3A22"/>
    <w:pPr>
      <w:ind w:left="709" w:hanging="709"/>
    </w:pPr>
  </w:style>
  <w:style w:type="character" w:customStyle="1" w:styleId="Emphasis-Italics">
    <w:name w:val="Emphasis - Italics"/>
    <w:rsid w:val="003F3A22"/>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3F3A22"/>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915D5A"/>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915D5A"/>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DF494B"/>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onboard" TargetMode="External"/><Relationship Id="rId18" Type="http://schemas.openxmlformats.org/officeDocument/2006/relationships/hyperlink" Target="http://www.relayservice.com.au" TargetMode="External"/><Relationship Id="rId26" Type="http://schemas.openxmlformats.org/officeDocument/2006/relationships/hyperlink" Target="http://www.delwp.vic.gov.au/onboard" TargetMode="Externa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vpsc.vic.gov.au/products/view-products/directors-code-of-conduct-and-guidance-notes.html" TargetMode="External"/><Relationship Id="rId17" Type="http://schemas.openxmlformats.org/officeDocument/2006/relationships/hyperlink" Target="mailto:customer.service@delwp.vic.gov.au" TargetMode="External"/><Relationship Id="rId25" Type="http://schemas.openxmlformats.org/officeDocument/2006/relationships/hyperlink" Target="http://www.delwp.vic.gov.a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elwp.vic.gov.au/onboard" TargetMode="External"/><Relationship Id="rId20" Type="http://schemas.openxmlformats.org/officeDocument/2006/relationships/hyperlink" Target="http://www.delwp.vic.gov.au/onboar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psc.vic.gov.au/products/view-products/directors-code-of-conduct-and-guidance-notes.html" TargetMode="External"/><Relationship Id="rId24" Type="http://schemas.openxmlformats.org/officeDocument/2006/relationships/hyperlink" Target="http://www.relayservice.com.a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epi.vic.gov.au/about-us/boards-and-governance/on-board-governance-guides-and-resources/conflict-of-interest" TargetMode="External"/><Relationship Id="rId23" Type="http://schemas.openxmlformats.org/officeDocument/2006/relationships/hyperlink" Target="mailto:customer.service@delwp.vic.gov.au" TargetMode="External"/><Relationship Id="rId28" Type="http://schemas.openxmlformats.org/officeDocument/2006/relationships/hyperlink" Target="http://creativecommons.org/licenses/by/4.0/" TargetMode="External"/><Relationship Id="rId36" Type="http://schemas.openxmlformats.org/officeDocument/2006/relationships/theme" Target="theme/theme1.xml"/><Relationship Id="rId10" Type="http://schemas.openxmlformats.org/officeDocument/2006/relationships/hyperlink" Target="http://www.delwp.vic.gov.au/onboard" TargetMode="External"/><Relationship Id="rId19" Type="http://schemas.openxmlformats.org/officeDocument/2006/relationships/hyperlink" Target="http://www.delwp.vic.gov.a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pi.vic.gov.au/about-us/boards-and-governance/on-board-governance-guides-and-resources/conflict-of-interest" TargetMode="External"/><Relationship Id="rId14" Type="http://schemas.openxmlformats.org/officeDocument/2006/relationships/hyperlink" Target="http://www.depi.vic.gov.au/about-us/boards-and-governance/on-board-governance-guides-and-resources/conflict-of-interest" TargetMode="External"/><Relationship Id="rId22" Type="http://schemas.openxmlformats.org/officeDocument/2006/relationships/hyperlink" Target="http://creativecommons.org/licenses/by/4.0/" TargetMode="External"/><Relationship Id="rId27" Type="http://schemas.openxmlformats.org/officeDocument/2006/relationships/image" Target="media/image10.emf"/><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A5AA-2DB8-4951-A6FF-199F78DD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8</Pages>
  <Words>3048</Words>
  <Characters>16434</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vt:lpstr>
      <vt:lpstr>1.	Scope</vt:lpstr>
      <vt:lpstr>2.	Key principles</vt:lpstr>
      <vt:lpstr>3.	Definitions</vt:lpstr>
      <vt:lpstr>    Conflict of interest</vt:lpstr>
      <vt:lpstr>    Conflict of duty</vt:lpstr>
      <vt:lpstr>    How broad is the definition? </vt:lpstr>
      <vt:lpstr>        Real, potential or perceived</vt:lpstr>
      <vt:lpstr>        Direct or indirect</vt:lpstr>
      <vt:lpstr>        Pecuniary or non-pecuniary</vt:lpstr>
      <vt:lpstr>4.	Annual Declaration of Private Interests</vt:lpstr>
      <vt:lpstr>5.	Register of Interests</vt:lpstr>
      <vt:lpstr>    Confirmation of register at start of board meeting</vt:lpstr>
      <vt:lpstr>    Updating the register</vt:lpstr>
      <vt:lpstr>6.	Declaring conflicts of interest at the start of a meeting</vt:lpstr>
      <vt:lpstr>7.	Options for managing a conflict of interest</vt:lpstr>
      <vt:lpstr>8.	Is the conflict material?</vt:lpstr>
      <vt:lpstr>9.	Managing material conflicts of interest </vt:lpstr>
      <vt:lpstr>    Stronger option for managing a material conflict </vt:lpstr>
      <vt:lpstr>    Lesser options for managing a material conflict </vt:lpstr>
      <vt:lpstr>        Examples</vt:lpstr>
      <vt:lpstr>10.	Managing non-material conflicts of interest</vt:lpstr>
      <vt:lpstr>11.	Recording in minutes</vt:lpstr>
      <vt:lpstr>12.	Breach of this policy</vt:lpstr>
      <vt:lpstr>13.	Obligations and good practice</vt:lpstr>
      <vt:lpstr>14.	Regular review of this policy</vt:lpstr>
      <vt:lpstr>15.	Related policies</vt:lpstr>
      <vt:lpstr>16.	Further information</vt:lpstr>
      <vt:lpstr>Appendix 1: Annual Declaration of Private Interests (DOPI) </vt:lpstr>
      <vt:lpstr>Appendix 2: Register of Interests template</vt:lpstr>
    </vt:vector>
  </TitlesOfParts>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2015-09-11T00:12:00Z</dcterms:created>
  <dcterms:modified xsi:type="dcterms:W3CDTF">2015-09-11T00:12:00Z</dcterms:modified>
</cp:coreProperties>
</file>