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FA" w:rsidRDefault="004711FA" w:rsidP="00871025">
      <w:pPr>
        <w:spacing w:line="360" w:lineRule="auto"/>
        <w:jc w:val="both"/>
      </w:pPr>
      <w:bookmarkStart w:id="0" w:name="EnvironmentalImpactArea"/>
      <w:r>
        <w:t>The Department</w:t>
      </w:r>
      <w:r w:rsidRPr="000612AA">
        <w:t xml:space="preserve"> </w:t>
      </w:r>
      <w:r w:rsidR="00A34556">
        <w:t xml:space="preserve">of Environment, Land, Water and Planning </w:t>
      </w:r>
      <w:r w:rsidR="001603E3">
        <w:t>(</w:t>
      </w:r>
      <w:proofErr w:type="spellStart"/>
      <w:r w:rsidR="001603E3">
        <w:t>DELWP</w:t>
      </w:r>
      <w:proofErr w:type="spellEnd"/>
      <w:r w:rsidR="001603E3">
        <w:t xml:space="preserve">) </w:t>
      </w:r>
      <w:r w:rsidRPr="000612AA">
        <w:t xml:space="preserve">does not tolerate corrupt conduct, maladministration, mismanagement of public money, government </w:t>
      </w:r>
      <w:r w:rsidRPr="00707955">
        <w:t xml:space="preserve">information contravention, and other forms of wrongdoing. Suppliers </w:t>
      </w:r>
      <w:r w:rsidR="00B20E1C" w:rsidRPr="00707955">
        <w:t>must</w:t>
      </w:r>
      <w:r w:rsidRPr="00707955">
        <w:t xml:space="preserve"> ensure that they and their employees, workers, representatives</w:t>
      </w:r>
      <w:r w:rsidRPr="008772B3">
        <w:t xml:space="preserve">, suppliers and subcontractors comply with the standards of conduct set out in the </w:t>
      </w:r>
      <w:r w:rsidR="00B20E1C">
        <w:t>Guide</w:t>
      </w:r>
      <w:r w:rsidRPr="008772B3">
        <w:t xml:space="preserve"> and in other contractual obligations to the</w:t>
      </w:r>
      <w:r w:rsidRPr="00360E05">
        <w:t xml:space="preserve"> Department</w:t>
      </w:r>
      <w:r w:rsidRPr="008772B3">
        <w:t>.</w:t>
      </w:r>
    </w:p>
    <w:p w:rsidR="004711FA" w:rsidRPr="008772B3" w:rsidRDefault="004711FA" w:rsidP="00871025">
      <w:pPr>
        <w:pStyle w:val="Heading1"/>
        <w:spacing w:before="0" w:after="120" w:line="360" w:lineRule="auto"/>
        <w:jc w:val="both"/>
        <w:rPr>
          <w:color w:val="228591"/>
          <w:sz w:val="24"/>
        </w:rPr>
      </w:pPr>
      <w:r w:rsidRPr="008772B3">
        <w:rPr>
          <w:color w:val="228591"/>
          <w:sz w:val="24"/>
        </w:rPr>
        <w:t>Responsibilities of Suppliers</w:t>
      </w:r>
    </w:p>
    <w:tbl>
      <w:tblPr>
        <w:tblStyle w:val="MediumShading1-Accent5"/>
        <w:tblW w:w="0" w:type="auto"/>
        <w:tblLook w:val="04A0" w:firstRow="1" w:lastRow="0" w:firstColumn="1" w:lastColumn="0" w:noHBand="0" w:noVBand="1"/>
      </w:tblPr>
      <w:tblGrid>
        <w:gridCol w:w="3510"/>
        <w:gridCol w:w="6345"/>
      </w:tblGrid>
      <w:tr w:rsidR="004711FA" w:rsidTr="00262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711FA" w:rsidRDefault="004711FA" w:rsidP="001603E3">
            <w:pPr>
              <w:spacing w:before="240" w:after="0" w:line="276" w:lineRule="auto"/>
              <w:jc w:val="both"/>
            </w:pPr>
            <w:r>
              <w:t>RESPONSIBLE AREA</w:t>
            </w:r>
          </w:p>
        </w:tc>
        <w:tc>
          <w:tcPr>
            <w:tcW w:w="6345" w:type="dxa"/>
          </w:tcPr>
          <w:p w:rsidR="004711FA" w:rsidRDefault="004711FA" w:rsidP="001603E3">
            <w:pPr>
              <w:spacing w:before="240" w:after="0" w:line="276" w:lineRule="auto"/>
              <w:jc w:val="center"/>
              <w:cnfStyle w:val="100000000000" w:firstRow="1" w:lastRow="0" w:firstColumn="0" w:lastColumn="0" w:oddVBand="0" w:evenVBand="0" w:oddHBand="0" w:evenHBand="0" w:firstRowFirstColumn="0" w:firstRowLastColumn="0" w:lastRowFirstColumn="0" w:lastRowLastColumn="0"/>
            </w:pPr>
            <w:r>
              <w:t>RESPONSIBILITIES</w:t>
            </w:r>
          </w:p>
        </w:tc>
      </w:tr>
      <w:tr w:rsidR="004711FA" w:rsidTr="00262D50">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Fair Employment Practices</w:t>
            </w:r>
          </w:p>
        </w:tc>
        <w:tc>
          <w:tcPr>
            <w:tcW w:w="6345" w:type="dxa"/>
            <w:vAlign w:val="center"/>
          </w:tcPr>
          <w:p w:rsidR="004711FA" w:rsidRPr="00871025" w:rsidRDefault="004711FA" w:rsidP="001603E3">
            <w:pPr>
              <w:pStyle w:val="ListParagraph"/>
              <w:numPr>
                <w:ilvl w:val="0"/>
                <w:numId w:val="2"/>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Observe applicable laws and regulations governing wages and hours</w:t>
            </w:r>
          </w:p>
          <w:p w:rsidR="004711FA" w:rsidRPr="00871025" w:rsidRDefault="004711FA" w:rsidP="001603E3">
            <w:pPr>
              <w:pStyle w:val="ListParagraph"/>
              <w:numPr>
                <w:ilvl w:val="0"/>
                <w:numId w:val="2"/>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Allow workers to choose freely whether to organise or join associations for the purpose of collective bargaining as provided by local law or regulation</w:t>
            </w:r>
          </w:p>
          <w:p w:rsidR="004711FA" w:rsidRPr="00871025" w:rsidRDefault="004711FA" w:rsidP="001603E3">
            <w:pPr>
              <w:pStyle w:val="ListParagraph"/>
              <w:numPr>
                <w:ilvl w:val="0"/>
                <w:numId w:val="2"/>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Prohibit discrimination, harassment and retaliation</w:t>
            </w:r>
          </w:p>
        </w:tc>
      </w:tr>
      <w:tr w:rsidR="004711FA" w:rsidTr="00262D50">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Environment, Health &amp; Safety</w:t>
            </w:r>
          </w:p>
        </w:tc>
        <w:tc>
          <w:tcPr>
            <w:tcW w:w="6345" w:type="dxa"/>
            <w:vAlign w:val="center"/>
          </w:tcPr>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Comply with applicable environmental laws and regulations</w:t>
            </w:r>
          </w:p>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Provide workers a safe and healthy workplace</w:t>
            </w:r>
          </w:p>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Not to adversely affect the local community</w:t>
            </w:r>
          </w:p>
        </w:tc>
      </w:tr>
      <w:tr w:rsidR="004711FA" w:rsidTr="00262D50">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Human Rights</w:t>
            </w:r>
          </w:p>
        </w:tc>
        <w:tc>
          <w:tcPr>
            <w:tcW w:w="6345" w:type="dxa"/>
            <w:vAlign w:val="center"/>
          </w:tcPr>
          <w:p w:rsidR="004711FA" w:rsidRPr="00871025" w:rsidRDefault="004711FA" w:rsidP="001603E3">
            <w:pPr>
              <w:pStyle w:val="ListParagraph"/>
              <w:numPr>
                <w:ilvl w:val="0"/>
                <w:numId w:val="3"/>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 xml:space="preserve">Respect human rights of their employees and others in their business operations and </w:t>
            </w:r>
            <w:r w:rsidR="00B20E1C" w:rsidRPr="00871025">
              <w:rPr>
                <w:sz w:val="22"/>
              </w:rPr>
              <w:t xml:space="preserve">their </w:t>
            </w:r>
            <w:r w:rsidRPr="00871025">
              <w:rPr>
                <w:sz w:val="22"/>
              </w:rPr>
              <w:t>activities for the Department</w:t>
            </w:r>
          </w:p>
        </w:tc>
      </w:tr>
      <w:tr w:rsidR="004711FA" w:rsidTr="00262D50">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Elimination of Child Labour</w:t>
            </w:r>
          </w:p>
        </w:tc>
        <w:tc>
          <w:tcPr>
            <w:tcW w:w="6345" w:type="dxa"/>
            <w:vAlign w:val="center"/>
          </w:tcPr>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The long-term elimination of child labour should take place in a manner consistent with the best interests of the children concerned</w:t>
            </w:r>
          </w:p>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Develop or participate in and contribute to policies and programmes that provide for the transition of any child found to be performing child labour to enable her or him to attend and remain in quality education until no longer a child</w:t>
            </w:r>
          </w:p>
        </w:tc>
      </w:tr>
      <w:tr w:rsidR="004711FA" w:rsidTr="00262D50">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Capability Building</w:t>
            </w:r>
          </w:p>
        </w:tc>
        <w:tc>
          <w:tcPr>
            <w:tcW w:w="6345" w:type="dxa"/>
            <w:vAlign w:val="center"/>
          </w:tcPr>
          <w:p w:rsidR="004711FA" w:rsidRPr="00871025" w:rsidRDefault="004711FA" w:rsidP="001603E3">
            <w:pPr>
              <w:pStyle w:val="ListParagraph"/>
              <w:numPr>
                <w:ilvl w:val="0"/>
                <w:numId w:val="3"/>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Raise employees’ skills through training and access to professional development as befits their role to improve quality and secure greater value for money</w:t>
            </w:r>
          </w:p>
        </w:tc>
      </w:tr>
      <w:tr w:rsidR="004711FA" w:rsidTr="00262D50">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Dealing with the Department</w:t>
            </w:r>
          </w:p>
        </w:tc>
        <w:tc>
          <w:tcPr>
            <w:tcW w:w="6345" w:type="dxa"/>
            <w:vAlign w:val="center"/>
          </w:tcPr>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Maintain and enforce a policy requiring adherence to lawful business practices, including a prohibition against bribery of government officials</w:t>
            </w:r>
          </w:p>
          <w:p w:rsidR="004711FA" w:rsidRPr="00871025"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 xml:space="preserve">Not to offer or provide, directly or indirectly, anything of value, including cash, bribes, gifts, entertainment or kickbacks, including offers of employment, or participation in </w:t>
            </w:r>
            <w:r w:rsidRPr="00871025">
              <w:rPr>
                <w:sz w:val="22"/>
              </w:rPr>
              <w:lastRenderedPageBreak/>
              <w:t xml:space="preserve">a game or promotion, to any Department’s employee, representative or to any government official in connection with </w:t>
            </w:r>
            <w:r w:rsidR="00B20E1C" w:rsidRPr="00871025">
              <w:rPr>
                <w:sz w:val="22"/>
              </w:rPr>
              <w:t>the</w:t>
            </w:r>
            <w:r w:rsidRPr="00871025">
              <w:rPr>
                <w:sz w:val="22"/>
              </w:rPr>
              <w:t xml:space="preserve"> Department’s procurement, transaction or business dealing</w:t>
            </w:r>
            <w:r w:rsidR="00B20E1C" w:rsidRPr="00871025">
              <w:rPr>
                <w:sz w:val="22"/>
              </w:rPr>
              <w:t>s</w:t>
            </w:r>
          </w:p>
          <w:p w:rsidR="004711FA" w:rsidRPr="00173DD8" w:rsidRDefault="004711FA" w:rsidP="001603E3">
            <w:pPr>
              <w:pStyle w:val="ListParagraph"/>
              <w:numPr>
                <w:ilvl w:val="0"/>
                <w:numId w:val="3"/>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Provide supporting data to the Department when requested</w:t>
            </w:r>
          </w:p>
        </w:tc>
      </w:tr>
      <w:tr w:rsidR="004711FA" w:rsidTr="00262D50">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lastRenderedPageBreak/>
              <w:t>Competition Law</w:t>
            </w:r>
          </w:p>
        </w:tc>
        <w:tc>
          <w:tcPr>
            <w:tcW w:w="6345" w:type="dxa"/>
            <w:vAlign w:val="center"/>
          </w:tcPr>
          <w:p w:rsidR="004711FA" w:rsidRPr="00871025" w:rsidRDefault="004711FA" w:rsidP="001603E3">
            <w:pPr>
              <w:pStyle w:val="ListParagraph"/>
              <w:numPr>
                <w:ilvl w:val="0"/>
                <w:numId w:val="4"/>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Not to share or exchange any price, cost or other competitive information or engage in any collusive conduct with any third party with respect to any proposed, pending or current Department</w:t>
            </w:r>
            <w:r w:rsidR="00B20E1C" w:rsidRPr="00871025">
              <w:rPr>
                <w:sz w:val="22"/>
              </w:rPr>
              <w:t>al</w:t>
            </w:r>
            <w:r w:rsidRPr="00871025">
              <w:rPr>
                <w:sz w:val="22"/>
              </w:rPr>
              <w:t xml:space="preserve"> procurement</w:t>
            </w:r>
          </w:p>
        </w:tc>
      </w:tr>
      <w:tr w:rsidR="004711FA" w:rsidTr="00262D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Intellectual Property</w:t>
            </w:r>
          </w:p>
        </w:tc>
        <w:tc>
          <w:tcPr>
            <w:tcW w:w="6345" w:type="dxa"/>
            <w:vAlign w:val="center"/>
          </w:tcPr>
          <w:p w:rsidR="004711FA" w:rsidRPr="00871025" w:rsidRDefault="004711FA" w:rsidP="001603E3">
            <w:pPr>
              <w:pStyle w:val="ListParagraph"/>
              <w:numPr>
                <w:ilvl w:val="0"/>
                <w:numId w:val="4"/>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Respect the intellectual and other property rights of the Department and of third parties, including all patents, trademarks and copyrights</w:t>
            </w:r>
          </w:p>
        </w:tc>
      </w:tr>
      <w:tr w:rsidR="004711FA" w:rsidTr="00262D50">
        <w:trPr>
          <w:cnfStyle w:val="000000100000" w:firstRow="0" w:lastRow="0" w:firstColumn="0" w:lastColumn="0" w:oddVBand="0" w:evenVBand="0" w:oddHBand="1" w:evenHBand="0" w:firstRowFirstColumn="0" w:firstRowLastColumn="0" w:lastRowFirstColumn="0" w:lastRowLastColumn="0"/>
          <w:trHeight w:val="2576"/>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4711FA" w:rsidP="001603E3">
            <w:pPr>
              <w:spacing w:before="240" w:after="0" w:line="276" w:lineRule="auto"/>
              <w:rPr>
                <w:sz w:val="22"/>
              </w:rPr>
            </w:pPr>
            <w:r w:rsidRPr="00871025">
              <w:rPr>
                <w:sz w:val="22"/>
              </w:rPr>
              <w:t>Security and Privacy</w:t>
            </w:r>
          </w:p>
        </w:tc>
        <w:tc>
          <w:tcPr>
            <w:tcW w:w="6345" w:type="dxa"/>
            <w:vAlign w:val="center"/>
          </w:tcPr>
          <w:p w:rsidR="004711FA" w:rsidRPr="00871025" w:rsidRDefault="004711FA" w:rsidP="001603E3">
            <w:pPr>
              <w:pStyle w:val="ListParagraph"/>
              <w:numPr>
                <w:ilvl w:val="0"/>
                <w:numId w:val="4"/>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Respect privacy rights and secure the information and data of the Department</w:t>
            </w:r>
          </w:p>
          <w:p w:rsidR="004711FA" w:rsidRPr="00871025" w:rsidRDefault="004711FA" w:rsidP="001603E3">
            <w:pPr>
              <w:pStyle w:val="ListParagraph"/>
              <w:numPr>
                <w:ilvl w:val="0"/>
                <w:numId w:val="4"/>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Implement and maintain physical, organisational and technical measures to ensure the security and confidentiality of the Department’s information and data in order to prevent accidental, unauthorised or unlawful destruction, alteration, modification or loss of the information and data</w:t>
            </w:r>
          </w:p>
          <w:p w:rsidR="004711FA" w:rsidRPr="00871025" w:rsidRDefault="004711FA" w:rsidP="001603E3">
            <w:pPr>
              <w:pStyle w:val="ListParagraph"/>
              <w:numPr>
                <w:ilvl w:val="0"/>
                <w:numId w:val="4"/>
              </w:numPr>
              <w:spacing w:before="240" w:after="0" w:line="276" w:lineRule="auto"/>
              <w:ind w:left="601" w:hanging="425"/>
              <w:jc w:val="both"/>
              <w:cnfStyle w:val="000000100000" w:firstRow="0" w:lastRow="0" w:firstColumn="0" w:lastColumn="0" w:oddVBand="0" w:evenVBand="0" w:oddHBand="1" w:evenHBand="0" w:firstRowFirstColumn="0" w:firstRowLastColumn="0" w:lastRowFirstColumn="0" w:lastRowLastColumn="0"/>
              <w:rPr>
                <w:sz w:val="22"/>
              </w:rPr>
            </w:pPr>
            <w:r w:rsidRPr="00871025">
              <w:rPr>
                <w:sz w:val="22"/>
              </w:rPr>
              <w:t>Protect operations and facilities against exploitation by criminal or terrorist individuals and organisations</w:t>
            </w:r>
          </w:p>
        </w:tc>
      </w:tr>
      <w:tr w:rsidR="004711FA" w:rsidTr="00262D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711FA" w:rsidRPr="00871025" w:rsidRDefault="00B20E1C" w:rsidP="001603E3">
            <w:pPr>
              <w:spacing w:before="240" w:after="0" w:line="276" w:lineRule="auto"/>
              <w:rPr>
                <w:sz w:val="22"/>
              </w:rPr>
            </w:pPr>
            <w:r w:rsidRPr="00871025">
              <w:rPr>
                <w:sz w:val="22"/>
              </w:rPr>
              <w:t>Financial Accountability</w:t>
            </w:r>
          </w:p>
        </w:tc>
        <w:tc>
          <w:tcPr>
            <w:tcW w:w="6345" w:type="dxa"/>
            <w:vAlign w:val="center"/>
          </w:tcPr>
          <w:p w:rsidR="004711FA" w:rsidRPr="00871025" w:rsidRDefault="004711FA" w:rsidP="001603E3">
            <w:pPr>
              <w:pStyle w:val="ListParagraph"/>
              <w:numPr>
                <w:ilvl w:val="0"/>
                <w:numId w:val="4"/>
              </w:numPr>
              <w:spacing w:before="240" w:after="0" w:line="276" w:lineRule="auto"/>
              <w:ind w:left="601" w:hanging="425"/>
              <w:jc w:val="both"/>
              <w:cnfStyle w:val="000000010000" w:firstRow="0" w:lastRow="0" w:firstColumn="0" w:lastColumn="0" w:oddVBand="0" w:evenVBand="0" w:oddHBand="0" w:evenHBand="1" w:firstRowFirstColumn="0" w:firstRowLastColumn="0" w:lastRowFirstColumn="0" w:lastRowLastColumn="0"/>
              <w:rPr>
                <w:sz w:val="22"/>
              </w:rPr>
            </w:pPr>
            <w:r w:rsidRPr="00871025">
              <w:rPr>
                <w:sz w:val="22"/>
              </w:rPr>
              <w:t>Ensure that all invoices and any documentations submitted to the Department in connection with transactions involving the Department accurately describe the goods and services provided or delivered and the price thereof and ensure that all documents, communications and accounting are accurate and honest</w:t>
            </w:r>
          </w:p>
        </w:tc>
      </w:tr>
      <w:bookmarkEnd w:id="0"/>
    </w:tbl>
    <w:p w:rsidR="004711FA" w:rsidRDefault="004711FA" w:rsidP="00871025">
      <w:pPr>
        <w:pStyle w:val="Bullet"/>
        <w:numPr>
          <w:ilvl w:val="0"/>
          <w:numId w:val="0"/>
        </w:numPr>
        <w:spacing w:line="360" w:lineRule="auto"/>
        <w:jc w:val="both"/>
        <w:rPr>
          <w:bCs/>
          <w:i/>
        </w:rPr>
      </w:pPr>
    </w:p>
    <w:p w:rsidR="001603E3" w:rsidRDefault="001603E3" w:rsidP="00871025">
      <w:pPr>
        <w:pStyle w:val="Bullet"/>
        <w:numPr>
          <w:ilvl w:val="0"/>
          <w:numId w:val="0"/>
        </w:numPr>
        <w:spacing w:line="360" w:lineRule="auto"/>
        <w:jc w:val="both"/>
        <w:rPr>
          <w:bCs/>
        </w:rPr>
      </w:pPr>
      <w:r>
        <w:rPr>
          <w:bCs/>
        </w:rPr>
        <w:t xml:space="preserve">Should a supplier have a concern with the conduct of a procurement process or suspect corrupt conduct of </w:t>
      </w:r>
      <w:bookmarkStart w:id="1" w:name="_GoBack"/>
      <w:bookmarkEnd w:id="1"/>
      <w:r>
        <w:rPr>
          <w:bCs/>
        </w:rPr>
        <w:t>public sector officials or other suppliers, please contact the Chief Procurement Office</w:t>
      </w:r>
      <w:r w:rsidR="0072568C">
        <w:rPr>
          <w:bCs/>
        </w:rPr>
        <w:t>r</w:t>
      </w:r>
      <w:r>
        <w:rPr>
          <w:bCs/>
        </w:rPr>
        <w:t xml:space="preserve"> on (03) 9637 8672. If you wish to lodge a complaint outside of </w:t>
      </w:r>
      <w:proofErr w:type="spellStart"/>
      <w:r>
        <w:rPr>
          <w:bCs/>
        </w:rPr>
        <w:t>DELWP</w:t>
      </w:r>
      <w:proofErr w:type="spellEnd"/>
      <w:r>
        <w:rPr>
          <w:bCs/>
        </w:rPr>
        <w:t xml:space="preserve">, please refer your concern to </w:t>
      </w:r>
      <w:r w:rsidR="0072568C">
        <w:rPr>
          <w:bCs/>
        </w:rPr>
        <w:t xml:space="preserve">the </w:t>
      </w:r>
      <w:r>
        <w:rPr>
          <w:bCs/>
        </w:rPr>
        <w:t>Victorian Government Purchasing Board (</w:t>
      </w:r>
      <w:proofErr w:type="spellStart"/>
      <w:r>
        <w:rPr>
          <w:bCs/>
        </w:rPr>
        <w:t>VGPB</w:t>
      </w:r>
      <w:proofErr w:type="spellEnd"/>
      <w:r>
        <w:rPr>
          <w:bCs/>
        </w:rPr>
        <w:t>) on (03) 9651 1699, Victorian Ombudsman on (03) 9613 6222, or Independent Broad-based Anti-corruption Commission (</w:t>
      </w:r>
      <w:proofErr w:type="spellStart"/>
      <w:r>
        <w:rPr>
          <w:bCs/>
        </w:rPr>
        <w:t>IBAC</w:t>
      </w:r>
      <w:proofErr w:type="spellEnd"/>
      <w:r>
        <w:rPr>
          <w:bCs/>
        </w:rPr>
        <w:t>) on 1300 735 135.</w:t>
      </w:r>
    </w:p>
    <w:p w:rsidR="001603E3" w:rsidRDefault="001603E3" w:rsidP="00871025">
      <w:pPr>
        <w:pStyle w:val="Bullet"/>
        <w:numPr>
          <w:ilvl w:val="0"/>
          <w:numId w:val="0"/>
        </w:numPr>
        <w:spacing w:line="360" w:lineRule="auto"/>
        <w:jc w:val="both"/>
        <w:rPr>
          <w:bCs/>
        </w:rPr>
      </w:pPr>
    </w:p>
    <w:p w:rsidR="00A34556" w:rsidRPr="001603E3" w:rsidRDefault="00A34556" w:rsidP="00871025">
      <w:pPr>
        <w:pStyle w:val="Bullet"/>
        <w:numPr>
          <w:ilvl w:val="0"/>
          <w:numId w:val="0"/>
        </w:numPr>
        <w:spacing w:line="360" w:lineRule="auto"/>
        <w:jc w:val="both"/>
        <w:rPr>
          <w:bCs/>
        </w:rPr>
      </w:pPr>
    </w:p>
    <w:sectPr w:rsidR="00A34556" w:rsidRPr="001603E3" w:rsidSect="001603E3">
      <w:headerReference w:type="default" r:id="rId9"/>
      <w:footerReference w:type="default" r:id="rId10"/>
      <w:headerReference w:type="first" r:id="rId11"/>
      <w:footerReference w:type="first" r:id="rId12"/>
      <w:pgSz w:w="11907" w:h="16840" w:code="9"/>
      <w:pgMar w:top="2268" w:right="1134" w:bottom="567" w:left="1134" w:header="567"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51" w:rsidRDefault="00871025">
      <w:pPr>
        <w:spacing w:after="0"/>
      </w:pPr>
      <w:r>
        <w:separator/>
      </w:r>
    </w:p>
  </w:endnote>
  <w:endnote w:type="continuationSeparator" w:id="0">
    <w:p w:rsidR="00B60251" w:rsidRDefault="00871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eGothic-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24994"/>
      <w:docPartObj>
        <w:docPartGallery w:val="Page Numbers (Bottom of Page)"/>
        <w:docPartUnique/>
      </w:docPartObj>
    </w:sdtPr>
    <w:sdtEndPr>
      <w:rPr>
        <w:noProof/>
      </w:rPr>
    </w:sdtEndPr>
    <w:sdtContent>
      <w:p w:rsidR="00F61027" w:rsidRPr="001603E3" w:rsidRDefault="001603E3" w:rsidP="001603E3">
        <w:pPr>
          <w:pStyle w:val="Footer"/>
          <w:tabs>
            <w:tab w:val="clear" w:pos="4320"/>
            <w:tab w:val="clear" w:pos="8640"/>
            <w:tab w:val="center" w:pos="7230"/>
            <w:tab w:val="left" w:pos="7513"/>
            <w:tab w:val="right" w:pos="9498"/>
          </w:tabs>
          <w:ind w:left="2410" w:firstLine="2410"/>
          <w:jc w:val="right"/>
        </w:pPr>
        <w:r>
          <w:fldChar w:fldCharType="begin"/>
        </w:r>
        <w:r>
          <w:instrText xml:space="preserve"> PAGE   \* MERGEFORMAT </w:instrText>
        </w:r>
        <w:r>
          <w:fldChar w:fldCharType="separate"/>
        </w:r>
        <w:r w:rsidR="0072568C">
          <w:rPr>
            <w:noProof/>
          </w:rPr>
          <w:t>2</w:t>
        </w:r>
        <w:r>
          <w:rPr>
            <w:noProof/>
          </w:rPr>
          <w:fldChar w:fldCharType="end"/>
        </w:r>
        <w:r>
          <w:rPr>
            <w:noProof/>
          </w:rPr>
          <w:tab/>
          <w:t xml:space="preserve">                                  </w:t>
        </w:r>
        <w:r>
          <w:rPr>
            <w:noProof/>
            <w:lang w:eastAsia="en-AU"/>
          </w:rPr>
          <w:drawing>
            <wp:inline distT="0" distB="0" distL="0" distR="0" wp14:anchorId="7166BD09" wp14:editId="0D6F0685">
              <wp:extent cx="1867161" cy="58110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867161" cy="581106"/>
                      </a:xfrm>
                      <a:prstGeom prst="rect">
                        <a:avLst/>
                      </a:prstGeom>
                    </pic:spPr>
                  </pic:pic>
                </a:graphicData>
              </a:graphic>
            </wp:inline>
          </w:drawing>
        </w:r>
        <w:r>
          <w:rPr>
            <w:noProof/>
          </w:rPr>
          <w:tab/>
        </w:r>
        <w:r>
          <w:rPr>
            <w:noProof/>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27" w:rsidRDefault="00B20E1C" w:rsidP="002015AD">
    <w:pPr>
      <w:pStyle w:val="Footer"/>
    </w:pPr>
    <w:r>
      <w:rPr>
        <w:noProof/>
        <w:lang w:eastAsia="en-AU"/>
      </w:rPr>
      <w:drawing>
        <wp:anchor distT="0" distB="0" distL="114300" distR="114300" simplePos="0" relativeHeight="251661312" behindDoc="0" locked="0" layoutInCell="1" allowOverlap="1" wp14:anchorId="050CDD5F" wp14:editId="5995334B">
          <wp:simplePos x="0" y="0"/>
          <wp:positionH relativeFrom="column">
            <wp:posOffset>4568190</wp:posOffset>
          </wp:positionH>
          <wp:positionV relativeFrom="paragraph">
            <wp:posOffset>5080</wp:posOffset>
          </wp:positionV>
          <wp:extent cx="1924050" cy="429260"/>
          <wp:effectExtent l="0" t="0" r="0" b="8890"/>
          <wp:wrapNone/>
          <wp:docPr id="6" name="Picture 6"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29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51" w:rsidRDefault="00871025">
      <w:pPr>
        <w:spacing w:after="0"/>
      </w:pPr>
      <w:r>
        <w:separator/>
      </w:r>
    </w:p>
  </w:footnote>
  <w:footnote w:type="continuationSeparator" w:id="0">
    <w:p w:rsidR="00B60251" w:rsidRDefault="008710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8" w:type="dxa"/>
      <w:tblLook w:val="01E0" w:firstRow="1" w:lastRow="1" w:firstColumn="1" w:lastColumn="1" w:noHBand="0" w:noVBand="0"/>
    </w:tblPr>
    <w:tblGrid>
      <w:gridCol w:w="10108"/>
    </w:tblGrid>
    <w:tr w:rsidR="00F61027" w:rsidRPr="00F83A6F" w:rsidTr="001603E3">
      <w:trPr>
        <w:trHeight w:val="1286"/>
      </w:trPr>
      <w:tc>
        <w:tcPr>
          <w:tcW w:w="10108" w:type="dxa"/>
          <w:shd w:val="clear" w:color="auto" w:fill="auto"/>
          <w:vAlign w:val="bottom"/>
        </w:tcPr>
        <w:p w:rsidR="00F61027" w:rsidRPr="008110B2" w:rsidRDefault="00B20E1C" w:rsidP="001603E3">
          <w:pPr>
            <w:pStyle w:val="CertHDWhite"/>
            <w:tabs>
              <w:tab w:val="left" w:pos="7513"/>
            </w:tabs>
            <w:spacing w:before="240" w:line="240" w:lineRule="auto"/>
            <w:jc w:val="center"/>
            <w:rPr>
              <w:szCs w:val="40"/>
            </w:rPr>
          </w:pPr>
          <w:r>
            <w:rPr>
              <w:noProof/>
              <w:lang w:eastAsia="en-AU"/>
            </w:rPr>
            <w:drawing>
              <wp:anchor distT="0" distB="0" distL="114300" distR="114300" simplePos="0" relativeHeight="251659264" behindDoc="1" locked="0" layoutInCell="1" allowOverlap="1" wp14:anchorId="78B5AD9B" wp14:editId="6CD2135C">
                <wp:simplePos x="0" y="0"/>
                <wp:positionH relativeFrom="column">
                  <wp:posOffset>1905</wp:posOffset>
                </wp:positionH>
                <wp:positionV relativeFrom="page">
                  <wp:posOffset>0</wp:posOffset>
                </wp:positionV>
                <wp:extent cx="6191250" cy="809625"/>
                <wp:effectExtent l="0" t="0" r="0" b="9525"/>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t>Integrity in Procurement – Suppliers’ Guide</w:t>
          </w:r>
        </w:p>
      </w:tc>
    </w:tr>
  </w:tbl>
  <w:p w:rsidR="00F61027" w:rsidRDefault="0072568C" w:rsidP="00426C32">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27" w:rsidRDefault="00B20E1C" w:rsidP="0003050C">
    <w:pPr>
      <w:pStyle w:val="Header"/>
    </w:pPr>
    <w:r>
      <w:rPr>
        <w:noProof/>
        <w:lang w:eastAsia="en-AU"/>
      </w:rPr>
      <w:drawing>
        <wp:anchor distT="0" distB="0" distL="114300" distR="114300" simplePos="0" relativeHeight="251660288" behindDoc="1" locked="0" layoutInCell="1" allowOverlap="1" wp14:anchorId="6156DB0A" wp14:editId="5C1DFA01">
          <wp:simplePos x="0" y="0"/>
          <wp:positionH relativeFrom="column">
            <wp:posOffset>36266</wp:posOffset>
          </wp:positionH>
          <wp:positionV relativeFrom="paragraph">
            <wp:posOffset>237349</wp:posOffset>
          </wp:positionV>
          <wp:extent cx="6129866" cy="1805017"/>
          <wp:effectExtent l="0" t="0" r="4445" b="5080"/>
          <wp:wrapNone/>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866" cy="18050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929"/>
    <w:multiLevelType w:val="hybridMultilevel"/>
    <w:tmpl w:val="F914FE2E"/>
    <w:lvl w:ilvl="0" w:tplc="96F80BCA">
      <w:numFmt w:val="bullet"/>
      <w:lvlText w:val=""/>
      <w:lvlJc w:val="left"/>
      <w:pPr>
        <w:ind w:left="720" w:hanging="360"/>
      </w:pPr>
      <w:rPr>
        <w:rFonts w:ascii="Wingdings" w:eastAsia="Times New Roman" w:hAnsi="Wingdings" w:cs="TradeGothic-Light"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501275"/>
    <w:multiLevelType w:val="multilevel"/>
    <w:tmpl w:val="1F9018FC"/>
    <w:lvl w:ilvl="0">
      <w:start w:val="1"/>
      <w:numFmt w:val="bullet"/>
      <w:pStyle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nsid w:val="452155C9"/>
    <w:multiLevelType w:val="hybridMultilevel"/>
    <w:tmpl w:val="7388B8D8"/>
    <w:lvl w:ilvl="0" w:tplc="96F80BCA">
      <w:numFmt w:val="bullet"/>
      <w:lvlText w:val=""/>
      <w:lvlJc w:val="left"/>
      <w:pPr>
        <w:ind w:left="720" w:hanging="360"/>
      </w:pPr>
      <w:rPr>
        <w:rFonts w:ascii="Wingdings" w:eastAsia="Times New Roman" w:hAnsi="Wingdings" w:cs="TradeGothic-Light"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E1B031C"/>
    <w:multiLevelType w:val="hybridMultilevel"/>
    <w:tmpl w:val="461E7394"/>
    <w:lvl w:ilvl="0" w:tplc="96F80BCA">
      <w:numFmt w:val="bullet"/>
      <w:lvlText w:val=""/>
      <w:lvlJc w:val="left"/>
      <w:pPr>
        <w:ind w:left="720" w:hanging="360"/>
      </w:pPr>
      <w:rPr>
        <w:rFonts w:ascii="Wingdings" w:eastAsia="Times New Roman" w:hAnsi="Wingdings" w:cs="TradeGothic-Light"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FA"/>
    <w:rsid w:val="000F6B65"/>
    <w:rsid w:val="001603E3"/>
    <w:rsid w:val="00173DD8"/>
    <w:rsid w:val="004711FA"/>
    <w:rsid w:val="00707955"/>
    <w:rsid w:val="0072568C"/>
    <w:rsid w:val="00871025"/>
    <w:rsid w:val="009B29F3"/>
    <w:rsid w:val="00A34556"/>
    <w:rsid w:val="00A53DA2"/>
    <w:rsid w:val="00B20E1C"/>
    <w:rsid w:val="00B60251"/>
    <w:rsid w:val="00B97650"/>
    <w:rsid w:val="00BB6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711FA"/>
    <w:pPr>
      <w:spacing w:after="113" w:line="240" w:lineRule="auto"/>
    </w:pPr>
    <w:rPr>
      <w:rFonts w:ascii="Calibri" w:eastAsia="Times New Roman" w:hAnsi="Calibri" w:cs="Times New Roman"/>
      <w:szCs w:val="24"/>
    </w:rPr>
  </w:style>
  <w:style w:type="paragraph" w:styleId="Heading1">
    <w:name w:val="heading 1"/>
    <w:basedOn w:val="Normal"/>
    <w:next w:val="Normal"/>
    <w:link w:val="Heading1Char"/>
    <w:qFormat/>
    <w:rsid w:val="004711FA"/>
    <w:pPr>
      <w:spacing w:before="240" w:after="240" w:line="240" w:lineRule="atLeast"/>
      <w:outlineLvl w:val="0"/>
    </w:pPr>
    <w:rPr>
      <w:rFonts w:eastAsia="Calibri" w:cs="Arial"/>
      <w:b/>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1FA"/>
    <w:rPr>
      <w:rFonts w:ascii="Calibri" w:eastAsia="Calibri" w:hAnsi="Calibri" w:cs="Arial"/>
      <w:b/>
      <w:color w:val="31849B" w:themeColor="accent5" w:themeShade="BF"/>
      <w:sz w:val="28"/>
      <w:szCs w:val="28"/>
    </w:rPr>
  </w:style>
  <w:style w:type="paragraph" w:customStyle="1" w:styleId="Bullet">
    <w:name w:val="_Bullet"/>
    <w:basedOn w:val="Normal"/>
    <w:link w:val="BulletChar"/>
    <w:qFormat/>
    <w:rsid w:val="004711FA"/>
    <w:pPr>
      <w:numPr>
        <w:numId w:val="1"/>
      </w:numPr>
      <w:spacing w:after="0"/>
    </w:pPr>
  </w:style>
  <w:style w:type="character" w:customStyle="1" w:styleId="BulletChar">
    <w:name w:val="_Bullet Char"/>
    <w:link w:val="Bullet"/>
    <w:rsid w:val="004711FA"/>
    <w:rPr>
      <w:rFonts w:ascii="Calibri" w:eastAsia="Times New Roman" w:hAnsi="Calibri" w:cs="Times New Roman"/>
      <w:szCs w:val="24"/>
    </w:rPr>
  </w:style>
  <w:style w:type="paragraph" w:customStyle="1" w:styleId="CertHDWhite">
    <w:name w:val="_CertHDWhite"/>
    <w:uiPriority w:val="3"/>
    <w:rsid w:val="004711FA"/>
    <w:pPr>
      <w:spacing w:after="0" w:line="440" w:lineRule="atLeast"/>
    </w:pPr>
    <w:rPr>
      <w:rFonts w:ascii="Calibri" w:eastAsia="Times New Roman" w:hAnsi="Calibri" w:cs="Arial"/>
      <w:color w:val="FFFFFF"/>
      <w:sz w:val="40"/>
      <w:szCs w:val="24"/>
    </w:rPr>
  </w:style>
  <w:style w:type="paragraph" w:styleId="Header">
    <w:name w:val="header"/>
    <w:basedOn w:val="Normal"/>
    <w:link w:val="HeaderChar"/>
    <w:semiHidden/>
    <w:rsid w:val="004711FA"/>
    <w:pPr>
      <w:tabs>
        <w:tab w:val="center" w:pos="4320"/>
        <w:tab w:val="right" w:pos="8640"/>
      </w:tabs>
    </w:pPr>
  </w:style>
  <w:style w:type="character" w:customStyle="1" w:styleId="HeaderChar">
    <w:name w:val="Header Char"/>
    <w:basedOn w:val="DefaultParagraphFont"/>
    <w:link w:val="Header"/>
    <w:semiHidden/>
    <w:rsid w:val="004711FA"/>
    <w:rPr>
      <w:rFonts w:ascii="Calibri" w:eastAsia="Times New Roman" w:hAnsi="Calibri" w:cs="Times New Roman"/>
      <w:szCs w:val="24"/>
    </w:rPr>
  </w:style>
  <w:style w:type="paragraph" w:styleId="Footer">
    <w:name w:val="footer"/>
    <w:basedOn w:val="Normal"/>
    <w:link w:val="FooterChar"/>
    <w:uiPriority w:val="99"/>
    <w:rsid w:val="004711FA"/>
    <w:pPr>
      <w:tabs>
        <w:tab w:val="center" w:pos="4320"/>
        <w:tab w:val="right" w:pos="8640"/>
      </w:tabs>
    </w:pPr>
  </w:style>
  <w:style w:type="character" w:customStyle="1" w:styleId="FooterChar">
    <w:name w:val="Footer Char"/>
    <w:basedOn w:val="DefaultParagraphFont"/>
    <w:link w:val="Footer"/>
    <w:uiPriority w:val="99"/>
    <w:rsid w:val="004711FA"/>
    <w:rPr>
      <w:rFonts w:ascii="Calibri" w:eastAsia="Times New Roman" w:hAnsi="Calibri" w:cs="Times New Roman"/>
      <w:szCs w:val="24"/>
    </w:rPr>
  </w:style>
  <w:style w:type="paragraph" w:customStyle="1" w:styleId="ImprintBreak2">
    <w:name w:val="_ImprintBreak2"/>
    <w:uiPriority w:val="9"/>
    <w:rsid w:val="004711FA"/>
    <w:pPr>
      <w:spacing w:after="0" w:line="240" w:lineRule="auto"/>
    </w:pPr>
    <w:rPr>
      <w:rFonts w:ascii="Calibri" w:eastAsia="Times New Roman" w:hAnsi="Calibri" w:cs="Arial"/>
      <w:sz w:val="8"/>
      <w:szCs w:val="8"/>
    </w:rPr>
  </w:style>
  <w:style w:type="paragraph" w:styleId="ListParagraph">
    <w:name w:val="List Paragraph"/>
    <w:basedOn w:val="Normal"/>
    <w:uiPriority w:val="34"/>
    <w:qFormat/>
    <w:rsid w:val="004711FA"/>
    <w:pPr>
      <w:ind w:left="720"/>
      <w:contextualSpacing/>
    </w:pPr>
  </w:style>
  <w:style w:type="table" w:styleId="MediumShading1-Accent5">
    <w:name w:val="Medium Shading 1 Accent 5"/>
    <w:basedOn w:val="TableNormal"/>
    <w:uiPriority w:val="63"/>
    <w:rsid w:val="004711FA"/>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603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711FA"/>
    <w:pPr>
      <w:spacing w:after="113" w:line="240" w:lineRule="auto"/>
    </w:pPr>
    <w:rPr>
      <w:rFonts w:ascii="Calibri" w:eastAsia="Times New Roman" w:hAnsi="Calibri" w:cs="Times New Roman"/>
      <w:szCs w:val="24"/>
    </w:rPr>
  </w:style>
  <w:style w:type="paragraph" w:styleId="Heading1">
    <w:name w:val="heading 1"/>
    <w:basedOn w:val="Normal"/>
    <w:next w:val="Normal"/>
    <w:link w:val="Heading1Char"/>
    <w:qFormat/>
    <w:rsid w:val="004711FA"/>
    <w:pPr>
      <w:spacing w:before="240" w:after="240" w:line="240" w:lineRule="atLeast"/>
      <w:outlineLvl w:val="0"/>
    </w:pPr>
    <w:rPr>
      <w:rFonts w:eastAsia="Calibri" w:cs="Arial"/>
      <w:b/>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1FA"/>
    <w:rPr>
      <w:rFonts w:ascii="Calibri" w:eastAsia="Calibri" w:hAnsi="Calibri" w:cs="Arial"/>
      <w:b/>
      <w:color w:val="31849B" w:themeColor="accent5" w:themeShade="BF"/>
      <w:sz w:val="28"/>
      <w:szCs w:val="28"/>
    </w:rPr>
  </w:style>
  <w:style w:type="paragraph" w:customStyle="1" w:styleId="Bullet">
    <w:name w:val="_Bullet"/>
    <w:basedOn w:val="Normal"/>
    <w:link w:val="BulletChar"/>
    <w:qFormat/>
    <w:rsid w:val="004711FA"/>
    <w:pPr>
      <w:numPr>
        <w:numId w:val="1"/>
      </w:numPr>
      <w:spacing w:after="0"/>
    </w:pPr>
  </w:style>
  <w:style w:type="character" w:customStyle="1" w:styleId="BulletChar">
    <w:name w:val="_Bullet Char"/>
    <w:link w:val="Bullet"/>
    <w:rsid w:val="004711FA"/>
    <w:rPr>
      <w:rFonts w:ascii="Calibri" w:eastAsia="Times New Roman" w:hAnsi="Calibri" w:cs="Times New Roman"/>
      <w:szCs w:val="24"/>
    </w:rPr>
  </w:style>
  <w:style w:type="paragraph" w:customStyle="1" w:styleId="CertHDWhite">
    <w:name w:val="_CertHDWhite"/>
    <w:uiPriority w:val="3"/>
    <w:rsid w:val="004711FA"/>
    <w:pPr>
      <w:spacing w:after="0" w:line="440" w:lineRule="atLeast"/>
    </w:pPr>
    <w:rPr>
      <w:rFonts w:ascii="Calibri" w:eastAsia="Times New Roman" w:hAnsi="Calibri" w:cs="Arial"/>
      <w:color w:val="FFFFFF"/>
      <w:sz w:val="40"/>
      <w:szCs w:val="24"/>
    </w:rPr>
  </w:style>
  <w:style w:type="paragraph" w:styleId="Header">
    <w:name w:val="header"/>
    <w:basedOn w:val="Normal"/>
    <w:link w:val="HeaderChar"/>
    <w:semiHidden/>
    <w:rsid w:val="004711FA"/>
    <w:pPr>
      <w:tabs>
        <w:tab w:val="center" w:pos="4320"/>
        <w:tab w:val="right" w:pos="8640"/>
      </w:tabs>
    </w:pPr>
  </w:style>
  <w:style w:type="character" w:customStyle="1" w:styleId="HeaderChar">
    <w:name w:val="Header Char"/>
    <w:basedOn w:val="DefaultParagraphFont"/>
    <w:link w:val="Header"/>
    <w:semiHidden/>
    <w:rsid w:val="004711FA"/>
    <w:rPr>
      <w:rFonts w:ascii="Calibri" w:eastAsia="Times New Roman" w:hAnsi="Calibri" w:cs="Times New Roman"/>
      <w:szCs w:val="24"/>
    </w:rPr>
  </w:style>
  <w:style w:type="paragraph" w:styleId="Footer">
    <w:name w:val="footer"/>
    <w:basedOn w:val="Normal"/>
    <w:link w:val="FooterChar"/>
    <w:uiPriority w:val="99"/>
    <w:rsid w:val="004711FA"/>
    <w:pPr>
      <w:tabs>
        <w:tab w:val="center" w:pos="4320"/>
        <w:tab w:val="right" w:pos="8640"/>
      </w:tabs>
    </w:pPr>
  </w:style>
  <w:style w:type="character" w:customStyle="1" w:styleId="FooterChar">
    <w:name w:val="Footer Char"/>
    <w:basedOn w:val="DefaultParagraphFont"/>
    <w:link w:val="Footer"/>
    <w:uiPriority w:val="99"/>
    <w:rsid w:val="004711FA"/>
    <w:rPr>
      <w:rFonts w:ascii="Calibri" w:eastAsia="Times New Roman" w:hAnsi="Calibri" w:cs="Times New Roman"/>
      <w:szCs w:val="24"/>
    </w:rPr>
  </w:style>
  <w:style w:type="paragraph" w:customStyle="1" w:styleId="ImprintBreak2">
    <w:name w:val="_ImprintBreak2"/>
    <w:uiPriority w:val="9"/>
    <w:rsid w:val="004711FA"/>
    <w:pPr>
      <w:spacing w:after="0" w:line="240" w:lineRule="auto"/>
    </w:pPr>
    <w:rPr>
      <w:rFonts w:ascii="Calibri" w:eastAsia="Times New Roman" w:hAnsi="Calibri" w:cs="Arial"/>
      <w:sz w:val="8"/>
      <w:szCs w:val="8"/>
    </w:rPr>
  </w:style>
  <w:style w:type="paragraph" w:styleId="ListParagraph">
    <w:name w:val="List Paragraph"/>
    <w:basedOn w:val="Normal"/>
    <w:uiPriority w:val="34"/>
    <w:qFormat/>
    <w:rsid w:val="004711FA"/>
    <w:pPr>
      <w:ind w:left="720"/>
      <w:contextualSpacing/>
    </w:pPr>
  </w:style>
  <w:style w:type="table" w:styleId="MediumShading1-Accent5">
    <w:name w:val="Medium Shading 1 Accent 5"/>
    <w:basedOn w:val="TableNormal"/>
    <w:uiPriority w:val="63"/>
    <w:rsid w:val="004711FA"/>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603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A11C-D212-48DE-9C6C-9E6D8043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 Cheng</dc:creator>
  <cp:lastModifiedBy>Sheng Cheng</cp:lastModifiedBy>
  <cp:revision>5</cp:revision>
  <dcterms:created xsi:type="dcterms:W3CDTF">2016-07-20T04:37:00Z</dcterms:created>
  <dcterms:modified xsi:type="dcterms:W3CDTF">2016-07-20T06:45:00Z</dcterms:modified>
</cp:coreProperties>
</file>