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C3" w:rsidRPr="000675C5" w:rsidRDefault="00FF7DC3" w:rsidP="00FF7DC3">
      <w:pPr>
        <w:spacing w:before="120"/>
        <w:jc w:val="center"/>
        <w:rPr>
          <w:rFonts w:asciiTheme="minorHAnsi" w:hAnsiTheme="minorHAnsi" w:cstheme="minorHAnsi"/>
          <w:b/>
          <w:bCs/>
          <w:sz w:val="28"/>
        </w:rPr>
      </w:pPr>
      <w:r w:rsidRPr="000675C5">
        <w:rPr>
          <w:rFonts w:asciiTheme="minorHAnsi" w:hAnsiTheme="minorHAnsi" w:cstheme="minorHAnsi"/>
          <w:noProof/>
          <w:lang w:eastAsia="en-AU"/>
        </w:rPr>
        <w:drawing>
          <wp:inline distT="0" distB="0" distL="0" distR="0" wp14:anchorId="29E6BD81" wp14:editId="1400C965">
            <wp:extent cx="9048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FF7DC3" w:rsidRPr="000675C5" w:rsidRDefault="00FF7DC3" w:rsidP="00FF7DC3">
      <w:pPr>
        <w:pStyle w:val="Header"/>
        <w:rPr>
          <w:rFonts w:asciiTheme="minorHAnsi" w:hAnsiTheme="minorHAnsi" w:cstheme="minorHAnsi"/>
          <w:b/>
          <w:bCs/>
          <w:sz w:val="16"/>
          <w:szCs w:val="16"/>
        </w:rPr>
      </w:pPr>
    </w:p>
    <w:p w:rsidR="00FF7DC3" w:rsidRPr="000675C5" w:rsidRDefault="00FF7DC3" w:rsidP="00FF7DC3">
      <w:pPr>
        <w:pStyle w:val="Header"/>
        <w:jc w:val="center"/>
        <w:rPr>
          <w:rFonts w:asciiTheme="minorHAnsi" w:hAnsiTheme="minorHAnsi" w:cstheme="minorHAnsi"/>
          <w:b/>
          <w:bCs/>
          <w:sz w:val="16"/>
          <w:szCs w:val="16"/>
        </w:rPr>
      </w:pPr>
      <w:r w:rsidRPr="000675C5">
        <w:rPr>
          <w:rFonts w:asciiTheme="minorHAnsi" w:hAnsiTheme="minorHAnsi" w:cstheme="minorHAnsi"/>
          <w:b/>
          <w:bCs/>
        </w:rPr>
        <w:t>OFFICIAL MINISTERIAL OVERSEAS TRAVEL</w:t>
      </w:r>
    </w:p>
    <w:p w:rsidR="00FF7DC3" w:rsidRPr="000675C5" w:rsidRDefault="00FF7DC3" w:rsidP="00FF7DC3">
      <w:pPr>
        <w:pStyle w:val="Header"/>
        <w:jc w:val="center"/>
        <w:rPr>
          <w:rFonts w:asciiTheme="minorHAnsi" w:hAnsiTheme="minorHAnsi" w:cstheme="minorHAnsi"/>
          <w:b/>
          <w:bCs/>
          <w:color w:val="FF0000"/>
          <w:u w:val="single"/>
        </w:rPr>
      </w:pPr>
      <w:r w:rsidRPr="000675C5">
        <w:rPr>
          <w:rFonts w:asciiTheme="minorHAnsi" w:hAnsiTheme="minorHAnsi" w:cstheme="minorHAnsi"/>
          <w:b/>
        </w:rPr>
        <w:t xml:space="preserve">Outcomes Report </w:t>
      </w:r>
    </w:p>
    <w:p w:rsidR="00FF7DC3" w:rsidRPr="000675C5" w:rsidRDefault="00FF7DC3" w:rsidP="00FF7DC3">
      <w:pPr>
        <w:pStyle w:val="Header"/>
        <w:jc w:val="center"/>
        <w:rPr>
          <w:rFonts w:asciiTheme="minorHAnsi" w:hAnsiTheme="minorHAnsi" w:cstheme="minorHAnsi"/>
          <w:b/>
          <w:bCs/>
          <w:sz w:val="16"/>
          <w:szCs w:val="16"/>
        </w:rPr>
      </w:pPr>
    </w:p>
    <w:p w:rsidR="00FF7DC3" w:rsidRPr="000675C5" w:rsidRDefault="00FF7DC3" w:rsidP="00FF7DC3">
      <w:pPr>
        <w:pStyle w:val="BodyText"/>
        <w:rPr>
          <w:rFonts w:asciiTheme="minorHAnsi" w:hAnsiTheme="minorHAnsi" w:cstheme="minorHAnsi"/>
          <w:b w:val="0"/>
          <w:i/>
          <w:sz w:val="16"/>
          <w:szCs w:val="16"/>
        </w:rPr>
      </w:pPr>
      <w:r w:rsidRPr="000675C5">
        <w:rPr>
          <w:rFonts w:asciiTheme="minorHAnsi" w:hAnsiTheme="minorHAnsi" w:cstheme="minorHAnsi"/>
          <w:b w:val="0"/>
          <w:sz w:val="16"/>
          <w:szCs w:val="16"/>
        </w:rPr>
        <w:t xml:space="preserve">The provision of the information below is consistent with the </w:t>
      </w:r>
      <w:r w:rsidRPr="000675C5">
        <w:rPr>
          <w:rFonts w:asciiTheme="minorHAnsi" w:hAnsiTheme="minorHAnsi" w:cstheme="minorHAnsi"/>
          <w:b w:val="0"/>
          <w:i/>
          <w:sz w:val="16"/>
          <w:szCs w:val="16"/>
        </w:rPr>
        <w:t xml:space="preserve">Guidelines for </w:t>
      </w:r>
      <w:r>
        <w:rPr>
          <w:rFonts w:asciiTheme="minorHAnsi" w:hAnsiTheme="minorHAnsi" w:cstheme="minorHAnsi"/>
          <w:b w:val="0"/>
          <w:i/>
          <w:sz w:val="16"/>
          <w:szCs w:val="16"/>
        </w:rPr>
        <w:t xml:space="preserve">Official </w:t>
      </w:r>
      <w:r w:rsidRPr="000675C5">
        <w:rPr>
          <w:rFonts w:asciiTheme="minorHAnsi" w:hAnsiTheme="minorHAnsi" w:cstheme="minorHAnsi"/>
          <w:b w:val="0"/>
          <w:i/>
          <w:sz w:val="16"/>
          <w:szCs w:val="16"/>
        </w:rPr>
        <w:t>Ministerial Overseas Travel</w:t>
      </w:r>
      <w:r w:rsidRPr="000675C5">
        <w:rPr>
          <w:rFonts w:asciiTheme="minorHAnsi" w:hAnsiTheme="minorHAnsi" w:cstheme="minorHAnsi"/>
          <w:b w:val="0"/>
          <w:sz w:val="16"/>
          <w:szCs w:val="16"/>
        </w:rPr>
        <w:t xml:space="preserve">. This report must be sent to the Premier within 40  working days of return, and published on the relevant </w:t>
      </w:r>
      <w:r>
        <w:rPr>
          <w:rFonts w:asciiTheme="minorHAnsi" w:hAnsiTheme="minorHAnsi" w:cstheme="minorHAnsi"/>
          <w:b w:val="0"/>
          <w:sz w:val="16"/>
          <w:szCs w:val="16"/>
        </w:rPr>
        <w:t>d</w:t>
      </w:r>
      <w:r w:rsidRPr="000675C5">
        <w:rPr>
          <w:rFonts w:asciiTheme="minorHAnsi" w:hAnsiTheme="minorHAnsi" w:cstheme="minorHAnsi"/>
          <w:b w:val="0"/>
          <w:sz w:val="16"/>
          <w:szCs w:val="16"/>
        </w:rPr>
        <w:t xml:space="preserve">epartment website within 60 working days of the Minister’s return. The published version of the report does not need to include the ’next steps / follow up’ section or </w:t>
      </w:r>
      <w:r w:rsidRPr="002E1500">
        <w:rPr>
          <w:rFonts w:asciiTheme="minorHAnsi" w:hAnsiTheme="minorHAnsi" w:cstheme="minorHAnsi"/>
          <w:b w:val="0"/>
          <w:sz w:val="16"/>
          <w:szCs w:val="16"/>
        </w:rPr>
        <w:t>the signature</w:t>
      </w:r>
      <w:r w:rsidR="006A12C2" w:rsidRPr="002E1500">
        <w:rPr>
          <w:rFonts w:asciiTheme="minorHAnsi" w:hAnsiTheme="minorHAnsi" w:cstheme="minorHAnsi"/>
          <w:b w:val="0"/>
          <w:sz w:val="16"/>
          <w:szCs w:val="16"/>
        </w:rPr>
        <w:t xml:space="preserve"> block</w:t>
      </w:r>
      <w:r w:rsidRPr="002E1500">
        <w:rPr>
          <w:rFonts w:asciiTheme="minorHAnsi" w:hAnsiTheme="minorHAnsi" w:cstheme="minorHAnsi"/>
          <w:b w:val="0"/>
          <w:i/>
          <w:sz w:val="16"/>
          <w:szCs w:val="16"/>
        </w:rPr>
        <w:t>.</w:t>
      </w:r>
    </w:p>
    <w:p w:rsidR="00FF7DC3" w:rsidRPr="000675C5" w:rsidRDefault="00FF7DC3" w:rsidP="00FF7DC3">
      <w:pPr>
        <w:pStyle w:val="BodyText"/>
        <w:rPr>
          <w:rFonts w:asciiTheme="minorHAnsi" w:hAnsiTheme="minorHAnsi" w:cstheme="minorHAnsi"/>
          <w:b w:val="0"/>
          <w:i/>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64"/>
        <w:gridCol w:w="1355"/>
        <w:gridCol w:w="1714"/>
      </w:tblGrid>
      <w:tr w:rsidR="00FF7DC3" w:rsidRPr="00EE30C9" w:rsidTr="00773A6F">
        <w:trPr>
          <w:trHeight w:hRule="exact" w:val="774"/>
        </w:trPr>
        <w:tc>
          <w:tcPr>
            <w:tcW w:w="4644" w:type="dxa"/>
            <w:shd w:val="clear" w:color="auto" w:fill="auto"/>
          </w:tcPr>
          <w:p w:rsidR="00FF7DC3" w:rsidRPr="00EE30C9" w:rsidRDefault="00FF7DC3" w:rsidP="00172763">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Name of Department / Agency</w:t>
            </w:r>
          </w:p>
        </w:tc>
        <w:tc>
          <w:tcPr>
            <w:tcW w:w="4833" w:type="dxa"/>
            <w:gridSpan w:val="3"/>
            <w:shd w:val="clear" w:color="auto" w:fill="auto"/>
          </w:tcPr>
          <w:p w:rsidR="00FF7DC3" w:rsidRPr="00EE30C9" w:rsidRDefault="005B23B1" w:rsidP="00681E01">
            <w:pPr>
              <w:tabs>
                <w:tab w:val="left" w:leader="dot" w:pos="0"/>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Department of Environment, Land</w:t>
            </w:r>
            <w:r w:rsidR="00681E01">
              <w:rPr>
                <w:rFonts w:asciiTheme="minorHAnsi" w:hAnsiTheme="minorHAnsi" w:cstheme="minorHAnsi"/>
                <w:sz w:val="22"/>
                <w:szCs w:val="22"/>
              </w:rPr>
              <w:t>, Water and Planning</w:t>
            </w:r>
          </w:p>
        </w:tc>
      </w:tr>
      <w:tr w:rsidR="00FF7DC3" w:rsidRPr="00EE30C9" w:rsidTr="00B04681">
        <w:trPr>
          <w:trHeight w:hRule="exact" w:val="714"/>
        </w:trPr>
        <w:tc>
          <w:tcPr>
            <w:tcW w:w="4644" w:type="dxa"/>
            <w:shd w:val="clear" w:color="auto" w:fill="auto"/>
          </w:tcPr>
          <w:p w:rsidR="00FF7DC3" w:rsidRPr="00EE30C9" w:rsidRDefault="00FF7DC3" w:rsidP="00172763">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Departmental / Agency Contact </w:t>
            </w:r>
          </w:p>
        </w:tc>
        <w:tc>
          <w:tcPr>
            <w:tcW w:w="4833" w:type="dxa"/>
            <w:gridSpan w:val="3"/>
            <w:shd w:val="clear" w:color="auto" w:fill="auto"/>
          </w:tcPr>
          <w:p w:rsidR="00FF7DC3" w:rsidRPr="00EE30C9" w:rsidRDefault="005B23B1" w:rsidP="00773A6F">
            <w:pPr>
              <w:tabs>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 xml:space="preserve">Marlene Mifsud, </w:t>
            </w:r>
            <w:r w:rsidRPr="005B23B1">
              <w:rPr>
                <w:rFonts w:asciiTheme="minorHAnsi" w:hAnsiTheme="minorHAnsi" w:cstheme="minorHAnsi"/>
                <w:sz w:val="22"/>
                <w:szCs w:val="22"/>
              </w:rPr>
              <w:t>Director Ministerial Services</w:t>
            </w:r>
            <w:r>
              <w:rPr>
                <w:rFonts w:asciiTheme="minorHAnsi" w:hAnsiTheme="minorHAnsi" w:cstheme="minorHAnsi"/>
                <w:sz w:val="22"/>
                <w:szCs w:val="22"/>
              </w:rPr>
              <w:t>, DELWP</w:t>
            </w:r>
          </w:p>
        </w:tc>
      </w:tr>
      <w:tr w:rsidR="00FF7DC3" w:rsidRPr="00EE30C9" w:rsidTr="006A12C2">
        <w:trPr>
          <w:trHeight w:hRule="exact" w:val="503"/>
        </w:trPr>
        <w:tc>
          <w:tcPr>
            <w:tcW w:w="4644" w:type="dxa"/>
            <w:tcBorders>
              <w:bottom w:val="single" w:sz="4" w:space="0" w:color="auto"/>
            </w:tcBorders>
            <w:shd w:val="clear" w:color="auto" w:fill="auto"/>
          </w:tcPr>
          <w:p w:rsidR="00FF7DC3" w:rsidRPr="00EE30C9" w:rsidRDefault="00FF7DC3" w:rsidP="00172763">
            <w:pPr>
              <w:tabs>
                <w:tab w:val="left" w:leader="dot" w:pos="2835"/>
              </w:tabs>
              <w:spacing w:before="120" w:after="120"/>
              <w:rPr>
                <w:rFonts w:asciiTheme="minorHAnsi" w:hAnsiTheme="minorHAnsi" w:cstheme="minorHAnsi"/>
                <w:b/>
                <w:sz w:val="22"/>
                <w:szCs w:val="22"/>
              </w:rPr>
            </w:pPr>
            <w:r w:rsidRPr="00EE30C9">
              <w:rPr>
                <w:rFonts w:asciiTheme="minorHAnsi" w:hAnsiTheme="minorHAnsi" w:cstheme="minorHAnsi"/>
                <w:b/>
                <w:sz w:val="22"/>
                <w:szCs w:val="22"/>
              </w:rPr>
              <w:t>Telephone Number</w:t>
            </w:r>
          </w:p>
          <w:p w:rsidR="00FF7DC3" w:rsidRPr="00EE30C9" w:rsidRDefault="00FF7DC3" w:rsidP="00172763">
            <w:pPr>
              <w:tabs>
                <w:tab w:val="left" w:leader="dot" w:pos="2835"/>
              </w:tabs>
              <w:spacing w:before="120" w:after="120"/>
              <w:rPr>
                <w:rFonts w:asciiTheme="minorHAnsi" w:hAnsiTheme="minorHAnsi" w:cstheme="minorHAnsi"/>
                <w:b/>
                <w:sz w:val="22"/>
                <w:szCs w:val="22"/>
              </w:rPr>
            </w:pPr>
          </w:p>
        </w:tc>
        <w:tc>
          <w:tcPr>
            <w:tcW w:w="4833" w:type="dxa"/>
            <w:gridSpan w:val="3"/>
            <w:tcBorders>
              <w:bottom w:val="single" w:sz="4" w:space="0" w:color="auto"/>
            </w:tcBorders>
            <w:shd w:val="clear" w:color="auto" w:fill="auto"/>
          </w:tcPr>
          <w:p w:rsidR="004652B1" w:rsidRPr="00EE30C9" w:rsidRDefault="005B23B1" w:rsidP="00172763">
            <w:pPr>
              <w:tabs>
                <w:tab w:val="left" w:leader="dot" w:pos="2835"/>
              </w:tabs>
              <w:spacing w:before="120" w:after="120"/>
              <w:rPr>
                <w:rFonts w:asciiTheme="minorHAnsi" w:hAnsiTheme="minorHAnsi" w:cstheme="minorHAnsi"/>
                <w:sz w:val="22"/>
                <w:szCs w:val="22"/>
              </w:rPr>
            </w:pPr>
            <w:r>
              <w:rPr>
                <w:rFonts w:asciiTheme="minorHAnsi" w:hAnsiTheme="minorHAnsi" w:cstheme="minorHAnsi"/>
                <w:sz w:val="22"/>
                <w:szCs w:val="22"/>
              </w:rPr>
              <w:t>9637 8157</w:t>
            </w:r>
          </w:p>
        </w:tc>
      </w:tr>
      <w:tr w:rsidR="00FF7DC3" w:rsidRPr="00EE30C9" w:rsidTr="00172763">
        <w:trPr>
          <w:trHeight w:val="227"/>
        </w:trPr>
        <w:tc>
          <w:tcPr>
            <w:tcW w:w="9477" w:type="dxa"/>
            <w:gridSpan w:val="4"/>
            <w:shd w:val="clear" w:color="auto" w:fill="C0C0C0"/>
          </w:tcPr>
          <w:p w:rsidR="00FF7DC3" w:rsidRPr="00EE30C9" w:rsidRDefault="00FF7DC3" w:rsidP="00172763">
            <w:pPr>
              <w:pStyle w:val="Heading2"/>
              <w:spacing w:before="120" w:after="120"/>
              <w:jc w:val="left"/>
              <w:rPr>
                <w:rFonts w:asciiTheme="minorHAnsi" w:hAnsiTheme="minorHAnsi" w:cstheme="minorHAnsi"/>
                <w:b/>
                <w:i/>
                <w:sz w:val="22"/>
                <w:szCs w:val="22"/>
              </w:rPr>
            </w:pPr>
            <w:r w:rsidRPr="00EE30C9">
              <w:rPr>
                <w:rFonts w:asciiTheme="minorHAnsi" w:hAnsiTheme="minorHAnsi" w:cstheme="minorHAnsi"/>
                <w:b/>
                <w:sz w:val="22"/>
                <w:szCs w:val="22"/>
                <w:u w:val="none"/>
              </w:rPr>
              <w:t>TRAVEL DETAILS</w:t>
            </w:r>
          </w:p>
        </w:tc>
      </w:tr>
      <w:tr w:rsidR="00FF7DC3" w:rsidRPr="00EE30C9" w:rsidTr="006A12C2">
        <w:trPr>
          <w:trHeight w:val="233"/>
        </w:trPr>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Minister’s Name</w:t>
            </w:r>
          </w:p>
        </w:tc>
        <w:tc>
          <w:tcPr>
            <w:tcW w:w="4833" w:type="dxa"/>
            <w:gridSpan w:val="3"/>
            <w:shd w:val="clear" w:color="auto" w:fill="auto"/>
          </w:tcPr>
          <w:p w:rsidR="004652B1" w:rsidRPr="00EE30C9" w:rsidRDefault="005B23B1" w:rsidP="00773A6F">
            <w:pPr>
              <w:spacing w:before="120" w:after="120"/>
              <w:rPr>
                <w:rFonts w:asciiTheme="minorHAnsi" w:hAnsiTheme="minorHAnsi" w:cstheme="minorHAnsi"/>
                <w:sz w:val="22"/>
                <w:szCs w:val="22"/>
              </w:rPr>
            </w:pPr>
            <w:r>
              <w:rPr>
                <w:rFonts w:asciiTheme="minorHAnsi" w:hAnsiTheme="minorHAnsi" w:cstheme="minorHAnsi"/>
                <w:sz w:val="22"/>
                <w:szCs w:val="22"/>
              </w:rPr>
              <w:t>Hon Lisa Neville MP</w:t>
            </w:r>
          </w:p>
        </w:tc>
      </w:tr>
      <w:tr w:rsidR="00FF7DC3" w:rsidRPr="00EE30C9" w:rsidTr="006A12C2">
        <w:trPr>
          <w:trHeight w:val="232"/>
        </w:trPr>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Portfolio/s</w:t>
            </w:r>
          </w:p>
        </w:tc>
        <w:tc>
          <w:tcPr>
            <w:tcW w:w="4833" w:type="dxa"/>
            <w:gridSpan w:val="3"/>
            <w:shd w:val="clear" w:color="auto" w:fill="auto"/>
          </w:tcPr>
          <w:p w:rsidR="005B23B1" w:rsidRPr="00EE30C9" w:rsidRDefault="005B23B1" w:rsidP="00172763">
            <w:pPr>
              <w:spacing w:before="120" w:after="120"/>
              <w:rPr>
                <w:rFonts w:asciiTheme="minorHAnsi" w:hAnsiTheme="minorHAnsi" w:cstheme="minorHAnsi"/>
                <w:sz w:val="22"/>
                <w:szCs w:val="22"/>
              </w:rPr>
            </w:pPr>
            <w:r>
              <w:rPr>
                <w:rFonts w:asciiTheme="minorHAnsi" w:hAnsiTheme="minorHAnsi" w:cstheme="minorHAnsi"/>
                <w:sz w:val="22"/>
                <w:szCs w:val="22"/>
              </w:rPr>
              <w:t>Minister for Police and Minister for Water</w:t>
            </w:r>
          </w:p>
        </w:tc>
      </w:tr>
      <w:tr w:rsidR="00FF7DC3" w:rsidRPr="00EE30C9" w:rsidTr="0090565E">
        <w:tc>
          <w:tcPr>
            <w:tcW w:w="4644" w:type="dxa"/>
            <w:shd w:val="clear" w:color="auto" w:fill="auto"/>
          </w:tcPr>
          <w:p w:rsidR="00F7564C" w:rsidRPr="00EE30C9" w:rsidRDefault="00FF7DC3" w:rsidP="00172763">
            <w:pPr>
              <w:spacing w:before="120" w:after="120"/>
              <w:rPr>
                <w:rFonts w:asciiTheme="minorHAnsi" w:hAnsiTheme="minorHAnsi" w:cstheme="minorHAnsi"/>
                <w:sz w:val="22"/>
                <w:szCs w:val="22"/>
              </w:rPr>
            </w:pPr>
            <w:r w:rsidRPr="00EE30C9">
              <w:rPr>
                <w:rFonts w:asciiTheme="minorHAnsi" w:hAnsiTheme="minorHAnsi" w:cstheme="minorHAnsi"/>
                <w:b/>
                <w:sz w:val="22"/>
                <w:szCs w:val="22"/>
              </w:rPr>
              <w:t>Did the Minister’s spouse accompany the Minister in an official capacity?</w:t>
            </w:r>
            <w:r w:rsidR="00F7564C" w:rsidRPr="00EE30C9">
              <w:rPr>
                <w:rFonts w:asciiTheme="minorHAnsi" w:hAnsiTheme="minorHAnsi" w:cstheme="minorHAnsi"/>
                <w:sz w:val="22"/>
                <w:szCs w:val="22"/>
              </w:rPr>
              <w:t xml:space="preserve"> </w:t>
            </w:r>
          </w:p>
          <w:p w:rsidR="00FF7DC3" w:rsidRPr="00EE30C9" w:rsidRDefault="00F7564C" w:rsidP="002E1500">
            <w:pPr>
              <w:spacing w:before="120" w:after="120"/>
              <w:rPr>
                <w:rFonts w:asciiTheme="minorHAnsi" w:hAnsiTheme="minorHAnsi" w:cstheme="minorHAnsi"/>
                <w:b/>
                <w:sz w:val="22"/>
                <w:szCs w:val="22"/>
              </w:rPr>
            </w:pPr>
            <w:r w:rsidRPr="00EE30C9">
              <w:rPr>
                <w:rFonts w:asciiTheme="minorHAnsi" w:hAnsiTheme="minorHAnsi" w:cstheme="minorHAnsi"/>
                <w:b/>
                <w:sz w:val="22"/>
                <w:szCs w:val="22"/>
              </w:rPr>
              <w:t xml:space="preserve">If Yes – please </w:t>
            </w:r>
            <w:r w:rsidR="002E1500" w:rsidRPr="00EE30C9">
              <w:rPr>
                <w:rFonts w:asciiTheme="minorHAnsi" w:hAnsiTheme="minorHAnsi" w:cstheme="minorHAnsi"/>
                <w:b/>
                <w:sz w:val="22"/>
                <w:szCs w:val="22"/>
              </w:rPr>
              <w:t>outline</w:t>
            </w:r>
            <w:r w:rsidRPr="00EE30C9">
              <w:rPr>
                <w:rFonts w:asciiTheme="minorHAnsi" w:hAnsiTheme="minorHAnsi" w:cstheme="minorHAnsi"/>
                <w:b/>
                <w:sz w:val="22"/>
                <w:szCs w:val="22"/>
              </w:rPr>
              <w:t xml:space="preserve"> the role</w:t>
            </w:r>
            <w:r w:rsidR="002E1500" w:rsidRPr="00EE30C9">
              <w:rPr>
                <w:rFonts w:asciiTheme="minorHAnsi" w:hAnsiTheme="minorHAnsi" w:cstheme="minorHAnsi"/>
                <w:b/>
                <w:sz w:val="22"/>
                <w:szCs w:val="22"/>
              </w:rPr>
              <w:t xml:space="preserve"> of</w:t>
            </w:r>
            <w:r w:rsidRPr="00EE30C9">
              <w:rPr>
                <w:rFonts w:asciiTheme="minorHAnsi" w:hAnsiTheme="minorHAnsi" w:cstheme="minorHAnsi"/>
                <w:b/>
                <w:sz w:val="22"/>
                <w:szCs w:val="22"/>
              </w:rPr>
              <w:t xml:space="preserve"> the</w:t>
            </w:r>
            <w:r w:rsidR="006A12C2" w:rsidRPr="00EE30C9">
              <w:rPr>
                <w:rFonts w:asciiTheme="minorHAnsi" w:hAnsiTheme="minorHAnsi" w:cstheme="minorHAnsi"/>
                <w:b/>
                <w:sz w:val="22"/>
                <w:szCs w:val="22"/>
              </w:rPr>
              <w:t xml:space="preserve"> spouse in achieving the outcomes of the visit</w:t>
            </w:r>
          </w:p>
        </w:tc>
        <w:tc>
          <w:tcPr>
            <w:tcW w:w="3119" w:type="dxa"/>
            <w:gridSpan w:val="2"/>
            <w:shd w:val="clear" w:color="auto" w:fill="auto"/>
          </w:tcPr>
          <w:p w:rsidR="00FF7DC3" w:rsidRPr="00EE30C9" w:rsidRDefault="00FF7DC3" w:rsidP="00172763">
            <w:pPr>
              <w:spacing w:before="120" w:after="120"/>
              <w:rPr>
                <w:rFonts w:asciiTheme="minorHAnsi" w:hAnsiTheme="minorHAnsi" w:cstheme="minorHAnsi"/>
                <w:sz w:val="22"/>
                <w:szCs w:val="22"/>
              </w:rPr>
            </w:pPr>
            <w:r w:rsidRPr="00EE30C9">
              <w:rPr>
                <w:rFonts w:asciiTheme="minorHAnsi" w:hAnsiTheme="minorHAnsi" w:cstheme="minorHAnsi"/>
                <w:b/>
                <w:sz w:val="22"/>
                <w:szCs w:val="22"/>
              </w:rPr>
              <w:t>YES</w:t>
            </w:r>
            <w:r w:rsidRPr="00EE30C9">
              <w:rPr>
                <w:rFonts w:asciiTheme="minorHAnsi" w:hAnsiTheme="minorHAnsi" w:cstheme="minorHAnsi"/>
                <w:sz w:val="22"/>
                <w:szCs w:val="22"/>
              </w:rPr>
              <w:t xml:space="preserve"> (official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Pr="00EE30C9">
              <w:rPr>
                <w:rFonts w:asciiTheme="minorHAnsi" w:hAnsiTheme="minorHAnsi" w:cstheme="minorHAnsi"/>
                <w:sz w:val="22"/>
                <w:szCs w:val="22"/>
              </w:rPr>
            </w:r>
            <w:r w:rsidRPr="00EE30C9">
              <w:rPr>
                <w:rFonts w:asciiTheme="minorHAnsi" w:hAnsiTheme="minorHAnsi" w:cstheme="minorHAnsi"/>
                <w:sz w:val="22"/>
                <w:szCs w:val="22"/>
              </w:rPr>
              <w:fldChar w:fldCharType="end"/>
            </w:r>
            <w:r w:rsidRPr="00EE30C9">
              <w:rPr>
                <w:rFonts w:asciiTheme="minorHAnsi" w:hAnsiTheme="minorHAnsi" w:cstheme="minorHAnsi"/>
                <w:b/>
                <w:sz w:val="22"/>
                <w:szCs w:val="22"/>
              </w:rPr>
              <w:t xml:space="preserve">  YES</w:t>
            </w:r>
            <w:r w:rsidRPr="00EE30C9">
              <w:rPr>
                <w:rFonts w:asciiTheme="minorHAnsi" w:hAnsiTheme="minorHAnsi" w:cstheme="minorHAnsi"/>
                <w:sz w:val="22"/>
                <w:szCs w:val="22"/>
              </w:rPr>
              <w:t xml:space="preserve"> (private capacity)       </w:t>
            </w:r>
            <w:r w:rsidRPr="00EE30C9">
              <w:rPr>
                <w:rFonts w:asciiTheme="minorHAnsi" w:hAnsiTheme="minorHAnsi" w:cstheme="minorHAnsi"/>
                <w:sz w:val="22"/>
                <w:szCs w:val="22"/>
              </w:rPr>
              <w:fldChar w:fldCharType="begin">
                <w:ffData>
                  <w:name w:val="Check1"/>
                  <w:enabled/>
                  <w:calcOnExit w:val="0"/>
                  <w:checkBox>
                    <w:sizeAuto/>
                    <w:default w:val="0"/>
                  </w:checkBox>
                </w:ffData>
              </w:fldChar>
            </w:r>
            <w:r w:rsidRPr="00EE30C9">
              <w:rPr>
                <w:rFonts w:asciiTheme="minorHAnsi" w:hAnsiTheme="minorHAnsi" w:cstheme="minorHAnsi"/>
                <w:sz w:val="22"/>
                <w:szCs w:val="22"/>
              </w:rPr>
              <w:instrText xml:space="preserve"> FORMCHECKBOX </w:instrText>
            </w:r>
            <w:r w:rsidRPr="00EE30C9">
              <w:rPr>
                <w:rFonts w:asciiTheme="minorHAnsi" w:hAnsiTheme="minorHAnsi" w:cstheme="minorHAnsi"/>
                <w:sz w:val="22"/>
                <w:szCs w:val="22"/>
              </w:rPr>
            </w:r>
            <w:r w:rsidRPr="00EE30C9">
              <w:rPr>
                <w:rFonts w:asciiTheme="minorHAnsi" w:hAnsiTheme="minorHAnsi" w:cstheme="minorHAnsi"/>
                <w:sz w:val="22"/>
                <w:szCs w:val="22"/>
              </w:rPr>
              <w:fldChar w:fldCharType="end"/>
            </w:r>
            <w:r w:rsidR="00F7564C" w:rsidRPr="00EE30C9">
              <w:rPr>
                <w:rFonts w:asciiTheme="minorHAnsi" w:hAnsiTheme="minorHAnsi" w:cstheme="minorHAnsi"/>
                <w:sz w:val="22"/>
                <w:szCs w:val="22"/>
              </w:rPr>
              <w:t xml:space="preserve"> </w:t>
            </w:r>
          </w:p>
          <w:p w:rsidR="00F7564C" w:rsidRPr="00EE30C9" w:rsidRDefault="00F7564C" w:rsidP="00172763">
            <w:pPr>
              <w:spacing w:before="120" w:after="120"/>
              <w:rPr>
                <w:rFonts w:asciiTheme="minorHAnsi" w:hAnsiTheme="minorHAnsi" w:cstheme="minorHAnsi"/>
                <w:sz w:val="22"/>
                <w:szCs w:val="22"/>
              </w:rPr>
            </w:pPr>
          </w:p>
        </w:tc>
        <w:tc>
          <w:tcPr>
            <w:tcW w:w="1714" w:type="dxa"/>
            <w:shd w:val="clear" w:color="auto" w:fill="auto"/>
          </w:tcPr>
          <w:p w:rsidR="00FF7DC3" w:rsidRPr="00EE30C9" w:rsidRDefault="00FF7DC3" w:rsidP="004652B1">
            <w:pPr>
              <w:spacing w:before="120" w:after="120"/>
              <w:rPr>
                <w:rFonts w:asciiTheme="minorHAnsi" w:hAnsiTheme="minorHAnsi" w:cstheme="minorHAnsi"/>
                <w:sz w:val="22"/>
                <w:szCs w:val="22"/>
              </w:rPr>
            </w:pPr>
            <w:r w:rsidRPr="00EE30C9">
              <w:rPr>
                <w:rFonts w:asciiTheme="minorHAnsi" w:hAnsiTheme="minorHAnsi" w:cstheme="minorHAnsi"/>
                <w:b/>
                <w:sz w:val="22"/>
                <w:szCs w:val="22"/>
              </w:rPr>
              <w:t>NO</w:t>
            </w:r>
            <w:r w:rsidRPr="00EE30C9">
              <w:rPr>
                <w:rFonts w:asciiTheme="minorHAnsi" w:hAnsiTheme="minorHAnsi" w:cstheme="minorHAnsi"/>
                <w:sz w:val="22"/>
                <w:szCs w:val="22"/>
              </w:rPr>
              <w:t xml:space="preserve">         </w:t>
            </w:r>
            <w:r w:rsidR="004652B1" w:rsidRPr="00EE30C9">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004652B1" w:rsidRPr="00EE30C9">
              <w:rPr>
                <w:rFonts w:asciiTheme="minorHAnsi" w:hAnsiTheme="minorHAnsi" w:cstheme="minorHAnsi"/>
                <w:sz w:val="22"/>
                <w:szCs w:val="22"/>
              </w:rPr>
              <w:instrText xml:space="preserve"> FORMCHECKBOX </w:instrText>
            </w:r>
            <w:r w:rsidR="004652B1" w:rsidRPr="00EE30C9">
              <w:rPr>
                <w:rFonts w:asciiTheme="minorHAnsi" w:hAnsiTheme="minorHAnsi" w:cstheme="minorHAnsi"/>
                <w:sz w:val="22"/>
                <w:szCs w:val="22"/>
              </w:rPr>
            </w:r>
            <w:r w:rsidR="004652B1" w:rsidRPr="00EE30C9">
              <w:rPr>
                <w:rFonts w:asciiTheme="minorHAnsi" w:hAnsiTheme="minorHAnsi" w:cstheme="minorHAnsi"/>
                <w:sz w:val="22"/>
                <w:szCs w:val="22"/>
              </w:rPr>
              <w:fldChar w:fldCharType="end"/>
            </w:r>
            <w:bookmarkEnd w:id="0"/>
          </w:p>
        </w:tc>
      </w:tr>
      <w:tr w:rsidR="00FF7DC3" w:rsidRPr="00EE30C9" w:rsidTr="006A12C2">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Accompanying Ministerial staff</w:t>
            </w:r>
          </w:p>
        </w:tc>
        <w:tc>
          <w:tcPr>
            <w:tcW w:w="4833" w:type="dxa"/>
            <w:gridSpan w:val="3"/>
            <w:shd w:val="clear" w:color="auto" w:fill="auto"/>
          </w:tcPr>
          <w:p w:rsidR="00FF7DC3" w:rsidRPr="005B23B1" w:rsidRDefault="005B23B1" w:rsidP="005B23B1">
            <w:pPr>
              <w:spacing w:before="120" w:after="120"/>
              <w:rPr>
                <w:rFonts w:asciiTheme="minorHAnsi" w:hAnsiTheme="minorHAnsi" w:cstheme="minorHAnsi"/>
                <w:sz w:val="22"/>
                <w:szCs w:val="22"/>
              </w:rPr>
            </w:pPr>
            <w:r w:rsidRPr="005B23B1">
              <w:rPr>
                <w:rFonts w:asciiTheme="minorHAnsi" w:hAnsiTheme="minorHAnsi" w:cstheme="minorHAnsi"/>
                <w:sz w:val="22"/>
                <w:szCs w:val="22"/>
              </w:rPr>
              <w:t>Mr David Griffith, Chief of Staff</w:t>
            </w:r>
          </w:p>
        </w:tc>
      </w:tr>
      <w:tr w:rsidR="00FF7DC3" w:rsidRPr="00EE30C9" w:rsidTr="006A12C2">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Countries visited</w:t>
            </w:r>
          </w:p>
        </w:tc>
        <w:tc>
          <w:tcPr>
            <w:tcW w:w="4833" w:type="dxa"/>
            <w:gridSpan w:val="3"/>
            <w:shd w:val="clear" w:color="auto" w:fill="auto"/>
          </w:tcPr>
          <w:p w:rsidR="00FF7DC3" w:rsidRPr="00EE30C9" w:rsidRDefault="005B23B1" w:rsidP="00172763">
            <w:pPr>
              <w:spacing w:before="120" w:after="120"/>
              <w:rPr>
                <w:rFonts w:asciiTheme="minorHAnsi" w:hAnsiTheme="minorHAnsi" w:cstheme="minorHAnsi"/>
                <w:sz w:val="22"/>
                <w:szCs w:val="22"/>
              </w:rPr>
            </w:pPr>
            <w:r>
              <w:rPr>
                <w:rFonts w:asciiTheme="minorHAnsi" w:hAnsiTheme="minorHAnsi" w:cstheme="minorHAnsi"/>
                <w:sz w:val="22"/>
                <w:szCs w:val="22"/>
              </w:rPr>
              <w:t>People’s Republic of China</w:t>
            </w:r>
          </w:p>
        </w:tc>
      </w:tr>
      <w:tr w:rsidR="00FF7DC3" w:rsidRPr="00EE30C9" w:rsidTr="006A12C2">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Date of travel</w:t>
            </w:r>
          </w:p>
        </w:tc>
        <w:tc>
          <w:tcPr>
            <w:tcW w:w="4833" w:type="dxa"/>
            <w:gridSpan w:val="3"/>
            <w:shd w:val="clear" w:color="auto" w:fill="auto"/>
          </w:tcPr>
          <w:p w:rsidR="00FF7DC3" w:rsidRPr="00EE30C9" w:rsidRDefault="005B23B1" w:rsidP="00773A6F">
            <w:pPr>
              <w:spacing w:before="120" w:after="120"/>
              <w:rPr>
                <w:rFonts w:asciiTheme="minorHAnsi" w:hAnsiTheme="minorHAnsi" w:cstheme="minorHAnsi"/>
                <w:sz w:val="22"/>
                <w:szCs w:val="22"/>
              </w:rPr>
            </w:pPr>
            <w:r>
              <w:rPr>
                <w:rFonts w:asciiTheme="minorHAnsi" w:hAnsiTheme="minorHAnsi" w:cstheme="minorHAnsi"/>
                <w:sz w:val="22"/>
                <w:szCs w:val="22"/>
              </w:rPr>
              <w:t>3 – 10 November 2017</w:t>
            </w:r>
          </w:p>
        </w:tc>
      </w:tr>
      <w:tr w:rsidR="00FF7DC3" w:rsidRPr="00EE30C9" w:rsidTr="006A12C2">
        <w:tc>
          <w:tcPr>
            <w:tcW w:w="4644" w:type="dxa"/>
            <w:shd w:val="clear" w:color="auto" w:fill="auto"/>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Number of official travel d</w:t>
            </w:r>
            <w:r w:rsidR="00F7653F">
              <w:rPr>
                <w:rFonts w:asciiTheme="minorHAnsi" w:hAnsiTheme="minorHAnsi" w:cstheme="minorHAnsi"/>
                <w:b/>
                <w:sz w:val="22"/>
                <w:szCs w:val="22"/>
              </w:rPr>
              <w:t>ays (include day of departure an</w:t>
            </w:r>
            <w:r w:rsidRPr="00EE30C9">
              <w:rPr>
                <w:rFonts w:asciiTheme="minorHAnsi" w:hAnsiTheme="minorHAnsi" w:cstheme="minorHAnsi"/>
                <w:b/>
                <w:sz w:val="22"/>
                <w:szCs w:val="22"/>
              </w:rPr>
              <w:t>d day of return)</w:t>
            </w:r>
          </w:p>
        </w:tc>
        <w:tc>
          <w:tcPr>
            <w:tcW w:w="4833" w:type="dxa"/>
            <w:gridSpan w:val="3"/>
            <w:shd w:val="clear" w:color="auto" w:fill="auto"/>
          </w:tcPr>
          <w:p w:rsidR="00FF7DC3" w:rsidRPr="00EE30C9" w:rsidRDefault="005B23B1" w:rsidP="00172763">
            <w:pPr>
              <w:spacing w:before="120" w:after="120"/>
              <w:rPr>
                <w:rFonts w:asciiTheme="minorHAnsi" w:hAnsiTheme="minorHAnsi" w:cstheme="minorHAnsi"/>
                <w:sz w:val="22"/>
                <w:szCs w:val="22"/>
              </w:rPr>
            </w:pPr>
            <w:r>
              <w:rPr>
                <w:rFonts w:asciiTheme="minorHAnsi" w:hAnsiTheme="minorHAnsi" w:cstheme="minorHAnsi"/>
                <w:sz w:val="22"/>
                <w:szCs w:val="22"/>
              </w:rPr>
              <w:t>Eight</w:t>
            </w:r>
          </w:p>
        </w:tc>
      </w:tr>
      <w:tr w:rsidR="00FF7DC3" w:rsidRPr="00EE30C9" w:rsidTr="006A12C2">
        <w:tc>
          <w:tcPr>
            <w:tcW w:w="4644" w:type="dxa"/>
            <w:tcBorders>
              <w:bottom w:val="single" w:sz="4" w:space="0" w:color="auto"/>
            </w:tcBorders>
            <w:shd w:val="clear" w:color="auto" w:fill="auto"/>
          </w:tcPr>
          <w:p w:rsidR="00FF7DC3" w:rsidRPr="005B23B1" w:rsidRDefault="00FF7DC3" w:rsidP="00172763">
            <w:pPr>
              <w:spacing w:before="120" w:after="120"/>
              <w:rPr>
                <w:rFonts w:asciiTheme="minorHAnsi" w:hAnsiTheme="minorHAnsi" w:cstheme="minorHAnsi"/>
                <w:b/>
                <w:sz w:val="22"/>
                <w:szCs w:val="22"/>
                <w:highlight w:val="yellow"/>
              </w:rPr>
            </w:pPr>
            <w:r w:rsidRPr="001B1A96">
              <w:rPr>
                <w:rFonts w:asciiTheme="minorHAnsi" w:hAnsiTheme="minorHAnsi" w:cstheme="minorHAnsi"/>
                <w:b/>
                <w:sz w:val="22"/>
                <w:szCs w:val="22"/>
              </w:rPr>
              <w:t>Funding source (list Department/s or Agency)</w:t>
            </w:r>
          </w:p>
        </w:tc>
        <w:tc>
          <w:tcPr>
            <w:tcW w:w="4833" w:type="dxa"/>
            <w:gridSpan w:val="3"/>
            <w:tcBorders>
              <w:bottom w:val="single" w:sz="4" w:space="0" w:color="auto"/>
            </w:tcBorders>
            <w:shd w:val="clear" w:color="auto" w:fill="auto"/>
          </w:tcPr>
          <w:p w:rsidR="00FF7DC3" w:rsidRPr="00851972" w:rsidRDefault="001B1A96" w:rsidP="00172763">
            <w:pPr>
              <w:spacing w:before="120" w:after="120"/>
              <w:rPr>
                <w:rFonts w:asciiTheme="minorHAnsi" w:hAnsiTheme="minorHAnsi" w:cstheme="minorHAnsi"/>
                <w:sz w:val="22"/>
                <w:szCs w:val="22"/>
              </w:rPr>
            </w:pPr>
            <w:r w:rsidRPr="00851972">
              <w:rPr>
                <w:rFonts w:asciiTheme="minorHAnsi" w:hAnsiTheme="minorHAnsi" w:cstheme="minorHAnsi"/>
                <w:sz w:val="22"/>
                <w:szCs w:val="22"/>
              </w:rPr>
              <w:t>Minister’s Private Office</w:t>
            </w:r>
          </w:p>
          <w:p w:rsidR="001B1A96" w:rsidRPr="00851972" w:rsidRDefault="00851972" w:rsidP="00172763">
            <w:pPr>
              <w:spacing w:before="120" w:after="120"/>
              <w:rPr>
                <w:rFonts w:asciiTheme="minorHAnsi" w:hAnsiTheme="minorHAnsi" w:cstheme="minorHAnsi"/>
                <w:sz w:val="22"/>
                <w:szCs w:val="22"/>
              </w:rPr>
            </w:pPr>
            <w:r w:rsidRPr="00851972">
              <w:rPr>
                <w:rFonts w:asciiTheme="minorHAnsi" w:hAnsiTheme="minorHAnsi" w:cstheme="minorHAnsi"/>
                <w:sz w:val="22"/>
                <w:szCs w:val="22"/>
              </w:rPr>
              <w:t>Department of Environment, Land, Water and Planning</w:t>
            </w:r>
          </w:p>
          <w:p w:rsidR="00851972" w:rsidRDefault="00851972" w:rsidP="00172763">
            <w:pPr>
              <w:spacing w:before="120" w:after="120"/>
              <w:rPr>
                <w:rFonts w:asciiTheme="minorHAnsi" w:hAnsiTheme="minorHAnsi" w:cstheme="minorHAnsi"/>
                <w:sz w:val="22"/>
                <w:szCs w:val="22"/>
              </w:rPr>
            </w:pPr>
            <w:r w:rsidRPr="00851972">
              <w:rPr>
                <w:rFonts w:asciiTheme="minorHAnsi" w:hAnsiTheme="minorHAnsi" w:cstheme="minorHAnsi"/>
                <w:sz w:val="22"/>
                <w:szCs w:val="22"/>
              </w:rPr>
              <w:t>Department of Justice and Regulation</w:t>
            </w:r>
          </w:p>
          <w:p w:rsidR="00851972" w:rsidRDefault="00851972" w:rsidP="00172763">
            <w:pPr>
              <w:spacing w:before="120" w:after="120"/>
              <w:rPr>
                <w:rFonts w:asciiTheme="minorHAnsi" w:hAnsiTheme="minorHAnsi" w:cstheme="minorHAnsi"/>
                <w:sz w:val="22"/>
                <w:szCs w:val="22"/>
              </w:rPr>
            </w:pPr>
          </w:p>
          <w:p w:rsidR="00851972" w:rsidRPr="005B23B1" w:rsidRDefault="00851972" w:rsidP="00172763">
            <w:pPr>
              <w:spacing w:before="120" w:after="120"/>
              <w:rPr>
                <w:rFonts w:asciiTheme="minorHAnsi" w:hAnsiTheme="minorHAnsi" w:cstheme="minorHAnsi"/>
                <w:sz w:val="22"/>
                <w:szCs w:val="22"/>
                <w:highlight w:val="yellow"/>
              </w:rPr>
            </w:pPr>
          </w:p>
        </w:tc>
      </w:tr>
      <w:tr w:rsidR="00FF7DC3" w:rsidRPr="00EE30C9" w:rsidTr="00172763">
        <w:tc>
          <w:tcPr>
            <w:tcW w:w="6408" w:type="dxa"/>
            <w:gridSpan w:val="2"/>
            <w:shd w:val="clear" w:color="auto" w:fill="C0C0C0"/>
          </w:tcPr>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b/>
                <w:sz w:val="22"/>
                <w:szCs w:val="22"/>
              </w:rPr>
              <w:t>EXPENSES</w:t>
            </w:r>
          </w:p>
          <w:p w:rsidR="00FF7DC3" w:rsidRPr="00EE30C9" w:rsidRDefault="00FF7DC3" w:rsidP="00172763">
            <w:pPr>
              <w:spacing w:before="120" w:after="120"/>
              <w:rPr>
                <w:rFonts w:asciiTheme="minorHAnsi" w:hAnsiTheme="minorHAnsi" w:cstheme="minorHAnsi"/>
                <w:b/>
                <w:sz w:val="22"/>
                <w:szCs w:val="22"/>
              </w:rPr>
            </w:pPr>
            <w:r w:rsidRPr="00EE30C9">
              <w:rPr>
                <w:rFonts w:asciiTheme="minorHAnsi" w:hAnsiTheme="minorHAnsi" w:cstheme="minorHAnsi"/>
                <w:i/>
                <w:sz w:val="22"/>
                <w:szCs w:val="22"/>
              </w:rPr>
              <w:lastRenderedPageBreak/>
              <w:t>Include combined expenses for Minister, accompanying staff and spouse (if accompanying in an official capacity)</w:t>
            </w:r>
          </w:p>
        </w:tc>
        <w:tc>
          <w:tcPr>
            <w:tcW w:w="3069" w:type="dxa"/>
            <w:gridSpan w:val="2"/>
            <w:shd w:val="clear" w:color="auto" w:fill="C0C0C0"/>
          </w:tcPr>
          <w:p w:rsidR="00FF7DC3" w:rsidRPr="007D067D" w:rsidRDefault="00FF7DC3" w:rsidP="00172763">
            <w:pPr>
              <w:spacing w:before="120" w:after="120"/>
              <w:jc w:val="center"/>
              <w:rPr>
                <w:rFonts w:asciiTheme="minorHAnsi" w:hAnsiTheme="minorHAnsi" w:cstheme="minorHAnsi"/>
                <w:b/>
                <w:sz w:val="22"/>
                <w:szCs w:val="22"/>
              </w:rPr>
            </w:pPr>
          </w:p>
        </w:tc>
      </w:tr>
      <w:tr w:rsidR="00FF7DC3" w:rsidRPr="00EE30C9" w:rsidTr="00172763">
        <w:tc>
          <w:tcPr>
            <w:tcW w:w="6408" w:type="dxa"/>
            <w:gridSpan w:val="2"/>
            <w:shd w:val="clear" w:color="auto" w:fill="auto"/>
          </w:tcPr>
          <w:p w:rsidR="00FF7DC3" w:rsidRPr="00851972" w:rsidRDefault="00FF7DC3" w:rsidP="00172763">
            <w:pPr>
              <w:spacing w:before="120" w:after="120"/>
              <w:rPr>
                <w:rFonts w:asciiTheme="minorHAnsi" w:hAnsiTheme="minorHAnsi" w:cstheme="minorHAnsi"/>
                <w:b/>
                <w:sz w:val="22"/>
                <w:szCs w:val="22"/>
              </w:rPr>
            </w:pPr>
            <w:r w:rsidRPr="00851972">
              <w:rPr>
                <w:rFonts w:asciiTheme="minorHAnsi" w:hAnsiTheme="minorHAnsi" w:cstheme="minorHAnsi"/>
                <w:b/>
                <w:sz w:val="22"/>
                <w:szCs w:val="22"/>
              </w:rPr>
              <w:lastRenderedPageBreak/>
              <w:t xml:space="preserve">Air fares (including taxes and fees) </w:t>
            </w:r>
          </w:p>
        </w:tc>
        <w:tc>
          <w:tcPr>
            <w:tcW w:w="3069" w:type="dxa"/>
            <w:gridSpan w:val="2"/>
            <w:shd w:val="clear" w:color="auto" w:fill="auto"/>
          </w:tcPr>
          <w:p w:rsidR="00FF7DC3" w:rsidRPr="00851972" w:rsidRDefault="00282DE4" w:rsidP="00172763">
            <w:pPr>
              <w:spacing w:before="120" w:after="120"/>
              <w:jc w:val="center"/>
              <w:rPr>
                <w:rFonts w:asciiTheme="minorHAnsi" w:hAnsiTheme="minorHAnsi" w:cstheme="minorHAnsi"/>
                <w:sz w:val="22"/>
                <w:szCs w:val="22"/>
              </w:rPr>
            </w:pPr>
            <w:r w:rsidRPr="00851972">
              <w:rPr>
                <w:rFonts w:asciiTheme="minorHAnsi" w:hAnsiTheme="minorHAnsi" w:cstheme="minorHAnsi"/>
                <w:sz w:val="22"/>
                <w:szCs w:val="22"/>
              </w:rPr>
              <w:t>$</w:t>
            </w:r>
            <w:r w:rsidR="00851972" w:rsidRPr="00851972">
              <w:rPr>
                <w:rFonts w:asciiTheme="minorHAnsi" w:hAnsiTheme="minorHAnsi" w:cstheme="minorHAnsi"/>
                <w:sz w:val="22"/>
                <w:szCs w:val="22"/>
              </w:rPr>
              <w:t>15877.48</w:t>
            </w:r>
          </w:p>
        </w:tc>
      </w:tr>
      <w:tr w:rsidR="00FF7DC3" w:rsidRPr="00EE30C9" w:rsidTr="00172763">
        <w:tc>
          <w:tcPr>
            <w:tcW w:w="6408" w:type="dxa"/>
            <w:gridSpan w:val="2"/>
            <w:shd w:val="clear" w:color="auto" w:fill="auto"/>
          </w:tcPr>
          <w:p w:rsidR="00FF7DC3" w:rsidRPr="00851972" w:rsidRDefault="00FF7DC3" w:rsidP="00172763">
            <w:pPr>
              <w:spacing w:before="120" w:after="120"/>
              <w:rPr>
                <w:rFonts w:asciiTheme="minorHAnsi" w:hAnsiTheme="minorHAnsi" w:cstheme="minorHAnsi"/>
                <w:b/>
                <w:sz w:val="22"/>
                <w:szCs w:val="22"/>
              </w:rPr>
            </w:pPr>
            <w:r w:rsidRPr="00851972">
              <w:rPr>
                <w:rFonts w:asciiTheme="minorHAnsi" w:hAnsiTheme="minorHAnsi" w:cstheme="minorHAnsi"/>
                <w:b/>
                <w:sz w:val="22"/>
                <w:szCs w:val="22"/>
              </w:rPr>
              <w:t xml:space="preserve">Accommodation (including taxes and fees) </w:t>
            </w:r>
          </w:p>
        </w:tc>
        <w:tc>
          <w:tcPr>
            <w:tcW w:w="3069" w:type="dxa"/>
            <w:gridSpan w:val="2"/>
            <w:shd w:val="clear" w:color="auto" w:fill="auto"/>
          </w:tcPr>
          <w:p w:rsidR="00FF7DC3" w:rsidRPr="00851972" w:rsidRDefault="00282DE4" w:rsidP="00172763">
            <w:pPr>
              <w:spacing w:before="120" w:after="120"/>
              <w:jc w:val="center"/>
              <w:rPr>
                <w:rFonts w:asciiTheme="minorHAnsi" w:hAnsiTheme="minorHAnsi" w:cstheme="minorHAnsi"/>
                <w:sz w:val="22"/>
                <w:szCs w:val="22"/>
              </w:rPr>
            </w:pPr>
            <w:r w:rsidRPr="00851972">
              <w:rPr>
                <w:rFonts w:asciiTheme="minorHAnsi" w:hAnsiTheme="minorHAnsi" w:cstheme="minorHAnsi"/>
                <w:sz w:val="22"/>
                <w:szCs w:val="22"/>
              </w:rPr>
              <w:t>$</w:t>
            </w:r>
            <w:r w:rsidR="00851972" w:rsidRPr="00851972">
              <w:rPr>
                <w:rFonts w:asciiTheme="minorHAnsi" w:hAnsiTheme="minorHAnsi" w:cstheme="minorHAnsi"/>
                <w:sz w:val="22"/>
                <w:szCs w:val="22"/>
              </w:rPr>
              <w:t>4652.24</w:t>
            </w:r>
          </w:p>
        </w:tc>
      </w:tr>
      <w:tr w:rsidR="00FF7DC3" w:rsidRPr="00EE30C9" w:rsidTr="00172763">
        <w:tc>
          <w:tcPr>
            <w:tcW w:w="6408" w:type="dxa"/>
            <w:gridSpan w:val="2"/>
            <w:shd w:val="clear" w:color="auto" w:fill="auto"/>
          </w:tcPr>
          <w:p w:rsidR="00FF7DC3" w:rsidRPr="00851972" w:rsidRDefault="00FF7DC3" w:rsidP="00172763">
            <w:pPr>
              <w:spacing w:before="120" w:after="120"/>
              <w:rPr>
                <w:rFonts w:asciiTheme="minorHAnsi" w:hAnsiTheme="minorHAnsi" w:cstheme="minorHAnsi"/>
                <w:b/>
                <w:sz w:val="22"/>
                <w:szCs w:val="22"/>
              </w:rPr>
            </w:pPr>
            <w:r w:rsidRPr="00851972">
              <w:rPr>
                <w:rFonts w:asciiTheme="minorHAnsi" w:hAnsiTheme="minorHAnsi" w:cstheme="minorHAnsi"/>
                <w:b/>
                <w:sz w:val="22"/>
                <w:szCs w:val="22"/>
              </w:rPr>
              <w:t>Other expenses (including surface travel and travel allowances)</w:t>
            </w:r>
          </w:p>
        </w:tc>
        <w:tc>
          <w:tcPr>
            <w:tcW w:w="3069" w:type="dxa"/>
            <w:gridSpan w:val="2"/>
            <w:shd w:val="clear" w:color="auto" w:fill="auto"/>
          </w:tcPr>
          <w:p w:rsidR="00FF7DC3" w:rsidRPr="00851972" w:rsidRDefault="00851972" w:rsidP="00282DE4">
            <w:pPr>
              <w:spacing w:before="120" w:after="120"/>
              <w:jc w:val="center"/>
              <w:rPr>
                <w:rFonts w:asciiTheme="minorHAnsi" w:hAnsiTheme="minorHAnsi" w:cstheme="minorHAnsi"/>
                <w:sz w:val="22"/>
                <w:szCs w:val="22"/>
              </w:rPr>
            </w:pPr>
            <w:r w:rsidRPr="00851972">
              <w:rPr>
                <w:rFonts w:asciiTheme="minorHAnsi" w:hAnsiTheme="minorHAnsi" w:cstheme="minorHAnsi"/>
                <w:sz w:val="22"/>
                <w:szCs w:val="22"/>
              </w:rPr>
              <w:t>2518.09</w:t>
            </w:r>
          </w:p>
        </w:tc>
      </w:tr>
      <w:tr w:rsidR="00FF7DC3" w:rsidRPr="00EE30C9" w:rsidTr="00172763">
        <w:tc>
          <w:tcPr>
            <w:tcW w:w="6408" w:type="dxa"/>
            <w:gridSpan w:val="2"/>
            <w:shd w:val="clear" w:color="auto" w:fill="auto"/>
          </w:tcPr>
          <w:p w:rsidR="00FF7DC3" w:rsidRPr="00851972" w:rsidRDefault="00FF7DC3" w:rsidP="00172763">
            <w:pPr>
              <w:spacing w:before="120" w:after="120"/>
              <w:rPr>
                <w:rFonts w:asciiTheme="minorHAnsi" w:hAnsiTheme="minorHAnsi" w:cstheme="minorHAnsi"/>
                <w:sz w:val="22"/>
                <w:szCs w:val="22"/>
              </w:rPr>
            </w:pPr>
            <w:r w:rsidRPr="00851972">
              <w:rPr>
                <w:rFonts w:asciiTheme="minorHAnsi" w:hAnsiTheme="minorHAnsi" w:cstheme="minorHAnsi"/>
                <w:b/>
                <w:sz w:val="22"/>
                <w:szCs w:val="22"/>
              </w:rPr>
              <w:t xml:space="preserve">Travel cost for Minister and ministerial staff </w:t>
            </w:r>
            <w:r w:rsidRPr="00851972">
              <w:rPr>
                <w:rFonts w:asciiTheme="minorHAnsi" w:hAnsiTheme="minorHAnsi" w:cstheme="minorHAnsi"/>
                <w:b/>
                <w:i/>
                <w:sz w:val="22"/>
                <w:szCs w:val="22"/>
              </w:rPr>
              <w:t>(and spouse or de facto partner if applicable)</w:t>
            </w:r>
            <w:r w:rsidRPr="00851972">
              <w:rPr>
                <w:rFonts w:asciiTheme="minorHAnsi" w:hAnsiTheme="minorHAnsi" w:cstheme="minorHAnsi"/>
                <w:sz w:val="22"/>
                <w:szCs w:val="22"/>
              </w:rPr>
              <w:t xml:space="preserve"> </w:t>
            </w:r>
          </w:p>
        </w:tc>
        <w:tc>
          <w:tcPr>
            <w:tcW w:w="3069" w:type="dxa"/>
            <w:gridSpan w:val="2"/>
            <w:shd w:val="clear" w:color="auto" w:fill="auto"/>
          </w:tcPr>
          <w:p w:rsidR="00FF7DC3" w:rsidRPr="00851972" w:rsidRDefault="0053077B" w:rsidP="00172763">
            <w:pPr>
              <w:spacing w:before="120" w:after="120"/>
              <w:jc w:val="center"/>
              <w:rPr>
                <w:rFonts w:asciiTheme="minorHAnsi" w:hAnsiTheme="minorHAnsi" w:cstheme="minorHAnsi"/>
                <w:sz w:val="22"/>
                <w:szCs w:val="22"/>
              </w:rPr>
            </w:pPr>
            <w:r w:rsidRPr="00851972">
              <w:rPr>
                <w:rFonts w:asciiTheme="minorHAnsi" w:hAnsiTheme="minorHAnsi" w:cstheme="minorHAnsi"/>
                <w:sz w:val="22"/>
                <w:szCs w:val="22"/>
              </w:rPr>
              <w:t>$</w:t>
            </w:r>
            <w:r w:rsidR="00851972" w:rsidRPr="00851972">
              <w:rPr>
                <w:rFonts w:asciiTheme="minorHAnsi" w:hAnsiTheme="minorHAnsi" w:cstheme="minorHAnsi"/>
                <w:sz w:val="22"/>
                <w:szCs w:val="22"/>
              </w:rPr>
              <w:t>23047.81</w:t>
            </w:r>
          </w:p>
        </w:tc>
      </w:tr>
      <w:tr w:rsidR="00FF7DC3" w:rsidRPr="00EE30C9" w:rsidTr="00172763">
        <w:tc>
          <w:tcPr>
            <w:tcW w:w="6408" w:type="dxa"/>
            <w:gridSpan w:val="2"/>
            <w:shd w:val="clear" w:color="auto" w:fill="auto"/>
          </w:tcPr>
          <w:p w:rsidR="00FF7DC3" w:rsidRPr="00EE30C9" w:rsidRDefault="00FF7DC3" w:rsidP="00C26E3F">
            <w:pPr>
              <w:spacing w:before="120" w:after="120"/>
              <w:rPr>
                <w:rFonts w:asciiTheme="minorHAnsi" w:hAnsiTheme="minorHAnsi" w:cstheme="minorHAnsi"/>
                <w:b/>
                <w:sz w:val="22"/>
                <w:szCs w:val="22"/>
              </w:rPr>
            </w:pPr>
            <w:r w:rsidRPr="00EE30C9">
              <w:rPr>
                <w:rFonts w:asciiTheme="minorHAnsi" w:hAnsiTheme="minorHAnsi" w:cstheme="minorHAnsi"/>
                <w:b/>
                <w:sz w:val="22"/>
                <w:szCs w:val="22"/>
              </w:rPr>
              <w:t>Are the above costs final and complete</w:t>
            </w:r>
            <w:r w:rsidR="00C26E3F">
              <w:rPr>
                <w:rFonts w:asciiTheme="minorHAnsi" w:hAnsiTheme="minorHAnsi" w:cstheme="minorHAnsi"/>
                <w:sz w:val="22"/>
                <w:szCs w:val="22"/>
              </w:rPr>
              <w:t>?*</w:t>
            </w:r>
          </w:p>
        </w:tc>
        <w:tc>
          <w:tcPr>
            <w:tcW w:w="3069" w:type="dxa"/>
            <w:gridSpan w:val="2"/>
            <w:shd w:val="clear" w:color="auto" w:fill="auto"/>
          </w:tcPr>
          <w:p w:rsidR="00FF7DC3" w:rsidRPr="007D067D" w:rsidRDefault="00FF7DC3" w:rsidP="007D067D">
            <w:pPr>
              <w:spacing w:before="120" w:after="120"/>
              <w:rPr>
                <w:rFonts w:asciiTheme="minorHAnsi" w:hAnsiTheme="minorHAnsi" w:cstheme="minorHAnsi"/>
                <w:sz w:val="22"/>
                <w:szCs w:val="22"/>
              </w:rPr>
            </w:pPr>
            <w:r w:rsidRPr="007D067D">
              <w:rPr>
                <w:rFonts w:asciiTheme="minorHAnsi" w:hAnsiTheme="minorHAnsi" w:cstheme="minorHAnsi"/>
                <w:sz w:val="22"/>
                <w:szCs w:val="22"/>
              </w:rPr>
              <w:t xml:space="preserve">NO  </w:t>
            </w:r>
          </w:p>
        </w:tc>
      </w:tr>
    </w:tbl>
    <w:p w:rsidR="00FF7DC3" w:rsidRDefault="00F12D2E" w:rsidP="00F12D2E">
      <w:pPr>
        <w:pStyle w:val="Header"/>
        <w:ind w:left="1134" w:hanging="1080"/>
        <w:rPr>
          <w:rFonts w:asciiTheme="minorHAnsi" w:hAnsiTheme="minorHAnsi" w:cstheme="minorHAnsi"/>
          <w:sz w:val="16"/>
          <w:szCs w:val="16"/>
        </w:rPr>
      </w:pPr>
      <w:r w:rsidRPr="00F12D2E">
        <w:rPr>
          <w:rFonts w:asciiTheme="minorHAnsi" w:hAnsiTheme="minorHAnsi" w:cstheme="minorHAnsi"/>
          <w:sz w:val="16"/>
          <w:szCs w:val="16"/>
        </w:rPr>
        <w:t>*correct at the time of publication</w:t>
      </w:r>
    </w:p>
    <w:p w:rsidR="00F12D2E" w:rsidRPr="00F12D2E" w:rsidRDefault="00F12D2E" w:rsidP="00F12D2E">
      <w:pPr>
        <w:pStyle w:val="Header"/>
        <w:ind w:left="1134" w:hanging="1080"/>
        <w:rPr>
          <w:rFonts w:asciiTheme="minorHAnsi" w:hAnsiTheme="minorHAnsi" w:cstheme="minorHAnsi"/>
          <w:b/>
          <w:i/>
          <w:color w:val="999999"/>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FF7DC3" w:rsidRPr="00EE30C9" w:rsidTr="00172763">
        <w:tc>
          <w:tcPr>
            <w:tcW w:w="9477" w:type="dxa"/>
            <w:shd w:val="clear" w:color="auto" w:fill="auto"/>
          </w:tcPr>
          <w:p w:rsidR="007D067D" w:rsidRPr="001E35A4" w:rsidRDefault="00FF7DC3" w:rsidP="008F5497">
            <w:pPr>
              <w:jc w:val="both"/>
              <w:rPr>
                <w:rFonts w:asciiTheme="minorHAnsi" w:hAnsiTheme="minorHAnsi" w:cstheme="minorHAnsi"/>
                <w:b/>
                <w:sz w:val="22"/>
                <w:szCs w:val="22"/>
              </w:rPr>
            </w:pPr>
            <w:r w:rsidRPr="001E35A4">
              <w:rPr>
                <w:rFonts w:asciiTheme="minorHAnsi" w:hAnsiTheme="minorHAnsi" w:cstheme="minorHAnsi"/>
                <w:b/>
                <w:sz w:val="22"/>
                <w:szCs w:val="22"/>
              </w:rPr>
              <w:t>Purpose of travel</w:t>
            </w:r>
            <w:r w:rsidR="008F5497">
              <w:rPr>
                <w:rFonts w:asciiTheme="minorHAnsi" w:hAnsiTheme="minorHAnsi" w:cstheme="minorHAnsi"/>
                <w:b/>
                <w:sz w:val="22"/>
                <w:szCs w:val="22"/>
              </w:rPr>
              <w:t xml:space="preserve"> / Importance of China to Victoria</w:t>
            </w:r>
          </w:p>
          <w:p w:rsidR="005C2ABF" w:rsidRDefault="005B23B1" w:rsidP="003F2DC8">
            <w:pPr>
              <w:jc w:val="both"/>
              <w:rPr>
                <w:rFonts w:asciiTheme="minorHAnsi" w:hAnsiTheme="minorHAnsi" w:cstheme="minorHAnsi"/>
                <w:sz w:val="22"/>
                <w:szCs w:val="22"/>
              </w:rPr>
            </w:pPr>
            <w:r>
              <w:rPr>
                <w:rFonts w:asciiTheme="minorHAnsi" w:hAnsiTheme="minorHAnsi" w:cstheme="minorHAnsi"/>
                <w:sz w:val="22"/>
                <w:szCs w:val="22"/>
              </w:rPr>
              <w:t xml:space="preserve">From 3 – 10 November 2017, I travelled to the People’s Republic of China to visit Hong Kong and the Jiangsu Province. </w:t>
            </w:r>
          </w:p>
          <w:p w:rsidR="005C2ABF" w:rsidRDefault="005C2ABF" w:rsidP="003F2DC8">
            <w:pPr>
              <w:jc w:val="both"/>
              <w:rPr>
                <w:rFonts w:asciiTheme="minorHAnsi" w:hAnsiTheme="minorHAnsi" w:cstheme="minorHAnsi"/>
                <w:sz w:val="22"/>
                <w:szCs w:val="22"/>
              </w:rPr>
            </w:pPr>
          </w:p>
          <w:p w:rsidR="005C2ABF" w:rsidRDefault="005B23B1" w:rsidP="003F2DC8">
            <w:pPr>
              <w:jc w:val="both"/>
              <w:rPr>
                <w:rFonts w:asciiTheme="minorHAnsi" w:hAnsiTheme="minorHAnsi" w:cstheme="minorHAnsi"/>
                <w:sz w:val="22"/>
                <w:szCs w:val="22"/>
              </w:rPr>
            </w:pPr>
            <w:r>
              <w:rPr>
                <w:rFonts w:asciiTheme="minorHAnsi" w:hAnsiTheme="minorHAnsi" w:cstheme="minorHAnsi"/>
                <w:sz w:val="22"/>
                <w:szCs w:val="22"/>
              </w:rPr>
              <w:t>During my time in Hong Kong I was able to witness law enforcement efforts to address cyber-crime, organised crime</w:t>
            </w:r>
            <w:r w:rsidR="003F2DC8">
              <w:rPr>
                <w:rFonts w:asciiTheme="minorHAnsi" w:hAnsiTheme="minorHAnsi" w:cstheme="minorHAnsi"/>
                <w:sz w:val="22"/>
                <w:szCs w:val="22"/>
              </w:rPr>
              <w:t>, street offending</w:t>
            </w:r>
            <w:r>
              <w:rPr>
                <w:rFonts w:asciiTheme="minorHAnsi" w:hAnsiTheme="minorHAnsi" w:cstheme="minorHAnsi"/>
                <w:sz w:val="22"/>
                <w:szCs w:val="22"/>
              </w:rPr>
              <w:t xml:space="preserve"> and public order issues, </w:t>
            </w:r>
            <w:r w:rsidR="007410FF">
              <w:rPr>
                <w:rFonts w:asciiTheme="minorHAnsi" w:hAnsiTheme="minorHAnsi" w:cstheme="minorHAnsi"/>
                <w:sz w:val="22"/>
                <w:szCs w:val="22"/>
              </w:rPr>
              <w:t>build the relationship</w:t>
            </w:r>
            <w:r>
              <w:rPr>
                <w:rFonts w:asciiTheme="minorHAnsi" w:hAnsiTheme="minorHAnsi" w:cstheme="minorHAnsi"/>
                <w:sz w:val="22"/>
                <w:szCs w:val="22"/>
              </w:rPr>
              <w:t xml:space="preserve"> between Victoria Police and Hong Kong law enforcement agencies. </w:t>
            </w:r>
          </w:p>
          <w:p w:rsidR="005C2ABF" w:rsidRDefault="005C2ABF" w:rsidP="003F2DC8">
            <w:pPr>
              <w:jc w:val="both"/>
              <w:rPr>
                <w:rFonts w:asciiTheme="minorHAnsi" w:hAnsiTheme="minorHAnsi" w:cstheme="minorHAnsi"/>
                <w:sz w:val="22"/>
                <w:szCs w:val="22"/>
              </w:rPr>
            </w:pPr>
          </w:p>
          <w:p w:rsidR="00E84703" w:rsidRPr="0062658C" w:rsidRDefault="005B23B1" w:rsidP="005C2ABF">
            <w:pPr>
              <w:jc w:val="both"/>
              <w:rPr>
                <w:rFonts w:asciiTheme="minorHAnsi" w:hAnsiTheme="minorHAnsi" w:cstheme="minorHAnsi"/>
                <w:sz w:val="22"/>
                <w:szCs w:val="22"/>
              </w:rPr>
            </w:pPr>
            <w:r>
              <w:rPr>
                <w:rFonts w:asciiTheme="minorHAnsi" w:hAnsiTheme="minorHAnsi" w:cstheme="minorHAnsi"/>
                <w:sz w:val="22"/>
                <w:szCs w:val="22"/>
              </w:rPr>
              <w:t xml:space="preserve">In Jiangsu I toured new water projects that are leveraging Victorian experience and industry, </w:t>
            </w:r>
            <w:r w:rsidR="005C2ABF">
              <w:rPr>
                <w:rFonts w:asciiTheme="minorHAnsi" w:hAnsiTheme="minorHAnsi" w:cstheme="minorHAnsi"/>
                <w:sz w:val="22"/>
                <w:szCs w:val="22"/>
              </w:rPr>
              <w:t xml:space="preserve">and met with key officials to </w:t>
            </w:r>
            <w:r w:rsidR="003F2DC8">
              <w:rPr>
                <w:rFonts w:asciiTheme="minorHAnsi" w:hAnsiTheme="minorHAnsi" w:cstheme="minorHAnsi"/>
                <w:sz w:val="22"/>
                <w:szCs w:val="22"/>
              </w:rPr>
              <w:t>grow the important partnership bet</w:t>
            </w:r>
            <w:r>
              <w:rPr>
                <w:rFonts w:asciiTheme="minorHAnsi" w:hAnsiTheme="minorHAnsi" w:cstheme="minorHAnsi"/>
                <w:sz w:val="22"/>
                <w:szCs w:val="22"/>
              </w:rPr>
              <w:t xml:space="preserve">ween </w:t>
            </w:r>
            <w:r w:rsidR="003F2DC8">
              <w:rPr>
                <w:rFonts w:asciiTheme="minorHAnsi" w:hAnsiTheme="minorHAnsi" w:cstheme="minorHAnsi"/>
                <w:sz w:val="22"/>
                <w:szCs w:val="22"/>
              </w:rPr>
              <w:t>Chinese Government officials and Victoria’s innovative water sector.</w:t>
            </w:r>
            <w:r>
              <w:rPr>
                <w:rFonts w:asciiTheme="minorHAnsi" w:hAnsiTheme="minorHAnsi" w:cstheme="minorHAnsi"/>
                <w:sz w:val="22"/>
                <w:szCs w:val="22"/>
              </w:rPr>
              <w:t xml:space="preserve">  </w:t>
            </w:r>
          </w:p>
        </w:tc>
      </w:tr>
    </w:tbl>
    <w:p w:rsidR="00690C57" w:rsidRPr="00EE30C9" w:rsidRDefault="00690C57" w:rsidP="00EE30C9">
      <w:pPr>
        <w:pStyle w:val="Header"/>
        <w:rPr>
          <w:rFonts w:asciiTheme="minorHAnsi" w:hAnsiTheme="minorHAnsi" w:cstheme="minorHAnsi"/>
          <w:b/>
          <w:i/>
          <w:color w:val="999999"/>
          <w:sz w:val="22"/>
          <w:szCs w:val="22"/>
        </w:rPr>
      </w:pPr>
    </w:p>
    <w:tbl>
      <w:tblPr>
        <w:tblpPr w:leftFromText="180" w:rightFromText="180" w:vertAnchor="text" w:horzAnchor="margin" w:tblpY="10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FF7DC3" w:rsidRPr="00EE30C9" w:rsidTr="00172763">
        <w:tc>
          <w:tcPr>
            <w:tcW w:w="9477" w:type="dxa"/>
            <w:shd w:val="clear" w:color="auto" w:fill="auto"/>
          </w:tcPr>
          <w:p w:rsidR="00FF7DC3" w:rsidRDefault="00FF7DC3" w:rsidP="00172763">
            <w:pPr>
              <w:rPr>
                <w:rFonts w:asciiTheme="minorHAnsi" w:hAnsiTheme="minorHAnsi" w:cstheme="minorHAnsi"/>
                <w:b/>
                <w:sz w:val="22"/>
                <w:szCs w:val="22"/>
              </w:rPr>
            </w:pPr>
            <w:r w:rsidRPr="00EE30C9">
              <w:rPr>
                <w:rFonts w:asciiTheme="minorHAnsi" w:hAnsiTheme="minorHAnsi" w:cstheme="minorHAnsi"/>
                <w:b/>
                <w:sz w:val="22"/>
                <w:szCs w:val="22"/>
              </w:rPr>
              <w:t>Benefits of travel to the State of Victoria</w:t>
            </w:r>
          </w:p>
          <w:p w:rsidR="00C27EB3" w:rsidRPr="00EE30C9" w:rsidRDefault="00C27EB3" w:rsidP="00172763">
            <w:pPr>
              <w:rPr>
                <w:rFonts w:asciiTheme="minorHAnsi" w:hAnsiTheme="minorHAnsi" w:cstheme="minorHAnsi"/>
                <w:b/>
                <w:sz w:val="22"/>
                <w:szCs w:val="22"/>
              </w:rPr>
            </w:pPr>
          </w:p>
          <w:p w:rsidR="005C2ABF" w:rsidRDefault="005C2ABF" w:rsidP="005C2ABF">
            <w:pPr>
              <w:jc w:val="both"/>
              <w:rPr>
                <w:rFonts w:asciiTheme="minorHAnsi" w:hAnsiTheme="minorHAnsi" w:cstheme="minorHAnsi"/>
                <w:sz w:val="22"/>
                <w:szCs w:val="22"/>
              </w:rPr>
            </w:pPr>
            <w:r>
              <w:rPr>
                <w:rFonts w:asciiTheme="minorHAnsi" w:hAnsiTheme="minorHAnsi" w:cstheme="minorHAnsi"/>
                <w:sz w:val="22"/>
                <w:szCs w:val="22"/>
              </w:rPr>
              <w:t>As a result of the visit, Victoria strengthened its relationship with Hong Long law enforcement agencies. The relationship between the Hong Kong Police, the Australian Federal Police, and Victoria Police is vital to combatting international and organised crime networks. In addition the relationship with Victoria’s sister state, the Jiangsu Province has been further strengthened. For Victoria’s water sector this relationship is already delivering outcomes for Victorian firms</w:t>
            </w:r>
            <w:r w:rsidR="007410FF">
              <w:rPr>
                <w:rFonts w:asciiTheme="minorHAnsi" w:hAnsiTheme="minorHAnsi" w:cstheme="minorHAnsi"/>
                <w:sz w:val="22"/>
                <w:szCs w:val="22"/>
              </w:rPr>
              <w:t xml:space="preserve"> leading to further investment and jobs in Victoria</w:t>
            </w:r>
            <w:r>
              <w:rPr>
                <w:rFonts w:asciiTheme="minorHAnsi" w:hAnsiTheme="minorHAnsi" w:cstheme="minorHAnsi"/>
                <w:sz w:val="22"/>
                <w:szCs w:val="22"/>
              </w:rPr>
              <w:t>. This visit embedded the already strong relationship and explored further opportunities for Victorian investment.</w:t>
            </w:r>
          </w:p>
          <w:p w:rsidR="005C2ABF" w:rsidRDefault="005C2ABF" w:rsidP="005C2ABF">
            <w:pPr>
              <w:jc w:val="both"/>
              <w:rPr>
                <w:rFonts w:asciiTheme="minorHAnsi" w:hAnsiTheme="minorHAnsi" w:cstheme="minorHAnsi"/>
                <w:sz w:val="22"/>
                <w:szCs w:val="22"/>
              </w:rPr>
            </w:pPr>
          </w:p>
          <w:p w:rsidR="005C2ABF" w:rsidRPr="00EB5B9B" w:rsidRDefault="005C2ABF" w:rsidP="005C2ABF">
            <w:pPr>
              <w:jc w:val="both"/>
              <w:rPr>
                <w:rFonts w:asciiTheme="minorHAnsi" w:hAnsiTheme="minorHAnsi" w:cstheme="minorHAnsi"/>
                <w:b/>
                <w:sz w:val="22"/>
                <w:szCs w:val="22"/>
              </w:rPr>
            </w:pPr>
            <w:r w:rsidRPr="00EB5B9B">
              <w:rPr>
                <w:rFonts w:asciiTheme="minorHAnsi" w:hAnsiTheme="minorHAnsi" w:cstheme="minorHAnsi"/>
                <w:b/>
                <w:sz w:val="22"/>
                <w:szCs w:val="22"/>
              </w:rPr>
              <w:t>Hong Kong Special Administrative Region</w:t>
            </w:r>
          </w:p>
          <w:p w:rsidR="00EB5B9B" w:rsidRDefault="00EB5B9B"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EB5B9B">
              <w:rPr>
                <w:rFonts w:asciiTheme="minorHAnsi" w:hAnsiTheme="minorHAnsi" w:cstheme="minorHAnsi"/>
                <w:i/>
                <w:sz w:val="22"/>
                <w:szCs w:val="22"/>
              </w:rPr>
              <w:t>Organised crime and money laundering</w:t>
            </w:r>
          </w:p>
          <w:p w:rsidR="001242D3" w:rsidRDefault="001242D3" w:rsidP="005C2ABF">
            <w:pPr>
              <w:jc w:val="both"/>
              <w:rPr>
                <w:rFonts w:asciiTheme="minorHAnsi" w:hAnsiTheme="minorHAnsi" w:cstheme="minorHAnsi"/>
                <w:sz w:val="22"/>
                <w:szCs w:val="22"/>
              </w:rPr>
            </w:pPr>
          </w:p>
          <w:p w:rsidR="001242D3" w:rsidRDefault="001242D3" w:rsidP="005C2ABF">
            <w:pPr>
              <w:jc w:val="both"/>
              <w:rPr>
                <w:rFonts w:asciiTheme="minorHAnsi" w:hAnsiTheme="minorHAnsi" w:cstheme="minorHAnsi"/>
                <w:sz w:val="22"/>
                <w:szCs w:val="22"/>
              </w:rPr>
            </w:pPr>
            <w:r>
              <w:rPr>
                <w:rFonts w:asciiTheme="minorHAnsi" w:hAnsiTheme="minorHAnsi" w:cstheme="minorHAnsi"/>
                <w:sz w:val="22"/>
                <w:szCs w:val="22"/>
              </w:rPr>
              <w:t>Accompanied by the local AFP liaison officer</w:t>
            </w:r>
            <w:r w:rsidR="00B34CED">
              <w:rPr>
                <w:rFonts w:asciiTheme="minorHAnsi" w:hAnsiTheme="minorHAnsi" w:cstheme="minorHAnsi"/>
                <w:sz w:val="22"/>
                <w:szCs w:val="22"/>
              </w:rPr>
              <w:t>, and the Deputy Commissioner for Specialist Operations,</w:t>
            </w:r>
            <w:r>
              <w:rPr>
                <w:rFonts w:asciiTheme="minorHAnsi" w:hAnsiTheme="minorHAnsi" w:cstheme="minorHAnsi"/>
                <w:sz w:val="22"/>
                <w:szCs w:val="22"/>
              </w:rPr>
              <w:t xml:space="preserve"> I toured Macau and visited the Hong Kong Jockey Club to meet with the HKJC CEO and Director of Security and Integrity. </w:t>
            </w:r>
          </w:p>
          <w:p w:rsidR="001242D3" w:rsidRDefault="001242D3" w:rsidP="005C2ABF">
            <w:pPr>
              <w:jc w:val="both"/>
              <w:rPr>
                <w:rFonts w:asciiTheme="minorHAnsi" w:hAnsiTheme="minorHAnsi" w:cstheme="minorHAnsi"/>
                <w:sz w:val="22"/>
                <w:szCs w:val="22"/>
              </w:rPr>
            </w:pPr>
          </w:p>
          <w:p w:rsidR="00172763" w:rsidRPr="001242D3" w:rsidRDefault="001242D3" w:rsidP="005C2ABF">
            <w:pPr>
              <w:jc w:val="both"/>
              <w:rPr>
                <w:rFonts w:asciiTheme="minorHAnsi" w:hAnsiTheme="minorHAnsi" w:cstheme="minorHAnsi"/>
                <w:sz w:val="22"/>
                <w:szCs w:val="22"/>
              </w:rPr>
            </w:pPr>
            <w:r>
              <w:rPr>
                <w:rFonts w:asciiTheme="minorHAnsi" w:hAnsiTheme="minorHAnsi" w:cstheme="minorHAnsi"/>
                <w:sz w:val="22"/>
                <w:szCs w:val="22"/>
              </w:rPr>
              <w:t xml:space="preserve">Both visits included briefings from the AFP about the risks of organised crime syndicates using the Macau casinos and the HKJC to launder money from their activities, particularly drug </w:t>
            </w:r>
            <w:r w:rsidR="00926F03">
              <w:rPr>
                <w:rFonts w:asciiTheme="minorHAnsi" w:hAnsiTheme="minorHAnsi" w:cstheme="minorHAnsi"/>
                <w:sz w:val="22"/>
                <w:szCs w:val="22"/>
              </w:rPr>
              <w:t xml:space="preserve">manufacture and </w:t>
            </w:r>
            <w:r>
              <w:rPr>
                <w:rFonts w:asciiTheme="minorHAnsi" w:hAnsiTheme="minorHAnsi" w:cstheme="minorHAnsi"/>
                <w:sz w:val="22"/>
                <w:szCs w:val="22"/>
              </w:rPr>
              <w:t>exportation. The HKJC briefings from their security team also involved briefings on sensitive sporting integrity matters.</w:t>
            </w:r>
            <w:r w:rsidR="00172763">
              <w:rPr>
                <w:rFonts w:asciiTheme="minorHAnsi" w:hAnsiTheme="minorHAnsi" w:cstheme="minorHAnsi"/>
                <w:sz w:val="22"/>
                <w:szCs w:val="22"/>
              </w:rPr>
              <w:t xml:space="preserve"> This provided opportunity t</w:t>
            </w:r>
            <w:r w:rsidR="00172763" w:rsidRPr="00172763">
              <w:rPr>
                <w:rFonts w:asciiTheme="minorHAnsi" w:hAnsiTheme="minorHAnsi" w:cstheme="minorHAnsi"/>
                <w:sz w:val="22"/>
                <w:szCs w:val="22"/>
              </w:rPr>
              <w:t>o learn from the</w:t>
            </w:r>
            <w:r w:rsidR="00172763">
              <w:rPr>
                <w:rFonts w:asciiTheme="minorHAnsi" w:hAnsiTheme="minorHAnsi" w:cstheme="minorHAnsi"/>
                <w:sz w:val="22"/>
                <w:szCs w:val="22"/>
              </w:rPr>
              <w:t xml:space="preserve"> HKJC about </w:t>
            </w:r>
            <w:r w:rsidR="00172763" w:rsidRPr="00172763">
              <w:rPr>
                <w:rFonts w:asciiTheme="minorHAnsi" w:hAnsiTheme="minorHAnsi" w:cstheme="minorHAnsi"/>
                <w:sz w:val="22"/>
                <w:szCs w:val="22"/>
              </w:rPr>
              <w:t xml:space="preserve">their approach to excluding </w:t>
            </w:r>
            <w:r w:rsidR="00172763">
              <w:rPr>
                <w:rFonts w:asciiTheme="minorHAnsi" w:hAnsiTheme="minorHAnsi" w:cstheme="minorHAnsi"/>
                <w:sz w:val="22"/>
                <w:szCs w:val="22"/>
              </w:rPr>
              <w:t>persons of interest f</w:t>
            </w:r>
            <w:r w:rsidR="00172763" w:rsidRPr="00172763">
              <w:rPr>
                <w:rFonts w:asciiTheme="minorHAnsi" w:hAnsiTheme="minorHAnsi" w:cstheme="minorHAnsi"/>
                <w:sz w:val="22"/>
                <w:szCs w:val="22"/>
              </w:rPr>
              <w:t xml:space="preserve">rom all racing activities, including race days, as well as how they target harden against ‘insider vulnerabilities’. There were also confidential discussions with </w:t>
            </w:r>
            <w:r w:rsidR="00172763">
              <w:rPr>
                <w:rFonts w:asciiTheme="minorHAnsi" w:hAnsiTheme="minorHAnsi" w:cstheme="minorHAnsi"/>
                <w:sz w:val="22"/>
                <w:szCs w:val="22"/>
              </w:rPr>
              <w:t>the HKJC</w:t>
            </w:r>
            <w:r w:rsidR="00172763" w:rsidRPr="00172763">
              <w:rPr>
                <w:rFonts w:asciiTheme="minorHAnsi" w:hAnsiTheme="minorHAnsi" w:cstheme="minorHAnsi"/>
                <w:sz w:val="22"/>
                <w:szCs w:val="22"/>
              </w:rPr>
              <w:t xml:space="preserve"> in relation to </w:t>
            </w:r>
            <w:r w:rsidR="00172763" w:rsidRPr="00172763">
              <w:rPr>
                <w:rFonts w:asciiTheme="minorHAnsi" w:hAnsiTheme="minorHAnsi" w:cstheme="minorHAnsi"/>
                <w:sz w:val="22"/>
                <w:szCs w:val="22"/>
              </w:rPr>
              <w:lastRenderedPageBreak/>
              <w:t xml:space="preserve">potential infiltrations of criminals into the industry. Given that Victoria Police has the only Sporting Integrity Intelligence Unit (SIIU) in Australia, these meetings have </w:t>
            </w:r>
            <w:r w:rsidR="00172763">
              <w:rPr>
                <w:rFonts w:asciiTheme="minorHAnsi" w:hAnsiTheme="minorHAnsi" w:cstheme="minorHAnsi"/>
                <w:sz w:val="22"/>
                <w:szCs w:val="22"/>
              </w:rPr>
              <w:t xml:space="preserve">already led to </w:t>
            </w:r>
            <w:r w:rsidR="00172763" w:rsidRPr="00172763">
              <w:rPr>
                <w:rFonts w:asciiTheme="minorHAnsi" w:hAnsiTheme="minorHAnsi" w:cstheme="minorHAnsi"/>
                <w:sz w:val="22"/>
                <w:szCs w:val="22"/>
              </w:rPr>
              <w:t>the Manager of their Sporting and Integrity Department communicate with Victoria Police and offer assistance regarding information exchange</w:t>
            </w:r>
            <w:r w:rsidR="00172763">
              <w:rPr>
                <w:rFonts w:asciiTheme="minorHAnsi" w:hAnsiTheme="minorHAnsi" w:cstheme="minorHAnsi"/>
                <w:sz w:val="22"/>
                <w:szCs w:val="22"/>
              </w:rPr>
              <w:t>.</w:t>
            </w:r>
          </w:p>
          <w:p w:rsidR="00EB5B9B" w:rsidRDefault="00EB5B9B" w:rsidP="005C2ABF">
            <w:pPr>
              <w:jc w:val="both"/>
              <w:rPr>
                <w:rFonts w:asciiTheme="minorHAnsi" w:hAnsiTheme="minorHAnsi" w:cstheme="minorHAnsi"/>
                <w:sz w:val="22"/>
                <w:szCs w:val="22"/>
              </w:rPr>
            </w:pPr>
          </w:p>
          <w:p w:rsidR="00172763" w:rsidRDefault="00172763" w:rsidP="00172763">
            <w:pPr>
              <w:jc w:val="both"/>
              <w:rPr>
                <w:rFonts w:asciiTheme="minorHAnsi" w:hAnsiTheme="minorHAnsi" w:cstheme="minorHAnsi"/>
                <w:sz w:val="22"/>
                <w:szCs w:val="22"/>
              </w:rPr>
            </w:pPr>
            <w:r>
              <w:rPr>
                <w:rFonts w:asciiTheme="minorHAnsi" w:hAnsiTheme="minorHAnsi" w:cstheme="minorHAnsi"/>
                <w:sz w:val="22"/>
                <w:szCs w:val="22"/>
              </w:rPr>
              <w:t>These visits and briefings will also inform any further consideration that the Victorian Government is giving to strengthening Casino and Racing Exclusion Orders, used to ban individuals suspected of being involved in organised crime from attending Victoria’s casino and racing tracks.</w:t>
            </w:r>
          </w:p>
          <w:p w:rsidR="00172763" w:rsidRDefault="00172763" w:rsidP="005C2ABF">
            <w:pPr>
              <w:jc w:val="both"/>
              <w:rPr>
                <w:rFonts w:asciiTheme="minorHAnsi" w:hAnsiTheme="minorHAnsi" w:cstheme="minorHAnsi"/>
                <w:sz w:val="22"/>
                <w:szCs w:val="22"/>
              </w:rPr>
            </w:pPr>
          </w:p>
          <w:p w:rsidR="00926F03" w:rsidRDefault="00926F03" w:rsidP="005C2ABF">
            <w:pPr>
              <w:jc w:val="both"/>
              <w:rPr>
                <w:rFonts w:asciiTheme="minorHAnsi" w:hAnsiTheme="minorHAnsi" w:cstheme="minorHAnsi"/>
                <w:i/>
                <w:sz w:val="22"/>
                <w:szCs w:val="22"/>
              </w:rPr>
            </w:pPr>
            <w:r>
              <w:rPr>
                <w:rFonts w:asciiTheme="minorHAnsi" w:hAnsiTheme="minorHAnsi" w:cstheme="minorHAnsi"/>
                <w:i/>
                <w:sz w:val="22"/>
                <w:szCs w:val="22"/>
              </w:rPr>
              <w:t>Meeting with the Hong Kong Commissioner of Police</w:t>
            </w:r>
          </w:p>
          <w:p w:rsidR="00926F03" w:rsidRDefault="00926F03" w:rsidP="005C2ABF">
            <w:pPr>
              <w:jc w:val="both"/>
              <w:rPr>
                <w:rFonts w:asciiTheme="minorHAnsi" w:hAnsiTheme="minorHAnsi" w:cstheme="minorHAnsi"/>
                <w:i/>
                <w:sz w:val="22"/>
                <w:szCs w:val="22"/>
              </w:rPr>
            </w:pPr>
          </w:p>
          <w:p w:rsidR="00926F03" w:rsidRPr="00926F03" w:rsidRDefault="00926F03" w:rsidP="005C2ABF">
            <w:pPr>
              <w:jc w:val="both"/>
              <w:rPr>
                <w:rFonts w:asciiTheme="minorHAnsi" w:hAnsiTheme="minorHAnsi" w:cstheme="minorHAnsi"/>
                <w:sz w:val="22"/>
                <w:szCs w:val="22"/>
              </w:rPr>
            </w:pPr>
            <w:r>
              <w:rPr>
                <w:rFonts w:asciiTheme="minorHAnsi" w:hAnsiTheme="minorHAnsi" w:cstheme="minorHAnsi"/>
                <w:sz w:val="22"/>
                <w:szCs w:val="22"/>
              </w:rPr>
              <w:t xml:space="preserve">I met with </w:t>
            </w:r>
            <w:r w:rsidR="007D6DF3">
              <w:rPr>
                <w:rFonts w:asciiTheme="minorHAnsi" w:hAnsiTheme="minorHAnsi" w:cstheme="minorHAnsi"/>
                <w:sz w:val="22"/>
                <w:szCs w:val="22"/>
              </w:rPr>
              <w:t>the Hong Kong Commissioner of Police, Mr Lo Wai-Chung and his executive command to discuss his operational priorities for Hong Kong. These priorities include tackling violent crime, organised crime</w:t>
            </w:r>
            <w:r w:rsidR="00B85427">
              <w:rPr>
                <w:rFonts w:asciiTheme="minorHAnsi" w:hAnsiTheme="minorHAnsi" w:cstheme="minorHAnsi"/>
                <w:sz w:val="22"/>
                <w:szCs w:val="22"/>
              </w:rPr>
              <w:t xml:space="preserve">, family violence, drug related harm, cyber crime, terrorism and public safety. </w:t>
            </w:r>
            <w:r w:rsidR="007D6DF3">
              <w:rPr>
                <w:rFonts w:asciiTheme="minorHAnsi" w:hAnsiTheme="minorHAnsi" w:cstheme="minorHAnsi"/>
                <w:sz w:val="22"/>
                <w:szCs w:val="22"/>
              </w:rPr>
              <w:t xml:space="preserve">  Accompanied by the AFP liaison officer and the Deputy Commissioner, </w:t>
            </w:r>
            <w:r w:rsidR="00B85427">
              <w:rPr>
                <w:rFonts w:asciiTheme="minorHAnsi" w:hAnsiTheme="minorHAnsi" w:cstheme="minorHAnsi"/>
                <w:sz w:val="22"/>
                <w:szCs w:val="22"/>
              </w:rPr>
              <w:t xml:space="preserve">this meeting afforded an opportunity to share Victoria’s experience on these matters and to explore opportunities for collaboration. </w:t>
            </w:r>
          </w:p>
          <w:p w:rsidR="00926F03" w:rsidRDefault="00926F03" w:rsidP="005C2ABF">
            <w:pPr>
              <w:jc w:val="both"/>
              <w:rPr>
                <w:rFonts w:asciiTheme="minorHAnsi" w:hAnsiTheme="minorHAnsi" w:cstheme="minorHAnsi"/>
                <w:i/>
                <w:sz w:val="22"/>
                <w:szCs w:val="22"/>
              </w:rPr>
            </w:pPr>
          </w:p>
          <w:p w:rsidR="00172763" w:rsidRDefault="00E00D10" w:rsidP="005C2ABF">
            <w:pPr>
              <w:jc w:val="both"/>
              <w:rPr>
                <w:rFonts w:asciiTheme="minorHAnsi" w:hAnsiTheme="minorHAnsi" w:cstheme="minorHAnsi"/>
                <w:sz w:val="22"/>
                <w:szCs w:val="22"/>
              </w:rPr>
            </w:pPr>
            <w:r>
              <w:rPr>
                <w:rFonts w:asciiTheme="minorHAnsi" w:hAnsiTheme="minorHAnsi" w:cstheme="minorHAnsi"/>
                <w:sz w:val="22"/>
                <w:szCs w:val="22"/>
              </w:rPr>
              <w:t xml:space="preserve">One specific outcome from the meeting was for Victoria Police to demonstrate to Hong Kong the efficacy of our drug driving testing regime. </w:t>
            </w:r>
            <w:r w:rsidR="00172763">
              <w:rPr>
                <w:rFonts w:asciiTheme="minorHAnsi" w:hAnsiTheme="minorHAnsi" w:cstheme="minorHAnsi"/>
                <w:sz w:val="22"/>
                <w:szCs w:val="22"/>
              </w:rPr>
              <w:t>The Hong Kong Police Force does not currently have a</w:t>
            </w:r>
            <w:r w:rsidR="00172763" w:rsidRPr="00172763">
              <w:rPr>
                <w:rFonts w:asciiTheme="minorHAnsi" w:hAnsiTheme="minorHAnsi" w:cstheme="minorHAnsi"/>
                <w:sz w:val="22"/>
                <w:szCs w:val="22"/>
              </w:rPr>
              <w:t xml:space="preserve"> roadside traffic drug testing capability. As a result </w:t>
            </w:r>
            <w:r w:rsidR="00172763">
              <w:rPr>
                <w:rFonts w:asciiTheme="minorHAnsi" w:hAnsiTheme="minorHAnsi" w:cstheme="minorHAnsi"/>
                <w:sz w:val="22"/>
                <w:szCs w:val="22"/>
              </w:rPr>
              <w:t xml:space="preserve">of the visit, </w:t>
            </w:r>
            <w:r w:rsidR="00172763" w:rsidRPr="00172763">
              <w:rPr>
                <w:rFonts w:asciiTheme="minorHAnsi" w:hAnsiTheme="minorHAnsi" w:cstheme="minorHAnsi"/>
                <w:sz w:val="22"/>
                <w:szCs w:val="22"/>
              </w:rPr>
              <w:t xml:space="preserve">Victoria Police has since hosted </w:t>
            </w:r>
            <w:r w:rsidR="00172763">
              <w:rPr>
                <w:rFonts w:asciiTheme="minorHAnsi" w:hAnsiTheme="minorHAnsi" w:cstheme="minorHAnsi"/>
                <w:sz w:val="22"/>
                <w:szCs w:val="22"/>
              </w:rPr>
              <w:t xml:space="preserve">a </w:t>
            </w:r>
            <w:r w:rsidR="00172763" w:rsidRPr="00172763">
              <w:rPr>
                <w:rFonts w:asciiTheme="minorHAnsi" w:hAnsiTheme="minorHAnsi" w:cstheme="minorHAnsi"/>
                <w:sz w:val="22"/>
                <w:szCs w:val="22"/>
              </w:rPr>
              <w:t xml:space="preserve">Chief Inspector </w:t>
            </w:r>
            <w:r w:rsidR="00172763">
              <w:rPr>
                <w:rFonts w:asciiTheme="minorHAnsi" w:hAnsiTheme="minorHAnsi" w:cstheme="minorHAnsi"/>
                <w:sz w:val="22"/>
                <w:szCs w:val="22"/>
              </w:rPr>
              <w:t>fr</w:t>
            </w:r>
            <w:r w:rsidR="00172763" w:rsidRPr="00172763">
              <w:rPr>
                <w:rFonts w:asciiTheme="minorHAnsi" w:hAnsiTheme="minorHAnsi" w:cstheme="minorHAnsi"/>
                <w:sz w:val="22"/>
                <w:szCs w:val="22"/>
              </w:rPr>
              <w:t>om the H</w:t>
            </w:r>
            <w:r w:rsidR="00172763">
              <w:rPr>
                <w:rFonts w:asciiTheme="minorHAnsi" w:hAnsiTheme="minorHAnsi" w:cstheme="minorHAnsi"/>
                <w:sz w:val="22"/>
                <w:szCs w:val="22"/>
              </w:rPr>
              <w:t xml:space="preserve">ong </w:t>
            </w:r>
            <w:r w:rsidR="00172763" w:rsidRPr="00172763">
              <w:rPr>
                <w:rFonts w:asciiTheme="minorHAnsi" w:hAnsiTheme="minorHAnsi" w:cstheme="minorHAnsi"/>
                <w:sz w:val="22"/>
                <w:szCs w:val="22"/>
              </w:rPr>
              <w:t>K</w:t>
            </w:r>
            <w:r w:rsidR="00172763">
              <w:rPr>
                <w:rFonts w:asciiTheme="minorHAnsi" w:hAnsiTheme="minorHAnsi" w:cstheme="minorHAnsi"/>
                <w:sz w:val="22"/>
                <w:szCs w:val="22"/>
              </w:rPr>
              <w:t>ong</w:t>
            </w:r>
            <w:r w:rsidR="00172763" w:rsidRPr="00172763">
              <w:rPr>
                <w:rFonts w:asciiTheme="minorHAnsi" w:hAnsiTheme="minorHAnsi" w:cstheme="minorHAnsi"/>
                <w:sz w:val="22"/>
                <w:szCs w:val="22"/>
              </w:rPr>
              <w:t xml:space="preserve"> Traffic Department, who visited Victoria Police for five days from 8/1/18 – 12/1/18. He was shown the workings of our drug testing model, drug and booze buses and the technology</w:t>
            </w:r>
            <w:r w:rsidR="00172763">
              <w:rPr>
                <w:rFonts w:asciiTheme="minorHAnsi" w:hAnsiTheme="minorHAnsi" w:cstheme="minorHAnsi"/>
                <w:sz w:val="22"/>
                <w:szCs w:val="22"/>
              </w:rPr>
              <w:t xml:space="preserve"> sitting behind it</w:t>
            </w:r>
            <w:r w:rsidR="00172763" w:rsidRPr="00172763">
              <w:rPr>
                <w:rFonts w:asciiTheme="minorHAnsi" w:hAnsiTheme="minorHAnsi" w:cstheme="minorHAnsi"/>
                <w:sz w:val="22"/>
                <w:szCs w:val="22"/>
              </w:rPr>
              <w:t xml:space="preserve">. He has </w:t>
            </w:r>
            <w:r w:rsidR="00172763">
              <w:rPr>
                <w:rFonts w:asciiTheme="minorHAnsi" w:hAnsiTheme="minorHAnsi" w:cstheme="minorHAnsi"/>
                <w:sz w:val="22"/>
                <w:szCs w:val="22"/>
              </w:rPr>
              <w:t xml:space="preserve">since </w:t>
            </w:r>
            <w:r w:rsidR="00172763" w:rsidRPr="00172763">
              <w:rPr>
                <w:rFonts w:asciiTheme="minorHAnsi" w:hAnsiTheme="minorHAnsi" w:cstheme="minorHAnsi"/>
                <w:sz w:val="22"/>
                <w:szCs w:val="22"/>
              </w:rPr>
              <w:t>taken the learnings from this back to the H</w:t>
            </w:r>
            <w:r w:rsidR="00172763">
              <w:rPr>
                <w:rFonts w:asciiTheme="minorHAnsi" w:hAnsiTheme="minorHAnsi" w:cstheme="minorHAnsi"/>
                <w:sz w:val="22"/>
                <w:szCs w:val="22"/>
              </w:rPr>
              <w:t xml:space="preserve">ong </w:t>
            </w:r>
            <w:r w:rsidR="00172763" w:rsidRPr="00172763">
              <w:rPr>
                <w:rFonts w:asciiTheme="minorHAnsi" w:hAnsiTheme="minorHAnsi" w:cstheme="minorHAnsi"/>
                <w:sz w:val="22"/>
                <w:szCs w:val="22"/>
              </w:rPr>
              <w:t>K</w:t>
            </w:r>
            <w:r w:rsidR="00172763">
              <w:rPr>
                <w:rFonts w:asciiTheme="minorHAnsi" w:hAnsiTheme="minorHAnsi" w:cstheme="minorHAnsi"/>
                <w:sz w:val="22"/>
                <w:szCs w:val="22"/>
              </w:rPr>
              <w:t>ong</w:t>
            </w:r>
            <w:r w:rsidR="00172763" w:rsidRPr="00172763">
              <w:rPr>
                <w:rFonts w:asciiTheme="minorHAnsi" w:hAnsiTheme="minorHAnsi" w:cstheme="minorHAnsi"/>
                <w:sz w:val="22"/>
                <w:szCs w:val="22"/>
              </w:rPr>
              <w:t xml:space="preserve"> Police Force and </w:t>
            </w:r>
            <w:r w:rsidR="00172763">
              <w:rPr>
                <w:rFonts w:asciiTheme="minorHAnsi" w:hAnsiTheme="minorHAnsi" w:cstheme="minorHAnsi"/>
                <w:sz w:val="22"/>
                <w:szCs w:val="22"/>
              </w:rPr>
              <w:t>Victoria Police is currently</w:t>
            </w:r>
            <w:r w:rsidR="00172763" w:rsidRPr="00172763">
              <w:rPr>
                <w:rFonts w:asciiTheme="minorHAnsi" w:hAnsiTheme="minorHAnsi" w:cstheme="minorHAnsi"/>
                <w:sz w:val="22"/>
                <w:szCs w:val="22"/>
              </w:rPr>
              <w:t xml:space="preserve"> assisting them in their progression of </w:t>
            </w:r>
            <w:r w:rsidR="00172763">
              <w:rPr>
                <w:rFonts w:asciiTheme="minorHAnsi" w:hAnsiTheme="minorHAnsi" w:cstheme="minorHAnsi"/>
                <w:sz w:val="22"/>
                <w:szCs w:val="22"/>
              </w:rPr>
              <w:t>a</w:t>
            </w:r>
            <w:r w:rsidR="00172763" w:rsidRPr="00172763">
              <w:rPr>
                <w:rFonts w:asciiTheme="minorHAnsi" w:hAnsiTheme="minorHAnsi" w:cstheme="minorHAnsi"/>
                <w:sz w:val="22"/>
                <w:szCs w:val="22"/>
              </w:rPr>
              <w:t xml:space="preserve"> capability </w:t>
            </w:r>
            <w:r w:rsidR="00172763">
              <w:rPr>
                <w:rFonts w:asciiTheme="minorHAnsi" w:hAnsiTheme="minorHAnsi" w:cstheme="minorHAnsi"/>
                <w:sz w:val="22"/>
                <w:szCs w:val="22"/>
              </w:rPr>
              <w:t>that</w:t>
            </w:r>
            <w:r w:rsidR="00172763" w:rsidRPr="00172763">
              <w:rPr>
                <w:rFonts w:asciiTheme="minorHAnsi" w:hAnsiTheme="minorHAnsi" w:cstheme="minorHAnsi"/>
                <w:sz w:val="22"/>
                <w:szCs w:val="22"/>
              </w:rPr>
              <w:t xml:space="preserve"> they previously did not have.</w:t>
            </w:r>
          </w:p>
          <w:p w:rsidR="00E00D10" w:rsidRDefault="00E00D10" w:rsidP="005C2ABF">
            <w:pPr>
              <w:jc w:val="both"/>
              <w:rPr>
                <w:rFonts w:asciiTheme="minorHAnsi" w:hAnsiTheme="minorHAnsi" w:cstheme="minorHAnsi"/>
                <w:sz w:val="22"/>
                <w:szCs w:val="22"/>
              </w:rPr>
            </w:pPr>
          </w:p>
          <w:p w:rsidR="00E00D10" w:rsidRPr="00172763" w:rsidRDefault="00E00D10" w:rsidP="005C2ABF">
            <w:pPr>
              <w:jc w:val="both"/>
              <w:rPr>
                <w:rFonts w:asciiTheme="minorHAnsi" w:hAnsiTheme="minorHAnsi" w:cstheme="minorHAnsi"/>
                <w:sz w:val="22"/>
                <w:szCs w:val="22"/>
              </w:rPr>
            </w:pPr>
            <w:r>
              <w:rPr>
                <w:rFonts w:asciiTheme="minorHAnsi" w:hAnsiTheme="minorHAnsi" w:cstheme="minorHAnsi"/>
                <w:sz w:val="22"/>
                <w:szCs w:val="22"/>
              </w:rPr>
              <w:t xml:space="preserve">There was also discussion regarding the use of Body Worn Cameras (BWCs). </w:t>
            </w:r>
            <w:r>
              <w:t xml:space="preserve"> </w:t>
            </w:r>
            <w:r>
              <w:rPr>
                <w:rFonts w:asciiTheme="minorHAnsi" w:hAnsiTheme="minorHAnsi" w:cstheme="minorHAnsi"/>
                <w:sz w:val="22"/>
                <w:szCs w:val="22"/>
              </w:rPr>
              <w:t>G</w:t>
            </w:r>
            <w:r w:rsidRPr="00E00D10">
              <w:rPr>
                <w:rFonts w:asciiTheme="minorHAnsi" w:hAnsiTheme="minorHAnsi" w:cstheme="minorHAnsi"/>
                <w:sz w:val="22"/>
                <w:szCs w:val="22"/>
              </w:rPr>
              <w:t xml:space="preserve">iven </w:t>
            </w:r>
            <w:r>
              <w:rPr>
                <w:rFonts w:asciiTheme="minorHAnsi" w:hAnsiTheme="minorHAnsi" w:cstheme="minorHAnsi"/>
                <w:sz w:val="22"/>
                <w:szCs w:val="22"/>
              </w:rPr>
              <w:t xml:space="preserve">Victoria is going to introduce BWCs across </w:t>
            </w:r>
            <w:r w:rsidRPr="00E00D10">
              <w:rPr>
                <w:rFonts w:asciiTheme="minorHAnsi" w:hAnsiTheme="minorHAnsi" w:cstheme="minorHAnsi"/>
                <w:sz w:val="22"/>
                <w:szCs w:val="22"/>
              </w:rPr>
              <w:t xml:space="preserve">Victoria Police, </w:t>
            </w:r>
            <w:r>
              <w:rPr>
                <w:rFonts w:asciiTheme="minorHAnsi" w:hAnsiTheme="minorHAnsi" w:cstheme="minorHAnsi"/>
                <w:sz w:val="22"/>
                <w:szCs w:val="22"/>
              </w:rPr>
              <w:t xml:space="preserve">Hong Kong Police </w:t>
            </w:r>
            <w:r w:rsidRPr="00E00D10">
              <w:rPr>
                <w:rFonts w:asciiTheme="minorHAnsi" w:hAnsiTheme="minorHAnsi" w:cstheme="minorHAnsi"/>
                <w:sz w:val="22"/>
                <w:szCs w:val="22"/>
              </w:rPr>
              <w:t xml:space="preserve">have offered to provide guidelines on </w:t>
            </w:r>
            <w:r>
              <w:rPr>
                <w:rFonts w:asciiTheme="minorHAnsi" w:hAnsiTheme="minorHAnsi" w:cstheme="minorHAnsi"/>
                <w:sz w:val="22"/>
                <w:szCs w:val="22"/>
              </w:rPr>
              <w:t xml:space="preserve">how they </w:t>
            </w:r>
            <w:r w:rsidRPr="00E00D10">
              <w:rPr>
                <w:rFonts w:asciiTheme="minorHAnsi" w:hAnsiTheme="minorHAnsi" w:cstheme="minorHAnsi"/>
                <w:sz w:val="22"/>
                <w:szCs w:val="22"/>
              </w:rPr>
              <w:t xml:space="preserve">use </w:t>
            </w:r>
            <w:r>
              <w:rPr>
                <w:rFonts w:asciiTheme="minorHAnsi" w:hAnsiTheme="minorHAnsi" w:cstheme="minorHAnsi"/>
                <w:sz w:val="22"/>
                <w:szCs w:val="22"/>
              </w:rPr>
              <w:t xml:space="preserve">BWCs, </w:t>
            </w:r>
            <w:r w:rsidRPr="00E00D10">
              <w:rPr>
                <w:rFonts w:asciiTheme="minorHAnsi" w:hAnsiTheme="minorHAnsi" w:cstheme="minorHAnsi"/>
                <w:sz w:val="22"/>
                <w:szCs w:val="22"/>
              </w:rPr>
              <w:t>allow</w:t>
            </w:r>
            <w:r>
              <w:rPr>
                <w:rFonts w:asciiTheme="minorHAnsi" w:hAnsiTheme="minorHAnsi" w:cstheme="minorHAnsi"/>
                <w:sz w:val="22"/>
                <w:szCs w:val="22"/>
              </w:rPr>
              <w:t xml:space="preserve">ing consideration of their policy and procedures as Victoria </w:t>
            </w:r>
            <w:r w:rsidRPr="00E00D10">
              <w:rPr>
                <w:rFonts w:asciiTheme="minorHAnsi" w:hAnsiTheme="minorHAnsi" w:cstheme="minorHAnsi"/>
                <w:sz w:val="22"/>
                <w:szCs w:val="22"/>
              </w:rPr>
              <w:t xml:space="preserve">consider </w:t>
            </w:r>
            <w:r>
              <w:rPr>
                <w:rFonts w:asciiTheme="minorHAnsi" w:hAnsiTheme="minorHAnsi" w:cstheme="minorHAnsi"/>
                <w:sz w:val="22"/>
                <w:szCs w:val="22"/>
              </w:rPr>
              <w:t xml:space="preserve">its own </w:t>
            </w:r>
            <w:r w:rsidRPr="00E00D10">
              <w:rPr>
                <w:rFonts w:asciiTheme="minorHAnsi" w:hAnsiTheme="minorHAnsi" w:cstheme="minorHAnsi"/>
                <w:sz w:val="22"/>
                <w:szCs w:val="22"/>
              </w:rPr>
              <w:t xml:space="preserve">policy implementation. </w:t>
            </w:r>
            <w:r>
              <w:rPr>
                <w:rFonts w:asciiTheme="minorHAnsi" w:hAnsiTheme="minorHAnsi" w:cstheme="minorHAnsi"/>
                <w:sz w:val="22"/>
                <w:szCs w:val="22"/>
              </w:rPr>
              <w:t>These d</w:t>
            </w:r>
            <w:r w:rsidRPr="00E00D10">
              <w:rPr>
                <w:rFonts w:asciiTheme="minorHAnsi" w:hAnsiTheme="minorHAnsi" w:cstheme="minorHAnsi"/>
                <w:sz w:val="22"/>
                <w:szCs w:val="22"/>
              </w:rPr>
              <w:t>iscussions are ongoing.</w:t>
            </w:r>
          </w:p>
          <w:p w:rsidR="00172763" w:rsidRPr="00172763" w:rsidRDefault="00172763"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Specialist police operations</w:t>
            </w:r>
          </w:p>
          <w:p w:rsidR="00B34CED" w:rsidRPr="00B34CED" w:rsidRDefault="00B34CED" w:rsidP="005C2ABF">
            <w:pPr>
              <w:jc w:val="both"/>
              <w:rPr>
                <w:rFonts w:asciiTheme="minorHAnsi" w:hAnsiTheme="minorHAnsi" w:cstheme="minorHAnsi"/>
                <w:sz w:val="22"/>
                <w:szCs w:val="22"/>
              </w:rPr>
            </w:pPr>
          </w:p>
          <w:p w:rsidR="00B34CED" w:rsidRDefault="00B34CED" w:rsidP="005C2ABF">
            <w:pPr>
              <w:jc w:val="both"/>
              <w:rPr>
                <w:rFonts w:asciiTheme="minorHAnsi" w:hAnsiTheme="minorHAnsi" w:cstheme="minorHAnsi"/>
                <w:sz w:val="22"/>
                <w:szCs w:val="22"/>
              </w:rPr>
            </w:pPr>
            <w:r>
              <w:rPr>
                <w:rFonts w:asciiTheme="minorHAnsi" w:hAnsiTheme="minorHAnsi" w:cstheme="minorHAnsi"/>
                <w:sz w:val="22"/>
                <w:szCs w:val="22"/>
              </w:rPr>
              <w:t xml:space="preserve">Hong Kong Police provided a specialist operations brief to myself, the AFP </w:t>
            </w:r>
            <w:r w:rsidR="001518E6">
              <w:rPr>
                <w:rFonts w:asciiTheme="minorHAnsi" w:hAnsiTheme="minorHAnsi" w:cstheme="minorHAnsi"/>
                <w:sz w:val="22"/>
                <w:szCs w:val="22"/>
              </w:rPr>
              <w:t xml:space="preserve">Hong Kong liaison officer </w:t>
            </w:r>
            <w:r>
              <w:rPr>
                <w:rFonts w:asciiTheme="minorHAnsi" w:hAnsiTheme="minorHAnsi" w:cstheme="minorHAnsi"/>
                <w:sz w:val="22"/>
                <w:szCs w:val="22"/>
              </w:rPr>
              <w:t>and the Deputy Commissioner on how they manage their operational activity and deploy police resources. This briefing covered counter-terrorism acti</w:t>
            </w:r>
            <w:r w:rsidR="001518E6">
              <w:rPr>
                <w:rFonts w:asciiTheme="minorHAnsi" w:hAnsiTheme="minorHAnsi" w:cstheme="minorHAnsi"/>
                <w:sz w:val="22"/>
                <w:szCs w:val="22"/>
              </w:rPr>
              <w:t>vities, capability and training and</w:t>
            </w:r>
            <w:r>
              <w:rPr>
                <w:rFonts w:asciiTheme="minorHAnsi" w:hAnsiTheme="minorHAnsi" w:cstheme="minorHAnsi"/>
                <w:sz w:val="22"/>
                <w:szCs w:val="22"/>
              </w:rPr>
              <w:t xml:space="preserve"> public order responses. It also involved meeting with members of Hong Kong’s Counter Terrorism Response Unit, the equivalent of Victoria’s Specialist Operations Group (SOG).</w:t>
            </w:r>
          </w:p>
          <w:p w:rsidR="00BA7F41" w:rsidRDefault="00BA7F41" w:rsidP="005C2ABF">
            <w:pPr>
              <w:jc w:val="both"/>
              <w:rPr>
                <w:rFonts w:asciiTheme="minorHAnsi" w:hAnsiTheme="minorHAnsi" w:cstheme="minorHAnsi"/>
                <w:sz w:val="22"/>
                <w:szCs w:val="22"/>
              </w:rPr>
            </w:pPr>
          </w:p>
          <w:p w:rsidR="00BA7F41" w:rsidRPr="00B34CED" w:rsidRDefault="00BA7F41" w:rsidP="005C2ABF">
            <w:pPr>
              <w:jc w:val="both"/>
              <w:rPr>
                <w:rFonts w:asciiTheme="minorHAnsi" w:hAnsiTheme="minorHAnsi" w:cstheme="minorHAnsi"/>
                <w:sz w:val="22"/>
                <w:szCs w:val="22"/>
              </w:rPr>
            </w:pPr>
            <w:r>
              <w:rPr>
                <w:rFonts w:asciiTheme="minorHAnsi" w:hAnsiTheme="minorHAnsi" w:cstheme="minorHAnsi"/>
                <w:sz w:val="22"/>
                <w:szCs w:val="22"/>
              </w:rPr>
              <w:t>These discussions provided an in</w:t>
            </w:r>
            <w:r w:rsidR="001518E6">
              <w:rPr>
                <w:rFonts w:asciiTheme="minorHAnsi" w:hAnsiTheme="minorHAnsi" w:cstheme="minorHAnsi"/>
                <w:sz w:val="22"/>
                <w:szCs w:val="22"/>
              </w:rPr>
              <w:t>sight into Hong Kong specialist policing capability and planning, and provided opportunity for further collaboration and learnings between Victoria and Hong Kong</w:t>
            </w:r>
            <w:r w:rsidR="00926F03">
              <w:rPr>
                <w:rFonts w:asciiTheme="minorHAnsi" w:hAnsiTheme="minorHAnsi" w:cstheme="minorHAnsi"/>
                <w:sz w:val="22"/>
                <w:szCs w:val="22"/>
              </w:rPr>
              <w:t xml:space="preserve"> on emerging public safety challenges</w:t>
            </w:r>
            <w:r w:rsidR="001518E6">
              <w:rPr>
                <w:rFonts w:asciiTheme="minorHAnsi" w:hAnsiTheme="minorHAnsi" w:cstheme="minorHAnsi"/>
                <w:sz w:val="22"/>
                <w:szCs w:val="22"/>
              </w:rPr>
              <w:t xml:space="preserve">.  </w:t>
            </w:r>
          </w:p>
          <w:p w:rsidR="00EB5B9B" w:rsidRDefault="00EB5B9B"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Cyber crime</w:t>
            </w:r>
          </w:p>
          <w:p w:rsidR="001518E6" w:rsidRDefault="001518E6" w:rsidP="005C2ABF">
            <w:pPr>
              <w:jc w:val="both"/>
              <w:rPr>
                <w:rFonts w:asciiTheme="minorHAnsi" w:hAnsiTheme="minorHAnsi" w:cstheme="minorHAnsi"/>
                <w:i/>
                <w:sz w:val="22"/>
                <w:szCs w:val="22"/>
              </w:rPr>
            </w:pPr>
          </w:p>
          <w:p w:rsidR="001518E6" w:rsidRDefault="001518E6" w:rsidP="005C2ABF">
            <w:pPr>
              <w:jc w:val="both"/>
              <w:rPr>
                <w:rFonts w:asciiTheme="minorHAnsi" w:hAnsiTheme="minorHAnsi" w:cstheme="minorHAnsi"/>
                <w:sz w:val="22"/>
                <w:szCs w:val="22"/>
              </w:rPr>
            </w:pPr>
            <w:r>
              <w:rPr>
                <w:rFonts w:asciiTheme="minorHAnsi" w:hAnsiTheme="minorHAnsi" w:cstheme="minorHAnsi"/>
                <w:sz w:val="22"/>
                <w:szCs w:val="22"/>
              </w:rPr>
              <w:t xml:space="preserve">The Hong Kong Cyber Security and Technology Crime Bureau (CSTCB) briefed myself, the Hong Kong AFP liaison officer and the Deputy Commissioner on cyber security issues, technology enabled crime, computer forensic capability, and cyber crime prevention initiatives. Given the use of technology by transnational and organised crime syndicates is a global law enforcement challenge, the briefing provided an opportunity to share information and explore opportunity for collaboration between </w:t>
            </w:r>
            <w:r>
              <w:rPr>
                <w:rFonts w:asciiTheme="minorHAnsi" w:hAnsiTheme="minorHAnsi" w:cstheme="minorHAnsi"/>
                <w:sz w:val="22"/>
                <w:szCs w:val="22"/>
              </w:rPr>
              <w:lastRenderedPageBreak/>
              <w:t>Victoria and Hong Kong on cyber crime capability. This is particularly important for international cities like Melbourne and Hong Kong with increasingly digital economies.</w:t>
            </w:r>
          </w:p>
          <w:p w:rsidR="00172763" w:rsidRDefault="00172763" w:rsidP="005C2ABF">
            <w:pPr>
              <w:jc w:val="both"/>
              <w:rPr>
                <w:rFonts w:asciiTheme="minorHAnsi" w:hAnsiTheme="minorHAnsi" w:cstheme="minorHAnsi"/>
                <w:sz w:val="22"/>
                <w:szCs w:val="22"/>
              </w:rPr>
            </w:pPr>
          </w:p>
          <w:p w:rsidR="00172763" w:rsidRPr="001518E6" w:rsidRDefault="00172763" w:rsidP="005C2ABF">
            <w:pPr>
              <w:jc w:val="both"/>
              <w:rPr>
                <w:rFonts w:asciiTheme="minorHAnsi" w:hAnsiTheme="minorHAnsi" w:cstheme="minorHAnsi"/>
                <w:sz w:val="22"/>
                <w:szCs w:val="22"/>
              </w:rPr>
            </w:pPr>
            <w:r>
              <w:rPr>
                <w:rFonts w:asciiTheme="minorHAnsi" w:hAnsiTheme="minorHAnsi" w:cstheme="minorHAnsi"/>
                <w:sz w:val="22"/>
                <w:szCs w:val="22"/>
              </w:rPr>
              <w:t xml:space="preserve">Of particular interest was the </w:t>
            </w:r>
            <w:r w:rsidRPr="00172763">
              <w:rPr>
                <w:rFonts w:asciiTheme="minorHAnsi" w:hAnsiTheme="minorHAnsi" w:cstheme="minorHAnsi"/>
                <w:sz w:val="22"/>
                <w:szCs w:val="22"/>
              </w:rPr>
              <w:t xml:space="preserve">focus of the </w:t>
            </w:r>
            <w:r>
              <w:rPr>
                <w:rFonts w:asciiTheme="minorHAnsi" w:hAnsiTheme="minorHAnsi" w:cstheme="minorHAnsi"/>
                <w:sz w:val="22"/>
                <w:szCs w:val="22"/>
              </w:rPr>
              <w:t xml:space="preserve">CSTCB is their </w:t>
            </w:r>
            <w:r w:rsidRPr="00172763">
              <w:rPr>
                <w:rFonts w:asciiTheme="minorHAnsi" w:hAnsiTheme="minorHAnsi" w:cstheme="minorHAnsi"/>
                <w:sz w:val="22"/>
                <w:szCs w:val="22"/>
              </w:rPr>
              <w:t xml:space="preserve">very ‘outward public focus’ on </w:t>
            </w:r>
            <w:r>
              <w:rPr>
                <w:rFonts w:asciiTheme="minorHAnsi" w:hAnsiTheme="minorHAnsi" w:cstheme="minorHAnsi"/>
                <w:sz w:val="22"/>
                <w:szCs w:val="22"/>
              </w:rPr>
              <w:t xml:space="preserve">cyber-crime </w:t>
            </w:r>
            <w:r w:rsidRPr="00172763">
              <w:rPr>
                <w:rFonts w:asciiTheme="minorHAnsi" w:hAnsiTheme="minorHAnsi" w:cstheme="minorHAnsi"/>
                <w:sz w:val="22"/>
                <w:szCs w:val="22"/>
              </w:rPr>
              <w:t>prevention and</w:t>
            </w:r>
            <w:r>
              <w:rPr>
                <w:rFonts w:asciiTheme="minorHAnsi" w:hAnsiTheme="minorHAnsi" w:cstheme="minorHAnsi"/>
                <w:sz w:val="22"/>
                <w:szCs w:val="22"/>
              </w:rPr>
              <w:t xml:space="preserve"> education.</w:t>
            </w:r>
            <w:r w:rsidRPr="00172763">
              <w:rPr>
                <w:rFonts w:asciiTheme="minorHAnsi" w:hAnsiTheme="minorHAnsi" w:cstheme="minorHAnsi"/>
                <w:sz w:val="22"/>
                <w:szCs w:val="22"/>
              </w:rPr>
              <w:t xml:space="preserve"> This unique approach is now being considered by Victoria Police in its approach to enforcement and investigations.</w:t>
            </w:r>
          </w:p>
          <w:p w:rsidR="00EB5B9B" w:rsidRDefault="00EB5B9B"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Drug related crime</w:t>
            </w:r>
          </w:p>
          <w:p w:rsidR="00DC22AE" w:rsidRDefault="00DC22AE" w:rsidP="005C2ABF">
            <w:pPr>
              <w:jc w:val="both"/>
              <w:rPr>
                <w:rFonts w:asciiTheme="minorHAnsi" w:hAnsiTheme="minorHAnsi" w:cstheme="minorHAnsi"/>
                <w:i/>
                <w:sz w:val="22"/>
                <w:szCs w:val="22"/>
              </w:rPr>
            </w:pPr>
          </w:p>
          <w:p w:rsidR="00DC22AE" w:rsidRDefault="00B85427" w:rsidP="005C2ABF">
            <w:pPr>
              <w:jc w:val="both"/>
              <w:rPr>
                <w:rFonts w:asciiTheme="minorHAnsi" w:hAnsiTheme="minorHAnsi" w:cstheme="minorHAnsi"/>
                <w:sz w:val="22"/>
                <w:szCs w:val="22"/>
              </w:rPr>
            </w:pPr>
            <w:r>
              <w:rPr>
                <w:rFonts w:asciiTheme="minorHAnsi" w:hAnsiTheme="minorHAnsi" w:cstheme="minorHAnsi"/>
                <w:sz w:val="22"/>
                <w:szCs w:val="22"/>
              </w:rPr>
              <w:t xml:space="preserve">Hong Kong Police’s Narcotics Division briefed myself, the Hong Kong AFP liaison officer and the Deputy Commissioner on efforts that Hong Kong police are taking to tackle drug related harm and the organised crime syndicates, including transnational crime syndicates operating across South East Asia and Europe, involved in the global distribution of illicit drugs. Experiences related to identifying and closing down crop houses were shared across both jurisdictions. </w:t>
            </w:r>
            <w:r w:rsidR="00172763">
              <w:rPr>
                <w:rFonts w:asciiTheme="minorHAnsi" w:hAnsiTheme="minorHAnsi" w:cstheme="minorHAnsi"/>
                <w:sz w:val="22"/>
                <w:szCs w:val="22"/>
              </w:rPr>
              <w:t xml:space="preserve">The </w:t>
            </w:r>
            <w:r w:rsidR="00172763" w:rsidRPr="00172763">
              <w:rPr>
                <w:rFonts w:asciiTheme="minorHAnsi" w:hAnsiTheme="minorHAnsi" w:cstheme="minorHAnsi"/>
                <w:sz w:val="22"/>
                <w:szCs w:val="22"/>
              </w:rPr>
              <w:t>continu</w:t>
            </w:r>
            <w:r w:rsidR="00172763">
              <w:rPr>
                <w:rFonts w:asciiTheme="minorHAnsi" w:hAnsiTheme="minorHAnsi" w:cstheme="minorHAnsi"/>
                <w:sz w:val="22"/>
                <w:szCs w:val="22"/>
              </w:rPr>
              <w:t xml:space="preserve">ing </w:t>
            </w:r>
            <w:r w:rsidR="00172763" w:rsidRPr="00172763">
              <w:rPr>
                <w:rFonts w:asciiTheme="minorHAnsi" w:hAnsiTheme="minorHAnsi" w:cstheme="minorHAnsi"/>
                <w:sz w:val="22"/>
                <w:szCs w:val="22"/>
              </w:rPr>
              <w:t>challenge in dealing with the significant issue of ‘encryption’ when used b</w:t>
            </w:r>
            <w:r w:rsidR="00172763">
              <w:rPr>
                <w:rFonts w:asciiTheme="minorHAnsi" w:hAnsiTheme="minorHAnsi" w:cstheme="minorHAnsi"/>
                <w:sz w:val="22"/>
                <w:szCs w:val="22"/>
              </w:rPr>
              <w:t>y offenders in communications was also discussed</w:t>
            </w:r>
            <w:r w:rsidR="00172763" w:rsidRPr="00172763">
              <w:rPr>
                <w:rFonts w:asciiTheme="minorHAnsi" w:hAnsiTheme="minorHAnsi" w:cstheme="minorHAnsi"/>
                <w:sz w:val="22"/>
                <w:szCs w:val="22"/>
              </w:rPr>
              <w:t xml:space="preserve">. </w:t>
            </w:r>
            <w:r w:rsidR="00172763">
              <w:rPr>
                <w:rFonts w:asciiTheme="minorHAnsi" w:hAnsiTheme="minorHAnsi" w:cstheme="minorHAnsi"/>
                <w:sz w:val="22"/>
                <w:szCs w:val="22"/>
              </w:rPr>
              <w:t>As a result of this meeting o</w:t>
            </w:r>
            <w:r w:rsidR="00172763" w:rsidRPr="00172763">
              <w:rPr>
                <w:rFonts w:asciiTheme="minorHAnsi" w:hAnsiTheme="minorHAnsi" w:cstheme="minorHAnsi"/>
                <w:sz w:val="22"/>
                <w:szCs w:val="22"/>
              </w:rPr>
              <w:t xml:space="preserve">ngoing discussions </w:t>
            </w:r>
            <w:r w:rsidR="00172763">
              <w:rPr>
                <w:rFonts w:asciiTheme="minorHAnsi" w:hAnsiTheme="minorHAnsi" w:cstheme="minorHAnsi"/>
                <w:sz w:val="22"/>
                <w:szCs w:val="22"/>
              </w:rPr>
              <w:t xml:space="preserve">are </w:t>
            </w:r>
            <w:r w:rsidR="00172763" w:rsidRPr="00172763">
              <w:rPr>
                <w:rFonts w:asciiTheme="minorHAnsi" w:hAnsiTheme="minorHAnsi" w:cstheme="minorHAnsi"/>
                <w:sz w:val="22"/>
                <w:szCs w:val="22"/>
              </w:rPr>
              <w:t xml:space="preserve">occurring </w:t>
            </w:r>
            <w:r w:rsidR="00172763">
              <w:rPr>
                <w:rFonts w:asciiTheme="minorHAnsi" w:hAnsiTheme="minorHAnsi" w:cstheme="minorHAnsi"/>
                <w:sz w:val="22"/>
                <w:szCs w:val="22"/>
              </w:rPr>
              <w:t xml:space="preserve">between Victoria Police and the Hong Kong Police Force. This has </w:t>
            </w:r>
            <w:r>
              <w:rPr>
                <w:rFonts w:asciiTheme="minorHAnsi" w:hAnsiTheme="minorHAnsi" w:cstheme="minorHAnsi"/>
                <w:sz w:val="22"/>
                <w:szCs w:val="22"/>
              </w:rPr>
              <w:t>further entrenched the strong relationship between Hong Kong and Austra</w:t>
            </w:r>
            <w:r w:rsidR="00172763">
              <w:rPr>
                <w:rFonts w:asciiTheme="minorHAnsi" w:hAnsiTheme="minorHAnsi" w:cstheme="minorHAnsi"/>
                <w:sz w:val="22"/>
                <w:szCs w:val="22"/>
              </w:rPr>
              <w:t>lian law enforcement agencies on matters of vital importance to both jurisdictions.</w:t>
            </w:r>
          </w:p>
          <w:p w:rsidR="00172763" w:rsidRDefault="00172763"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Community policing in high density urban populations</w:t>
            </w:r>
          </w:p>
          <w:p w:rsidR="00926F03" w:rsidRPr="001242D3" w:rsidRDefault="00926F03" w:rsidP="005C2ABF">
            <w:pPr>
              <w:jc w:val="both"/>
              <w:rPr>
                <w:rFonts w:asciiTheme="minorHAnsi" w:hAnsiTheme="minorHAnsi" w:cstheme="minorHAnsi"/>
                <w:i/>
                <w:sz w:val="22"/>
                <w:szCs w:val="22"/>
              </w:rPr>
            </w:pPr>
          </w:p>
          <w:p w:rsidR="00172763" w:rsidRDefault="00B85427" w:rsidP="005C2ABF">
            <w:pPr>
              <w:jc w:val="both"/>
              <w:rPr>
                <w:rFonts w:asciiTheme="minorHAnsi" w:hAnsiTheme="minorHAnsi" w:cstheme="minorHAnsi"/>
                <w:sz w:val="22"/>
                <w:szCs w:val="22"/>
              </w:rPr>
            </w:pPr>
            <w:r>
              <w:rPr>
                <w:rFonts w:asciiTheme="minorHAnsi" w:hAnsiTheme="minorHAnsi" w:cstheme="minorHAnsi"/>
                <w:sz w:val="22"/>
                <w:szCs w:val="22"/>
              </w:rPr>
              <w:t xml:space="preserve">I had the privilege of being taken on a </w:t>
            </w:r>
            <w:r w:rsidR="00FA0E58">
              <w:rPr>
                <w:rFonts w:asciiTheme="minorHAnsi" w:hAnsiTheme="minorHAnsi" w:cstheme="minorHAnsi"/>
                <w:sz w:val="22"/>
                <w:szCs w:val="22"/>
              </w:rPr>
              <w:t>tour</w:t>
            </w:r>
            <w:r>
              <w:rPr>
                <w:rFonts w:asciiTheme="minorHAnsi" w:hAnsiTheme="minorHAnsi" w:cstheme="minorHAnsi"/>
                <w:sz w:val="22"/>
                <w:szCs w:val="22"/>
              </w:rPr>
              <w:t xml:space="preserve"> across the Yau </w:t>
            </w:r>
            <w:r w:rsidR="00DD0140">
              <w:rPr>
                <w:rFonts w:asciiTheme="minorHAnsi" w:hAnsiTheme="minorHAnsi" w:cstheme="minorHAnsi"/>
                <w:sz w:val="22"/>
                <w:szCs w:val="22"/>
              </w:rPr>
              <w:t>Tsim Mong</w:t>
            </w:r>
            <w:r>
              <w:rPr>
                <w:rFonts w:asciiTheme="minorHAnsi" w:hAnsiTheme="minorHAnsi" w:cstheme="minorHAnsi"/>
                <w:sz w:val="22"/>
                <w:szCs w:val="22"/>
              </w:rPr>
              <w:t xml:space="preserve"> District </w:t>
            </w:r>
            <w:r w:rsidR="00365D34">
              <w:rPr>
                <w:rFonts w:asciiTheme="minorHAnsi" w:hAnsiTheme="minorHAnsi" w:cstheme="minorHAnsi"/>
                <w:sz w:val="22"/>
                <w:szCs w:val="22"/>
              </w:rPr>
              <w:t>in Kowloon.</w:t>
            </w:r>
            <w:r w:rsidR="00DD0140">
              <w:rPr>
                <w:rFonts w:asciiTheme="minorHAnsi" w:hAnsiTheme="minorHAnsi" w:cstheme="minorHAnsi"/>
                <w:sz w:val="22"/>
                <w:szCs w:val="22"/>
              </w:rPr>
              <w:t xml:space="preserve"> Along with the  Hong Kong AFP liaison officer and the Deputy Commissioner, I was briefed by district commanders on policing challenges </w:t>
            </w:r>
            <w:r w:rsidR="00FA0E58">
              <w:rPr>
                <w:rFonts w:asciiTheme="minorHAnsi" w:hAnsiTheme="minorHAnsi" w:cstheme="minorHAnsi"/>
                <w:sz w:val="22"/>
                <w:szCs w:val="22"/>
              </w:rPr>
              <w:t>in the district at the</w:t>
            </w:r>
            <w:r w:rsidR="00FA0E58" w:rsidRPr="00FA0E58">
              <w:rPr>
                <w:rFonts w:asciiTheme="minorHAnsi" w:hAnsiTheme="minorHAnsi" w:cstheme="minorHAnsi"/>
                <w:sz w:val="22"/>
                <w:szCs w:val="22"/>
              </w:rPr>
              <w:t xml:space="preserve"> Tsim Sha Tsui Police Station</w:t>
            </w:r>
            <w:r w:rsidR="00FA0E58">
              <w:rPr>
                <w:rFonts w:asciiTheme="minorHAnsi" w:hAnsiTheme="minorHAnsi" w:cstheme="minorHAnsi"/>
                <w:sz w:val="22"/>
                <w:szCs w:val="22"/>
              </w:rPr>
              <w:t xml:space="preserve">, before being taken on foot through various sites across the district to discuss community policing initiatives in the area. It also included a tour of the Chungking Towers to observe security measures and policing methods for a high density and traditionally high crime area of Hong Kong. The tour concluded with a briefing on site of Hong Kong’s cultural and entertainment precinct about Hong Kong Police public safety measures for places of mass gathering. </w:t>
            </w:r>
          </w:p>
          <w:p w:rsidR="00172763" w:rsidRDefault="00172763" w:rsidP="005C2ABF">
            <w:pPr>
              <w:jc w:val="both"/>
              <w:rPr>
                <w:rFonts w:asciiTheme="minorHAnsi" w:hAnsiTheme="minorHAnsi" w:cstheme="minorHAnsi"/>
                <w:sz w:val="22"/>
                <w:szCs w:val="22"/>
              </w:rPr>
            </w:pPr>
          </w:p>
          <w:p w:rsidR="00EB5B9B" w:rsidRDefault="00FA0E58" w:rsidP="005C2ABF">
            <w:pPr>
              <w:jc w:val="both"/>
              <w:rPr>
                <w:rFonts w:asciiTheme="minorHAnsi" w:hAnsiTheme="minorHAnsi" w:cstheme="minorHAnsi"/>
                <w:sz w:val="22"/>
                <w:szCs w:val="22"/>
              </w:rPr>
            </w:pPr>
            <w:r>
              <w:rPr>
                <w:rFonts w:asciiTheme="minorHAnsi" w:hAnsiTheme="minorHAnsi" w:cstheme="minorHAnsi"/>
                <w:sz w:val="22"/>
                <w:szCs w:val="22"/>
              </w:rPr>
              <w:t>The tour provided an opportunity to observe Hong Kong Police priorit</w:t>
            </w:r>
            <w:r w:rsidR="00696FF3">
              <w:rPr>
                <w:rFonts w:asciiTheme="minorHAnsi" w:hAnsiTheme="minorHAnsi" w:cstheme="minorHAnsi"/>
                <w:sz w:val="22"/>
                <w:szCs w:val="22"/>
              </w:rPr>
              <w:t>ies and methods in action and identify opportunities for further learnings and collaboration between the two jurisdictions.</w:t>
            </w:r>
            <w:r>
              <w:rPr>
                <w:rFonts w:asciiTheme="minorHAnsi" w:hAnsiTheme="minorHAnsi" w:cstheme="minorHAnsi"/>
                <w:sz w:val="22"/>
                <w:szCs w:val="22"/>
              </w:rPr>
              <w:t xml:space="preserve">  </w:t>
            </w:r>
            <w:r w:rsidR="00172763">
              <w:rPr>
                <w:rFonts w:asciiTheme="minorHAnsi" w:hAnsiTheme="minorHAnsi" w:cstheme="minorHAnsi"/>
                <w:sz w:val="22"/>
                <w:szCs w:val="22"/>
              </w:rPr>
              <w:t>This includes how Victoria Police could enhance its capability to address policing challenges in high density communities, including the: use of mobile and ‘pop-up’ facilities; application</w:t>
            </w:r>
            <w:r w:rsidR="00E00D10">
              <w:rPr>
                <w:rFonts w:asciiTheme="minorHAnsi" w:hAnsiTheme="minorHAnsi" w:cstheme="minorHAnsi"/>
                <w:sz w:val="22"/>
                <w:szCs w:val="22"/>
              </w:rPr>
              <w:t xml:space="preserve"> of </w:t>
            </w:r>
            <w:r w:rsidR="00172763">
              <w:rPr>
                <w:rFonts w:asciiTheme="minorHAnsi" w:hAnsiTheme="minorHAnsi" w:cstheme="minorHAnsi"/>
                <w:sz w:val="22"/>
                <w:szCs w:val="22"/>
              </w:rPr>
              <w:t>b</w:t>
            </w:r>
            <w:r w:rsidR="00172763" w:rsidRPr="00172763">
              <w:rPr>
                <w:rFonts w:asciiTheme="minorHAnsi" w:hAnsiTheme="minorHAnsi" w:cstheme="minorHAnsi"/>
                <w:sz w:val="22"/>
                <w:szCs w:val="22"/>
              </w:rPr>
              <w:t>iometric recognition through CCTV in offender identification</w:t>
            </w:r>
            <w:r w:rsidR="00172763">
              <w:rPr>
                <w:rFonts w:asciiTheme="minorHAnsi" w:hAnsiTheme="minorHAnsi" w:cstheme="minorHAnsi"/>
                <w:sz w:val="22"/>
                <w:szCs w:val="22"/>
              </w:rPr>
              <w:t>, coordination of efforts between police and private security to achieve public</w:t>
            </w:r>
            <w:r w:rsidR="00E00D10">
              <w:rPr>
                <w:rFonts w:asciiTheme="minorHAnsi" w:hAnsiTheme="minorHAnsi" w:cstheme="minorHAnsi"/>
                <w:sz w:val="22"/>
                <w:szCs w:val="22"/>
              </w:rPr>
              <w:t xml:space="preserve"> safety outcomes;</w:t>
            </w:r>
            <w:r w:rsidR="00172763">
              <w:rPr>
                <w:rFonts w:asciiTheme="minorHAnsi" w:hAnsiTheme="minorHAnsi" w:cstheme="minorHAnsi"/>
                <w:sz w:val="22"/>
                <w:szCs w:val="22"/>
              </w:rPr>
              <w:t xml:space="preserve"> </w:t>
            </w:r>
            <w:r w:rsidR="00E00D10">
              <w:rPr>
                <w:rFonts w:asciiTheme="minorHAnsi" w:hAnsiTheme="minorHAnsi" w:cstheme="minorHAnsi"/>
                <w:sz w:val="22"/>
                <w:szCs w:val="22"/>
              </w:rPr>
              <w:t xml:space="preserve">development of </w:t>
            </w:r>
            <w:r w:rsidR="00172763">
              <w:rPr>
                <w:rFonts w:asciiTheme="minorHAnsi" w:hAnsiTheme="minorHAnsi" w:cstheme="minorHAnsi"/>
                <w:sz w:val="22"/>
                <w:szCs w:val="22"/>
              </w:rPr>
              <w:t xml:space="preserve">emergency management responses </w:t>
            </w:r>
            <w:r w:rsidR="00E00D10">
              <w:rPr>
                <w:rFonts w:asciiTheme="minorHAnsi" w:hAnsiTheme="minorHAnsi" w:cstheme="minorHAnsi"/>
                <w:sz w:val="22"/>
                <w:szCs w:val="22"/>
              </w:rPr>
              <w:t>to</w:t>
            </w:r>
            <w:r w:rsidR="00172763">
              <w:rPr>
                <w:rFonts w:asciiTheme="minorHAnsi" w:hAnsiTheme="minorHAnsi" w:cstheme="minorHAnsi"/>
                <w:sz w:val="22"/>
                <w:szCs w:val="22"/>
              </w:rPr>
              <w:t xml:space="preserve"> high rise living towers</w:t>
            </w:r>
            <w:r w:rsidR="00E00D10">
              <w:rPr>
                <w:rFonts w:asciiTheme="minorHAnsi" w:hAnsiTheme="minorHAnsi" w:cstheme="minorHAnsi"/>
                <w:sz w:val="22"/>
                <w:szCs w:val="22"/>
              </w:rPr>
              <w:t xml:space="preserve">; use of </w:t>
            </w:r>
            <w:r w:rsidR="00172763">
              <w:rPr>
                <w:rFonts w:asciiTheme="minorHAnsi" w:hAnsiTheme="minorHAnsi" w:cstheme="minorHAnsi"/>
                <w:sz w:val="22"/>
                <w:szCs w:val="22"/>
              </w:rPr>
              <w:t xml:space="preserve">community engagement efforts to encourage young people in culturally and linguistically diverse communities to consider joining the police force. </w:t>
            </w:r>
            <w:r w:rsidR="00E00D10">
              <w:rPr>
                <w:rFonts w:asciiTheme="minorHAnsi" w:hAnsiTheme="minorHAnsi" w:cstheme="minorHAnsi"/>
                <w:sz w:val="22"/>
                <w:szCs w:val="22"/>
              </w:rPr>
              <w:t>Materials on these projects are already being shared between the two police forces.</w:t>
            </w:r>
          </w:p>
          <w:p w:rsidR="00172763" w:rsidRDefault="00172763" w:rsidP="005C2ABF">
            <w:pPr>
              <w:jc w:val="both"/>
              <w:rPr>
                <w:rFonts w:asciiTheme="minorHAnsi" w:hAnsiTheme="minorHAnsi" w:cstheme="minorHAnsi"/>
                <w:sz w:val="22"/>
                <w:szCs w:val="22"/>
              </w:rPr>
            </w:pPr>
          </w:p>
          <w:p w:rsidR="00EB5B9B"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Anti-corruption initiatives</w:t>
            </w:r>
          </w:p>
          <w:p w:rsidR="00926F03" w:rsidRDefault="00926F03" w:rsidP="005C2ABF">
            <w:pPr>
              <w:jc w:val="both"/>
              <w:rPr>
                <w:rFonts w:asciiTheme="minorHAnsi" w:hAnsiTheme="minorHAnsi" w:cstheme="minorHAnsi"/>
                <w:i/>
                <w:sz w:val="22"/>
                <w:szCs w:val="22"/>
              </w:rPr>
            </w:pPr>
          </w:p>
          <w:p w:rsidR="00926F03" w:rsidRPr="00926F03" w:rsidRDefault="00926F03" w:rsidP="005C2ABF">
            <w:pPr>
              <w:jc w:val="both"/>
              <w:rPr>
                <w:rFonts w:asciiTheme="minorHAnsi" w:hAnsiTheme="minorHAnsi" w:cstheme="minorHAnsi"/>
                <w:sz w:val="22"/>
                <w:szCs w:val="22"/>
              </w:rPr>
            </w:pPr>
            <w:r>
              <w:rPr>
                <w:rFonts w:asciiTheme="minorHAnsi" w:hAnsiTheme="minorHAnsi" w:cstheme="minorHAnsi"/>
                <w:sz w:val="22"/>
                <w:szCs w:val="22"/>
              </w:rPr>
              <w:t xml:space="preserve">I met with Mr Simon Peh, Commissioner of Hong Kong’s Independent Commission Against Corruption (ICAC) to discuss corruption challenges that Hong Kong has faced. The meeting and covered policy and practice that ICAC has implemented to identify and investigate corrupt activity within Hong Kong’s public and private sectors, including efforts initiated by organised crime syndicates. The </w:t>
            </w:r>
            <w:r w:rsidR="00851972">
              <w:rPr>
                <w:rFonts w:asciiTheme="minorHAnsi" w:hAnsiTheme="minorHAnsi" w:cstheme="minorHAnsi"/>
                <w:sz w:val="22"/>
                <w:szCs w:val="22"/>
              </w:rPr>
              <w:t>meeting followed</w:t>
            </w:r>
            <w:r>
              <w:rPr>
                <w:rFonts w:asciiTheme="minorHAnsi" w:hAnsiTheme="minorHAnsi" w:cstheme="minorHAnsi"/>
                <w:sz w:val="22"/>
                <w:szCs w:val="22"/>
              </w:rPr>
              <w:t xml:space="preserve"> up on an earlier engagement that Victoria’s Chief Commissioner of Police had with ICAC and further strengthened the profile and relationship of Victoria Police with Hong Kong law enforcement agencies. </w:t>
            </w:r>
          </w:p>
          <w:p w:rsidR="005C2ABF" w:rsidRDefault="005C2ABF" w:rsidP="005C2ABF">
            <w:pPr>
              <w:jc w:val="both"/>
              <w:rPr>
                <w:rFonts w:asciiTheme="minorHAnsi" w:hAnsiTheme="minorHAnsi" w:cstheme="minorHAnsi"/>
                <w:sz w:val="22"/>
                <w:szCs w:val="22"/>
              </w:rPr>
            </w:pPr>
          </w:p>
          <w:p w:rsidR="005C2ABF" w:rsidRPr="00EB5B9B" w:rsidRDefault="005C2ABF" w:rsidP="005C2ABF">
            <w:pPr>
              <w:jc w:val="both"/>
              <w:rPr>
                <w:rFonts w:asciiTheme="minorHAnsi" w:hAnsiTheme="minorHAnsi" w:cstheme="minorHAnsi"/>
                <w:b/>
                <w:sz w:val="22"/>
                <w:szCs w:val="22"/>
              </w:rPr>
            </w:pPr>
            <w:r w:rsidRPr="00EB5B9B">
              <w:rPr>
                <w:rFonts w:asciiTheme="minorHAnsi" w:hAnsiTheme="minorHAnsi" w:cstheme="minorHAnsi"/>
                <w:b/>
                <w:sz w:val="22"/>
                <w:szCs w:val="22"/>
              </w:rPr>
              <w:t>Jiangsu Province</w:t>
            </w:r>
          </w:p>
          <w:p w:rsidR="005C2ABF" w:rsidRDefault="005C2ABF" w:rsidP="005C2ABF">
            <w:pPr>
              <w:jc w:val="both"/>
              <w:rPr>
                <w:rFonts w:asciiTheme="minorHAnsi" w:hAnsiTheme="minorHAnsi" w:cstheme="minorHAnsi"/>
                <w:sz w:val="22"/>
                <w:szCs w:val="22"/>
              </w:rPr>
            </w:pPr>
          </w:p>
          <w:p w:rsidR="00EB5B9B" w:rsidRPr="001242D3" w:rsidRDefault="00EB5B9B" w:rsidP="005C2ABF">
            <w:pPr>
              <w:jc w:val="both"/>
              <w:rPr>
                <w:rFonts w:asciiTheme="minorHAnsi" w:hAnsiTheme="minorHAnsi" w:cstheme="minorHAnsi"/>
                <w:i/>
                <w:sz w:val="22"/>
                <w:szCs w:val="22"/>
              </w:rPr>
            </w:pPr>
            <w:r w:rsidRPr="001242D3">
              <w:rPr>
                <w:rFonts w:asciiTheme="minorHAnsi" w:hAnsiTheme="minorHAnsi" w:cstheme="minorHAnsi"/>
                <w:i/>
                <w:sz w:val="22"/>
                <w:szCs w:val="22"/>
              </w:rPr>
              <w:t xml:space="preserve">Water </w:t>
            </w:r>
            <w:r w:rsidR="001242D3" w:rsidRPr="001242D3">
              <w:rPr>
                <w:rFonts w:asciiTheme="minorHAnsi" w:hAnsiTheme="minorHAnsi" w:cstheme="minorHAnsi"/>
                <w:i/>
                <w:sz w:val="22"/>
                <w:szCs w:val="22"/>
              </w:rPr>
              <w:t xml:space="preserve">use and </w:t>
            </w:r>
            <w:r w:rsidRPr="001242D3">
              <w:rPr>
                <w:rFonts w:asciiTheme="minorHAnsi" w:hAnsiTheme="minorHAnsi" w:cstheme="minorHAnsi"/>
                <w:i/>
                <w:sz w:val="22"/>
                <w:szCs w:val="22"/>
              </w:rPr>
              <w:t>planning</w:t>
            </w:r>
          </w:p>
          <w:p w:rsidR="00EB5B9B" w:rsidRDefault="00EB5B9B" w:rsidP="005C2ABF">
            <w:pPr>
              <w:jc w:val="both"/>
              <w:rPr>
                <w:rFonts w:asciiTheme="minorHAnsi" w:hAnsiTheme="minorHAnsi" w:cstheme="minorHAnsi"/>
                <w:sz w:val="22"/>
                <w:szCs w:val="22"/>
              </w:rPr>
            </w:pPr>
          </w:p>
          <w:p w:rsidR="00696FF3" w:rsidRDefault="00696FF3" w:rsidP="005C2ABF">
            <w:pPr>
              <w:jc w:val="both"/>
              <w:rPr>
                <w:rFonts w:asciiTheme="minorHAnsi" w:hAnsiTheme="minorHAnsi" w:cstheme="minorHAnsi"/>
                <w:sz w:val="22"/>
                <w:szCs w:val="22"/>
              </w:rPr>
            </w:pPr>
            <w:r>
              <w:rPr>
                <w:rFonts w:asciiTheme="minorHAnsi" w:hAnsiTheme="minorHAnsi" w:cstheme="minorHAnsi"/>
                <w:sz w:val="22"/>
                <w:szCs w:val="22"/>
              </w:rPr>
              <w:t xml:space="preserve">In Nanjing I met with the Director General and senior officials from the Jiangsu Department of Housing and Urban Rural Development (DHURD), and the Deputy Director and senior officials from the Jiangsu Department of Water Resources (DWR). </w:t>
            </w:r>
          </w:p>
          <w:p w:rsidR="00696FF3" w:rsidRDefault="00696FF3" w:rsidP="005C2ABF">
            <w:pPr>
              <w:jc w:val="both"/>
              <w:rPr>
                <w:rFonts w:asciiTheme="minorHAnsi" w:hAnsiTheme="minorHAnsi" w:cstheme="minorHAnsi"/>
                <w:sz w:val="22"/>
                <w:szCs w:val="22"/>
              </w:rPr>
            </w:pPr>
          </w:p>
          <w:p w:rsidR="00696FF3" w:rsidRDefault="00696FF3" w:rsidP="005C2ABF">
            <w:pPr>
              <w:jc w:val="both"/>
              <w:rPr>
                <w:rFonts w:asciiTheme="minorHAnsi" w:hAnsiTheme="minorHAnsi" w:cstheme="minorHAnsi"/>
                <w:sz w:val="22"/>
                <w:szCs w:val="22"/>
              </w:rPr>
            </w:pPr>
            <w:r>
              <w:rPr>
                <w:rFonts w:asciiTheme="minorHAnsi" w:hAnsiTheme="minorHAnsi" w:cstheme="minorHAnsi"/>
                <w:sz w:val="22"/>
                <w:szCs w:val="22"/>
              </w:rPr>
              <w:t xml:space="preserve">The meeting with DHURD </w:t>
            </w:r>
            <w:r w:rsidR="00300426">
              <w:rPr>
                <w:rFonts w:asciiTheme="minorHAnsi" w:hAnsiTheme="minorHAnsi" w:cstheme="minorHAnsi"/>
                <w:sz w:val="22"/>
                <w:szCs w:val="22"/>
              </w:rPr>
              <w:t>provided an opportunity to share learnings about Jiangsu</w:t>
            </w:r>
            <w:r w:rsidR="00CE74D1">
              <w:rPr>
                <w:rFonts w:asciiTheme="minorHAnsi" w:hAnsiTheme="minorHAnsi" w:cstheme="minorHAnsi"/>
                <w:sz w:val="22"/>
                <w:szCs w:val="22"/>
              </w:rPr>
              <w:t>’s</w:t>
            </w:r>
            <w:r w:rsidR="00300426">
              <w:rPr>
                <w:rFonts w:asciiTheme="minorHAnsi" w:hAnsiTheme="minorHAnsi" w:cstheme="minorHAnsi"/>
                <w:sz w:val="22"/>
                <w:szCs w:val="22"/>
              </w:rPr>
              <w:t xml:space="preserve"> Sponge City program. </w:t>
            </w:r>
            <w:r w:rsidR="00CE74D1">
              <w:rPr>
                <w:rFonts w:asciiTheme="minorHAnsi" w:hAnsiTheme="minorHAnsi" w:cstheme="minorHAnsi"/>
                <w:sz w:val="22"/>
                <w:szCs w:val="22"/>
              </w:rPr>
              <w:t>Victoria’s water sector, through</w:t>
            </w:r>
            <w:r w:rsidR="00CE74D1">
              <w:t xml:space="preserve"> </w:t>
            </w:r>
            <w:r w:rsidR="00CE74D1" w:rsidRPr="00CE74D1">
              <w:rPr>
                <w:rFonts w:asciiTheme="minorHAnsi" w:hAnsiTheme="minorHAnsi" w:cstheme="minorHAnsi"/>
                <w:sz w:val="22"/>
                <w:szCs w:val="22"/>
              </w:rPr>
              <w:t>Cooperative Research Centre for Water Sensitive Cities</w:t>
            </w:r>
            <w:r w:rsidR="00CE74D1">
              <w:rPr>
                <w:rFonts w:asciiTheme="minorHAnsi" w:hAnsiTheme="minorHAnsi" w:cstheme="minorHAnsi"/>
                <w:sz w:val="22"/>
                <w:szCs w:val="22"/>
              </w:rPr>
              <w:t xml:space="preserve"> (CRCWSC) is </w:t>
            </w:r>
            <w:r w:rsidR="00DB0EA2">
              <w:rPr>
                <w:rFonts w:asciiTheme="minorHAnsi" w:hAnsiTheme="minorHAnsi" w:cstheme="minorHAnsi"/>
                <w:sz w:val="22"/>
                <w:szCs w:val="22"/>
              </w:rPr>
              <w:t xml:space="preserve">assisting and </w:t>
            </w:r>
            <w:r w:rsidR="00CE74D1">
              <w:rPr>
                <w:rFonts w:asciiTheme="minorHAnsi" w:hAnsiTheme="minorHAnsi" w:cstheme="minorHAnsi"/>
                <w:sz w:val="22"/>
                <w:szCs w:val="22"/>
              </w:rPr>
              <w:t xml:space="preserve">advising the Jiangsu Government on </w:t>
            </w:r>
            <w:r w:rsidR="00DB0EA2">
              <w:rPr>
                <w:rFonts w:asciiTheme="minorHAnsi" w:hAnsiTheme="minorHAnsi" w:cstheme="minorHAnsi"/>
                <w:sz w:val="22"/>
                <w:szCs w:val="22"/>
              </w:rPr>
              <w:t>water sensitive urban design including water scarcity, pollution management, urban drainage and aquatic ecosystem protection. An MOU between the Governments of Victoria and Jiangsu regarding the implementation of the Sponge City Program was signed in March 2017. This meeting allowed for reflection on achievements to date but also explored further opportunity for Victorian firms and expertise to contribute to the Sponge City program of works.</w:t>
            </w:r>
          </w:p>
          <w:p w:rsidR="00DB0EA2" w:rsidRDefault="00DB0EA2" w:rsidP="005C2ABF">
            <w:pPr>
              <w:jc w:val="both"/>
              <w:rPr>
                <w:rFonts w:asciiTheme="minorHAnsi" w:hAnsiTheme="minorHAnsi" w:cstheme="minorHAnsi"/>
                <w:sz w:val="22"/>
                <w:szCs w:val="22"/>
              </w:rPr>
            </w:pPr>
          </w:p>
          <w:p w:rsidR="00DB0EA2" w:rsidRDefault="00DB0EA2" w:rsidP="005C2ABF">
            <w:pPr>
              <w:jc w:val="both"/>
              <w:rPr>
                <w:rFonts w:asciiTheme="minorHAnsi" w:hAnsiTheme="minorHAnsi" w:cstheme="minorHAnsi"/>
                <w:sz w:val="22"/>
                <w:szCs w:val="22"/>
              </w:rPr>
            </w:pPr>
            <w:r>
              <w:rPr>
                <w:rFonts w:asciiTheme="minorHAnsi" w:hAnsiTheme="minorHAnsi" w:cstheme="minorHAnsi"/>
                <w:sz w:val="22"/>
                <w:szCs w:val="22"/>
              </w:rPr>
              <w:t xml:space="preserve">The meeting with DWR provided an opportunity to discuss water administration, allocation and planning across the entire province. The Jiangsu province encloses the Yangtze and Huai Rivers and is one of the most </w:t>
            </w:r>
            <w:r w:rsidR="00386EED">
              <w:rPr>
                <w:rFonts w:asciiTheme="minorHAnsi" w:hAnsiTheme="minorHAnsi" w:cstheme="minorHAnsi"/>
                <w:sz w:val="22"/>
                <w:szCs w:val="22"/>
              </w:rPr>
              <w:t>critical</w:t>
            </w:r>
            <w:r>
              <w:rPr>
                <w:rFonts w:asciiTheme="minorHAnsi" w:hAnsiTheme="minorHAnsi" w:cstheme="minorHAnsi"/>
                <w:sz w:val="22"/>
                <w:szCs w:val="22"/>
              </w:rPr>
              <w:t xml:space="preserve"> areas in the Yangtze River Delta</w:t>
            </w:r>
            <w:r w:rsidR="00386EED">
              <w:rPr>
                <w:rFonts w:asciiTheme="minorHAnsi" w:hAnsiTheme="minorHAnsi" w:cstheme="minorHAnsi"/>
                <w:sz w:val="22"/>
                <w:szCs w:val="22"/>
              </w:rPr>
              <w:t xml:space="preserve">. </w:t>
            </w:r>
            <w:r>
              <w:rPr>
                <w:rFonts w:asciiTheme="minorHAnsi" w:hAnsiTheme="minorHAnsi" w:cstheme="minorHAnsi"/>
                <w:sz w:val="22"/>
                <w:szCs w:val="22"/>
              </w:rPr>
              <w:t xml:space="preserve">The discussion covered water resource planning </w:t>
            </w:r>
            <w:r w:rsidR="00386EED">
              <w:rPr>
                <w:rFonts w:asciiTheme="minorHAnsi" w:hAnsiTheme="minorHAnsi" w:cstheme="minorHAnsi"/>
                <w:sz w:val="22"/>
                <w:szCs w:val="22"/>
              </w:rPr>
              <w:t>, soil and water conservation, catchment management, flood control, drought prevention, water supply, sewage management and irrigation.</w:t>
            </w:r>
          </w:p>
          <w:p w:rsidR="00696FF3" w:rsidRDefault="00696FF3" w:rsidP="005C2ABF">
            <w:pPr>
              <w:jc w:val="both"/>
              <w:rPr>
                <w:rFonts w:asciiTheme="minorHAnsi" w:hAnsiTheme="minorHAnsi" w:cstheme="minorHAnsi"/>
                <w:sz w:val="22"/>
                <w:szCs w:val="22"/>
              </w:rPr>
            </w:pPr>
            <w:r>
              <w:rPr>
                <w:rFonts w:asciiTheme="minorHAnsi" w:hAnsiTheme="minorHAnsi" w:cstheme="minorHAnsi"/>
                <w:sz w:val="22"/>
                <w:szCs w:val="22"/>
              </w:rPr>
              <w:t xml:space="preserve"> </w:t>
            </w:r>
          </w:p>
          <w:p w:rsidR="00EB5B9B" w:rsidRPr="001242D3" w:rsidRDefault="001242D3" w:rsidP="005C2ABF">
            <w:pPr>
              <w:jc w:val="both"/>
              <w:rPr>
                <w:rFonts w:asciiTheme="minorHAnsi" w:hAnsiTheme="minorHAnsi" w:cstheme="minorHAnsi"/>
                <w:i/>
                <w:sz w:val="22"/>
                <w:szCs w:val="22"/>
              </w:rPr>
            </w:pPr>
            <w:r w:rsidRPr="001242D3">
              <w:rPr>
                <w:rFonts w:asciiTheme="minorHAnsi" w:hAnsiTheme="minorHAnsi" w:cstheme="minorHAnsi"/>
                <w:i/>
                <w:sz w:val="22"/>
                <w:szCs w:val="22"/>
              </w:rPr>
              <w:t>Sponge City project site visits</w:t>
            </w:r>
          </w:p>
          <w:p w:rsidR="005C2ABF" w:rsidRDefault="005C2ABF" w:rsidP="005C2ABF">
            <w:pPr>
              <w:jc w:val="both"/>
              <w:rPr>
                <w:rFonts w:asciiTheme="minorHAnsi" w:hAnsiTheme="minorHAnsi" w:cstheme="minorHAnsi"/>
                <w:sz w:val="22"/>
                <w:szCs w:val="22"/>
              </w:rPr>
            </w:pPr>
          </w:p>
          <w:p w:rsidR="007410FF" w:rsidRDefault="007410FF" w:rsidP="005C2ABF">
            <w:pPr>
              <w:jc w:val="both"/>
              <w:rPr>
                <w:rFonts w:asciiTheme="minorHAnsi" w:hAnsiTheme="minorHAnsi" w:cstheme="minorHAnsi"/>
                <w:sz w:val="22"/>
                <w:szCs w:val="22"/>
              </w:rPr>
            </w:pPr>
            <w:r>
              <w:rPr>
                <w:rFonts w:asciiTheme="minorHAnsi" w:hAnsiTheme="minorHAnsi" w:cstheme="minorHAnsi"/>
                <w:sz w:val="22"/>
                <w:szCs w:val="22"/>
              </w:rPr>
              <w:t>In Kunshan I visited a number of sponge city projects underway. This included touring Kunsh</w:t>
            </w:r>
            <w:r w:rsidR="00C27EB3">
              <w:rPr>
                <w:rFonts w:asciiTheme="minorHAnsi" w:hAnsiTheme="minorHAnsi" w:cstheme="minorHAnsi"/>
                <w:sz w:val="22"/>
                <w:szCs w:val="22"/>
              </w:rPr>
              <w:t>a</w:t>
            </w:r>
            <w:r>
              <w:rPr>
                <w:rFonts w:asciiTheme="minorHAnsi" w:hAnsiTheme="minorHAnsi" w:cstheme="minorHAnsi"/>
                <w:sz w:val="22"/>
                <w:szCs w:val="22"/>
              </w:rPr>
              <w:t xml:space="preserve">n’s Culture Plaza constructed wetlands, housing estates designed with water sensitive features, the Forest Park Ecological Wetland, and the Victoria-Jiangsu Innovation Park. All of these projects </w:t>
            </w:r>
            <w:r w:rsidR="00C27EB3">
              <w:rPr>
                <w:rFonts w:asciiTheme="minorHAnsi" w:hAnsiTheme="minorHAnsi" w:cstheme="minorHAnsi"/>
                <w:sz w:val="22"/>
                <w:szCs w:val="22"/>
              </w:rPr>
              <w:t xml:space="preserve">have involved collaboration with the CRCWSC and Victorian businesses involved in Victoria’s water sector. Kunshan’s Sponge City projects showcase the contribution of Victorian firms specialising in water modelling, landscape architects, environmental engineers and companies with products that treat water quality.  In turn the work of the Jiangsu Government in implementing the Sponge City projects provide learnings for Victorian agencies in bringing water sensitive projects to scale. Further opportunity for Victorian firms </w:t>
            </w:r>
            <w:r w:rsidR="00851972">
              <w:rPr>
                <w:rFonts w:asciiTheme="minorHAnsi" w:hAnsiTheme="minorHAnsi" w:cstheme="minorHAnsi"/>
                <w:sz w:val="22"/>
                <w:szCs w:val="22"/>
              </w:rPr>
              <w:t>to contribute</w:t>
            </w:r>
            <w:r w:rsidR="00C27EB3">
              <w:rPr>
                <w:rFonts w:asciiTheme="minorHAnsi" w:hAnsiTheme="minorHAnsi" w:cstheme="minorHAnsi"/>
                <w:sz w:val="22"/>
                <w:szCs w:val="22"/>
              </w:rPr>
              <w:t xml:space="preserve"> to the Jiangsu’s Sponge City program were also explored.</w:t>
            </w:r>
          </w:p>
          <w:p w:rsidR="00B34CED" w:rsidRPr="00B34CED" w:rsidRDefault="00B34CED" w:rsidP="00696FF3">
            <w:pPr>
              <w:jc w:val="both"/>
              <w:rPr>
                <w:rFonts w:asciiTheme="minorHAnsi" w:hAnsiTheme="minorHAnsi" w:cstheme="minorHAnsi"/>
                <w:sz w:val="22"/>
                <w:szCs w:val="22"/>
              </w:rPr>
            </w:pPr>
          </w:p>
        </w:tc>
      </w:tr>
    </w:tbl>
    <w:p w:rsidR="005E1050" w:rsidRDefault="005E1050"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Default="00851972" w:rsidP="00F7564C">
      <w:pPr>
        <w:pStyle w:val="Header"/>
        <w:rPr>
          <w:rFonts w:asciiTheme="minorHAnsi" w:hAnsiTheme="minorHAnsi" w:cstheme="minorHAnsi"/>
          <w:b/>
          <w:i/>
          <w:color w:val="999999"/>
          <w:sz w:val="22"/>
          <w:szCs w:val="22"/>
        </w:rPr>
      </w:pPr>
    </w:p>
    <w:p w:rsidR="00851972" w:rsidRPr="00EE30C9" w:rsidRDefault="00851972" w:rsidP="00F7564C">
      <w:pPr>
        <w:pStyle w:val="Header"/>
        <w:rPr>
          <w:rFonts w:asciiTheme="minorHAnsi" w:hAnsiTheme="minorHAnsi" w:cstheme="minorHAnsi"/>
          <w:b/>
          <w:i/>
          <w:color w:val="999999"/>
          <w:sz w:val="22"/>
          <w:szCs w:val="22"/>
        </w:rPr>
      </w:pPr>
      <w:bookmarkStart w:id="1" w:name="_GoBack"/>
      <w:bookmarkEnd w:id="1"/>
    </w:p>
    <w:p w:rsidR="00FF7DC3" w:rsidRPr="00EE30C9" w:rsidRDefault="00FF7DC3" w:rsidP="00FF7DC3">
      <w:pPr>
        <w:rPr>
          <w:rFonts w:asciiTheme="minorHAnsi" w:hAnsiTheme="minorHAnsi" w:cstheme="minorHAnsi"/>
          <w:vanish/>
          <w:sz w:val="22"/>
          <w:szCs w:val="22"/>
        </w:rPr>
      </w:pPr>
    </w:p>
    <w:sectPr w:rsidR="00FF7DC3" w:rsidRPr="00EE30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31" w:rsidRDefault="00AD7231" w:rsidP="004031E0">
      <w:r>
        <w:separator/>
      </w:r>
    </w:p>
  </w:endnote>
  <w:endnote w:type="continuationSeparator" w:id="0">
    <w:p w:rsidR="00AD7231" w:rsidRDefault="00AD7231" w:rsidP="0040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31" w:rsidRDefault="00AD7231" w:rsidP="004031E0">
      <w:r>
        <w:separator/>
      </w:r>
    </w:p>
  </w:footnote>
  <w:footnote w:type="continuationSeparator" w:id="0">
    <w:p w:rsidR="00AD7231" w:rsidRDefault="00AD7231" w:rsidP="0040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13C"/>
    <w:multiLevelType w:val="hybridMultilevel"/>
    <w:tmpl w:val="A990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07DE2"/>
    <w:multiLevelType w:val="hybridMultilevel"/>
    <w:tmpl w:val="3696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8C17B0"/>
    <w:multiLevelType w:val="hybridMultilevel"/>
    <w:tmpl w:val="D5F0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FC0F13"/>
    <w:multiLevelType w:val="hybridMultilevel"/>
    <w:tmpl w:val="ED72BA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1D4F1410"/>
    <w:multiLevelType w:val="hybridMultilevel"/>
    <w:tmpl w:val="CD025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24435E76"/>
    <w:multiLevelType w:val="hybridMultilevel"/>
    <w:tmpl w:val="452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414E7B"/>
    <w:multiLevelType w:val="hybridMultilevel"/>
    <w:tmpl w:val="F81A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CE725B"/>
    <w:multiLevelType w:val="singleLevel"/>
    <w:tmpl w:val="0C09000F"/>
    <w:lvl w:ilvl="0">
      <w:start w:val="1"/>
      <w:numFmt w:val="decimal"/>
      <w:lvlText w:val="%1."/>
      <w:lvlJc w:val="left"/>
      <w:pPr>
        <w:ind w:left="720" w:hanging="360"/>
      </w:pPr>
    </w:lvl>
  </w:abstractNum>
  <w:abstractNum w:abstractNumId="8">
    <w:nsid w:val="48FF2D2E"/>
    <w:multiLevelType w:val="hybridMultilevel"/>
    <w:tmpl w:val="F37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133E3C"/>
    <w:multiLevelType w:val="hybridMultilevel"/>
    <w:tmpl w:val="7C06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64086E"/>
    <w:multiLevelType w:val="hybridMultilevel"/>
    <w:tmpl w:val="3D1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596F75"/>
    <w:multiLevelType w:val="hybridMultilevel"/>
    <w:tmpl w:val="532A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F4058A"/>
    <w:multiLevelType w:val="hybridMultilevel"/>
    <w:tmpl w:val="70C6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BC5264"/>
    <w:multiLevelType w:val="singleLevel"/>
    <w:tmpl w:val="1E82E2EC"/>
    <w:lvl w:ilvl="0">
      <w:start w:val="1"/>
      <w:numFmt w:val="decimal"/>
      <w:lvlText w:val="%1."/>
      <w:lvlJc w:val="left"/>
      <w:pPr>
        <w:ind w:left="720" w:hanging="360"/>
      </w:pPr>
      <w:rPr>
        <w:rFonts w:ascii="Arial" w:hAnsi="Arial" w:cs="Arial" w:hint="default"/>
        <w:sz w:val="22"/>
        <w:szCs w:val="22"/>
      </w:rPr>
    </w:lvl>
  </w:abstractNum>
  <w:abstractNum w:abstractNumId="14">
    <w:nsid w:val="7FAE0D2D"/>
    <w:multiLevelType w:val="hybridMultilevel"/>
    <w:tmpl w:val="2F8A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2"/>
  </w:num>
  <w:num w:numId="5">
    <w:abstractNumId w:val="8"/>
  </w:num>
  <w:num w:numId="6">
    <w:abstractNumId w:val="3"/>
  </w:num>
  <w:num w:numId="7">
    <w:abstractNumId w:val="9"/>
  </w:num>
  <w:num w:numId="8">
    <w:abstractNumId w:val="12"/>
  </w:num>
  <w:num w:numId="9">
    <w:abstractNumId w:val="7"/>
  </w:num>
  <w:num w:numId="10">
    <w:abstractNumId w:val="13"/>
  </w:num>
  <w:num w:numId="11">
    <w:abstractNumId w:val="10"/>
  </w:num>
  <w:num w:numId="12">
    <w:abstractNumId w:val="4"/>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3"/>
    <w:rsid w:val="000078A8"/>
    <w:rsid w:val="00016294"/>
    <w:rsid w:val="00032D41"/>
    <w:rsid w:val="00047206"/>
    <w:rsid w:val="0005398A"/>
    <w:rsid w:val="00056713"/>
    <w:rsid w:val="00086D8C"/>
    <w:rsid w:val="0008725F"/>
    <w:rsid w:val="000B30C6"/>
    <w:rsid w:val="000B6063"/>
    <w:rsid w:val="000E3D3A"/>
    <w:rsid w:val="0010375B"/>
    <w:rsid w:val="001242D3"/>
    <w:rsid w:val="0013499B"/>
    <w:rsid w:val="001518E6"/>
    <w:rsid w:val="00172763"/>
    <w:rsid w:val="0018228E"/>
    <w:rsid w:val="001A1826"/>
    <w:rsid w:val="001A7542"/>
    <w:rsid w:val="001B1A96"/>
    <w:rsid w:val="001C2D30"/>
    <w:rsid w:val="001E35A4"/>
    <w:rsid w:val="00212336"/>
    <w:rsid w:val="00214C13"/>
    <w:rsid w:val="002440B0"/>
    <w:rsid w:val="00282DE4"/>
    <w:rsid w:val="002C316E"/>
    <w:rsid w:val="002E1500"/>
    <w:rsid w:val="002F1442"/>
    <w:rsid w:val="002F763F"/>
    <w:rsid w:val="00300426"/>
    <w:rsid w:val="0032106C"/>
    <w:rsid w:val="003446DC"/>
    <w:rsid w:val="00361293"/>
    <w:rsid w:val="00365D34"/>
    <w:rsid w:val="00371578"/>
    <w:rsid w:val="00383C51"/>
    <w:rsid w:val="00386EED"/>
    <w:rsid w:val="003A4D85"/>
    <w:rsid w:val="003B4FB4"/>
    <w:rsid w:val="003C1DA2"/>
    <w:rsid w:val="003D3394"/>
    <w:rsid w:val="003F2DC8"/>
    <w:rsid w:val="004031E0"/>
    <w:rsid w:val="00410474"/>
    <w:rsid w:val="00421001"/>
    <w:rsid w:val="00431637"/>
    <w:rsid w:val="004652B1"/>
    <w:rsid w:val="0048076F"/>
    <w:rsid w:val="004811B8"/>
    <w:rsid w:val="00486C7B"/>
    <w:rsid w:val="004E1A46"/>
    <w:rsid w:val="004F540D"/>
    <w:rsid w:val="0053077B"/>
    <w:rsid w:val="00531246"/>
    <w:rsid w:val="0054701E"/>
    <w:rsid w:val="00551D5B"/>
    <w:rsid w:val="00553FFC"/>
    <w:rsid w:val="005703E1"/>
    <w:rsid w:val="00571BB7"/>
    <w:rsid w:val="00591163"/>
    <w:rsid w:val="00592173"/>
    <w:rsid w:val="005A1A22"/>
    <w:rsid w:val="005A3C4B"/>
    <w:rsid w:val="005A7658"/>
    <w:rsid w:val="005B0384"/>
    <w:rsid w:val="005B23B1"/>
    <w:rsid w:val="005B61F2"/>
    <w:rsid w:val="005C0275"/>
    <w:rsid w:val="005C2ABF"/>
    <w:rsid w:val="005C6FC4"/>
    <w:rsid w:val="005E1050"/>
    <w:rsid w:val="005F7A75"/>
    <w:rsid w:val="0062658C"/>
    <w:rsid w:val="00660BC0"/>
    <w:rsid w:val="00664F5D"/>
    <w:rsid w:val="00665CDE"/>
    <w:rsid w:val="006725E1"/>
    <w:rsid w:val="00681E01"/>
    <w:rsid w:val="00682DBA"/>
    <w:rsid w:val="00690C57"/>
    <w:rsid w:val="00696FF3"/>
    <w:rsid w:val="006A12C2"/>
    <w:rsid w:val="006C2888"/>
    <w:rsid w:val="006D3566"/>
    <w:rsid w:val="006F5035"/>
    <w:rsid w:val="00705F50"/>
    <w:rsid w:val="0070690A"/>
    <w:rsid w:val="007208AD"/>
    <w:rsid w:val="007345C2"/>
    <w:rsid w:val="00736036"/>
    <w:rsid w:val="007410FF"/>
    <w:rsid w:val="007441B3"/>
    <w:rsid w:val="007617D3"/>
    <w:rsid w:val="00767653"/>
    <w:rsid w:val="00773A6F"/>
    <w:rsid w:val="00781A83"/>
    <w:rsid w:val="007A7146"/>
    <w:rsid w:val="007A7E06"/>
    <w:rsid w:val="007D067D"/>
    <w:rsid w:val="007D6DBB"/>
    <w:rsid w:val="007D6DF3"/>
    <w:rsid w:val="00851972"/>
    <w:rsid w:val="00870772"/>
    <w:rsid w:val="00887E4A"/>
    <w:rsid w:val="008955CB"/>
    <w:rsid w:val="008B3A10"/>
    <w:rsid w:val="008F5497"/>
    <w:rsid w:val="0090565E"/>
    <w:rsid w:val="00926F03"/>
    <w:rsid w:val="009375E3"/>
    <w:rsid w:val="009940C1"/>
    <w:rsid w:val="009C1EC3"/>
    <w:rsid w:val="009F2371"/>
    <w:rsid w:val="00A012E7"/>
    <w:rsid w:val="00A102E6"/>
    <w:rsid w:val="00A1433B"/>
    <w:rsid w:val="00A40B36"/>
    <w:rsid w:val="00A6630F"/>
    <w:rsid w:val="00A74383"/>
    <w:rsid w:val="00A93BA2"/>
    <w:rsid w:val="00AD7231"/>
    <w:rsid w:val="00AF3ED2"/>
    <w:rsid w:val="00B04681"/>
    <w:rsid w:val="00B10D78"/>
    <w:rsid w:val="00B34CED"/>
    <w:rsid w:val="00B364C1"/>
    <w:rsid w:val="00B463BC"/>
    <w:rsid w:val="00B725D3"/>
    <w:rsid w:val="00B85427"/>
    <w:rsid w:val="00B863C1"/>
    <w:rsid w:val="00B9599A"/>
    <w:rsid w:val="00BA7F41"/>
    <w:rsid w:val="00BB5E29"/>
    <w:rsid w:val="00BE16C3"/>
    <w:rsid w:val="00C03CF1"/>
    <w:rsid w:val="00C26E3F"/>
    <w:rsid w:val="00C27EB3"/>
    <w:rsid w:val="00C61461"/>
    <w:rsid w:val="00C64EDE"/>
    <w:rsid w:val="00C83627"/>
    <w:rsid w:val="00C86237"/>
    <w:rsid w:val="00C96734"/>
    <w:rsid w:val="00CA0818"/>
    <w:rsid w:val="00CA2F3F"/>
    <w:rsid w:val="00CA3FF7"/>
    <w:rsid w:val="00CB54AF"/>
    <w:rsid w:val="00CD777E"/>
    <w:rsid w:val="00CE6F04"/>
    <w:rsid w:val="00CE74D1"/>
    <w:rsid w:val="00D30B8A"/>
    <w:rsid w:val="00D40BF7"/>
    <w:rsid w:val="00DB0EA2"/>
    <w:rsid w:val="00DC22AE"/>
    <w:rsid w:val="00DD0140"/>
    <w:rsid w:val="00DD5F6D"/>
    <w:rsid w:val="00E00D10"/>
    <w:rsid w:val="00E04879"/>
    <w:rsid w:val="00E04DFB"/>
    <w:rsid w:val="00E12827"/>
    <w:rsid w:val="00E41212"/>
    <w:rsid w:val="00E474F2"/>
    <w:rsid w:val="00E80A68"/>
    <w:rsid w:val="00E81FD2"/>
    <w:rsid w:val="00E84703"/>
    <w:rsid w:val="00EB5B9B"/>
    <w:rsid w:val="00EE30C9"/>
    <w:rsid w:val="00EE704E"/>
    <w:rsid w:val="00EF2B3F"/>
    <w:rsid w:val="00F00304"/>
    <w:rsid w:val="00F12D2E"/>
    <w:rsid w:val="00F14502"/>
    <w:rsid w:val="00F232DB"/>
    <w:rsid w:val="00F37724"/>
    <w:rsid w:val="00F7564C"/>
    <w:rsid w:val="00F7653F"/>
    <w:rsid w:val="00F82570"/>
    <w:rsid w:val="00F9306B"/>
    <w:rsid w:val="00F93FED"/>
    <w:rsid w:val="00FA0E58"/>
    <w:rsid w:val="00FB6589"/>
    <w:rsid w:val="00FC2C61"/>
    <w:rsid w:val="00FD6AC2"/>
    <w:rsid w:val="00FE465D"/>
    <w:rsid w:val="00FF25CA"/>
    <w:rsid w:val="00FF5D6C"/>
    <w:rsid w:val="00FF7D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7DC3"/>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DC3"/>
    <w:rPr>
      <w:rFonts w:ascii="Arial" w:eastAsia="Times New Roman" w:hAnsi="Arial" w:cs="Times New Roman"/>
      <w:sz w:val="24"/>
      <w:szCs w:val="20"/>
      <w:u w:val="single"/>
    </w:rPr>
  </w:style>
  <w:style w:type="paragraph" w:styleId="BodyText">
    <w:name w:val="Body Text"/>
    <w:basedOn w:val="Normal"/>
    <w:link w:val="BodyTextChar"/>
    <w:rsid w:val="00FF7DC3"/>
    <w:pPr>
      <w:jc w:val="center"/>
    </w:pPr>
    <w:rPr>
      <w:rFonts w:ascii="Arial" w:hAnsi="Arial" w:cs="Arial"/>
      <w:b/>
      <w:bCs/>
      <w:sz w:val="44"/>
    </w:rPr>
  </w:style>
  <w:style w:type="character" w:customStyle="1" w:styleId="BodyTextChar">
    <w:name w:val="Body Text Char"/>
    <w:basedOn w:val="DefaultParagraphFont"/>
    <w:link w:val="BodyText"/>
    <w:rsid w:val="00FF7DC3"/>
    <w:rPr>
      <w:rFonts w:ascii="Arial" w:eastAsia="Times New Roman" w:hAnsi="Arial" w:cs="Arial"/>
      <w:b/>
      <w:bCs/>
      <w:sz w:val="44"/>
      <w:szCs w:val="24"/>
    </w:rPr>
  </w:style>
  <w:style w:type="paragraph" w:styleId="Header">
    <w:name w:val="header"/>
    <w:basedOn w:val="Normal"/>
    <w:link w:val="HeaderChar"/>
    <w:rsid w:val="00FF7DC3"/>
    <w:pPr>
      <w:tabs>
        <w:tab w:val="center" w:pos="4153"/>
        <w:tab w:val="right" w:pos="8306"/>
      </w:tabs>
    </w:pPr>
  </w:style>
  <w:style w:type="character" w:customStyle="1" w:styleId="HeaderChar">
    <w:name w:val="Header Char"/>
    <w:basedOn w:val="DefaultParagraphFont"/>
    <w:link w:val="Header"/>
    <w:rsid w:val="00FF7D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DC3"/>
    <w:rPr>
      <w:rFonts w:ascii="Tahoma" w:hAnsi="Tahoma" w:cs="Tahoma"/>
      <w:sz w:val="16"/>
      <w:szCs w:val="16"/>
    </w:rPr>
  </w:style>
  <w:style w:type="character" w:customStyle="1" w:styleId="BalloonTextChar">
    <w:name w:val="Balloon Text Char"/>
    <w:basedOn w:val="DefaultParagraphFont"/>
    <w:link w:val="BalloonText"/>
    <w:uiPriority w:val="99"/>
    <w:semiHidden/>
    <w:rsid w:val="00FF7DC3"/>
    <w:rPr>
      <w:rFonts w:ascii="Tahoma" w:eastAsia="Times New Roman" w:hAnsi="Tahoma" w:cs="Tahoma"/>
      <w:sz w:val="16"/>
      <w:szCs w:val="16"/>
    </w:rPr>
  </w:style>
  <w:style w:type="paragraph" w:styleId="ListParagraph">
    <w:name w:val="List Paragraph"/>
    <w:basedOn w:val="Normal"/>
    <w:uiPriority w:val="34"/>
    <w:qFormat/>
    <w:rsid w:val="00410474"/>
    <w:pPr>
      <w:ind w:left="720"/>
      <w:contextualSpacing/>
    </w:pPr>
  </w:style>
  <w:style w:type="paragraph" w:styleId="EndnoteText">
    <w:name w:val="endnote text"/>
    <w:basedOn w:val="Normal"/>
    <w:link w:val="EndnoteTextChar"/>
    <w:uiPriority w:val="99"/>
    <w:semiHidden/>
    <w:unhideWhenUsed/>
    <w:rsid w:val="004031E0"/>
    <w:rPr>
      <w:sz w:val="20"/>
      <w:szCs w:val="20"/>
    </w:rPr>
  </w:style>
  <w:style w:type="character" w:customStyle="1" w:styleId="EndnoteTextChar">
    <w:name w:val="Endnote Text Char"/>
    <w:basedOn w:val="DefaultParagraphFont"/>
    <w:link w:val="EndnoteText"/>
    <w:uiPriority w:val="99"/>
    <w:semiHidden/>
    <w:rsid w:val="004031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031E0"/>
    <w:rPr>
      <w:vertAlign w:val="superscript"/>
    </w:rPr>
  </w:style>
  <w:style w:type="paragraph" w:styleId="Footer">
    <w:name w:val="footer"/>
    <w:basedOn w:val="Normal"/>
    <w:link w:val="FooterChar"/>
    <w:uiPriority w:val="99"/>
    <w:unhideWhenUsed/>
    <w:rsid w:val="00C26E3F"/>
    <w:pPr>
      <w:tabs>
        <w:tab w:val="center" w:pos="4513"/>
        <w:tab w:val="right" w:pos="9026"/>
      </w:tabs>
    </w:pPr>
  </w:style>
  <w:style w:type="character" w:customStyle="1" w:styleId="FooterChar">
    <w:name w:val="Footer Char"/>
    <w:basedOn w:val="DefaultParagraphFont"/>
    <w:link w:val="Footer"/>
    <w:uiPriority w:val="99"/>
    <w:rsid w:val="00C26E3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146"/>
    <w:rPr>
      <w:color w:val="0000FF"/>
      <w:u w:val="single"/>
    </w:rPr>
  </w:style>
  <w:style w:type="character" w:customStyle="1" w:styleId="s2">
    <w:name w:val="s2"/>
    <w:basedOn w:val="DefaultParagraphFont"/>
    <w:rsid w:val="00D30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7DC3"/>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DC3"/>
    <w:rPr>
      <w:rFonts w:ascii="Arial" w:eastAsia="Times New Roman" w:hAnsi="Arial" w:cs="Times New Roman"/>
      <w:sz w:val="24"/>
      <w:szCs w:val="20"/>
      <w:u w:val="single"/>
    </w:rPr>
  </w:style>
  <w:style w:type="paragraph" w:styleId="BodyText">
    <w:name w:val="Body Text"/>
    <w:basedOn w:val="Normal"/>
    <w:link w:val="BodyTextChar"/>
    <w:rsid w:val="00FF7DC3"/>
    <w:pPr>
      <w:jc w:val="center"/>
    </w:pPr>
    <w:rPr>
      <w:rFonts w:ascii="Arial" w:hAnsi="Arial" w:cs="Arial"/>
      <w:b/>
      <w:bCs/>
      <w:sz w:val="44"/>
    </w:rPr>
  </w:style>
  <w:style w:type="character" w:customStyle="1" w:styleId="BodyTextChar">
    <w:name w:val="Body Text Char"/>
    <w:basedOn w:val="DefaultParagraphFont"/>
    <w:link w:val="BodyText"/>
    <w:rsid w:val="00FF7DC3"/>
    <w:rPr>
      <w:rFonts w:ascii="Arial" w:eastAsia="Times New Roman" w:hAnsi="Arial" w:cs="Arial"/>
      <w:b/>
      <w:bCs/>
      <w:sz w:val="44"/>
      <w:szCs w:val="24"/>
    </w:rPr>
  </w:style>
  <w:style w:type="paragraph" w:styleId="Header">
    <w:name w:val="header"/>
    <w:basedOn w:val="Normal"/>
    <w:link w:val="HeaderChar"/>
    <w:rsid w:val="00FF7DC3"/>
    <w:pPr>
      <w:tabs>
        <w:tab w:val="center" w:pos="4153"/>
        <w:tab w:val="right" w:pos="8306"/>
      </w:tabs>
    </w:pPr>
  </w:style>
  <w:style w:type="character" w:customStyle="1" w:styleId="HeaderChar">
    <w:name w:val="Header Char"/>
    <w:basedOn w:val="DefaultParagraphFont"/>
    <w:link w:val="Header"/>
    <w:rsid w:val="00FF7D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7DC3"/>
    <w:rPr>
      <w:rFonts w:ascii="Tahoma" w:hAnsi="Tahoma" w:cs="Tahoma"/>
      <w:sz w:val="16"/>
      <w:szCs w:val="16"/>
    </w:rPr>
  </w:style>
  <w:style w:type="character" w:customStyle="1" w:styleId="BalloonTextChar">
    <w:name w:val="Balloon Text Char"/>
    <w:basedOn w:val="DefaultParagraphFont"/>
    <w:link w:val="BalloonText"/>
    <w:uiPriority w:val="99"/>
    <w:semiHidden/>
    <w:rsid w:val="00FF7DC3"/>
    <w:rPr>
      <w:rFonts w:ascii="Tahoma" w:eastAsia="Times New Roman" w:hAnsi="Tahoma" w:cs="Tahoma"/>
      <w:sz w:val="16"/>
      <w:szCs w:val="16"/>
    </w:rPr>
  </w:style>
  <w:style w:type="paragraph" w:styleId="ListParagraph">
    <w:name w:val="List Paragraph"/>
    <w:basedOn w:val="Normal"/>
    <w:uiPriority w:val="34"/>
    <w:qFormat/>
    <w:rsid w:val="00410474"/>
    <w:pPr>
      <w:ind w:left="720"/>
      <w:contextualSpacing/>
    </w:pPr>
  </w:style>
  <w:style w:type="paragraph" w:styleId="EndnoteText">
    <w:name w:val="endnote text"/>
    <w:basedOn w:val="Normal"/>
    <w:link w:val="EndnoteTextChar"/>
    <w:uiPriority w:val="99"/>
    <w:semiHidden/>
    <w:unhideWhenUsed/>
    <w:rsid w:val="004031E0"/>
    <w:rPr>
      <w:sz w:val="20"/>
      <w:szCs w:val="20"/>
    </w:rPr>
  </w:style>
  <w:style w:type="character" w:customStyle="1" w:styleId="EndnoteTextChar">
    <w:name w:val="Endnote Text Char"/>
    <w:basedOn w:val="DefaultParagraphFont"/>
    <w:link w:val="EndnoteText"/>
    <w:uiPriority w:val="99"/>
    <w:semiHidden/>
    <w:rsid w:val="004031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031E0"/>
    <w:rPr>
      <w:vertAlign w:val="superscript"/>
    </w:rPr>
  </w:style>
  <w:style w:type="paragraph" w:styleId="Footer">
    <w:name w:val="footer"/>
    <w:basedOn w:val="Normal"/>
    <w:link w:val="FooterChar"/>
    <w:uiPriority w:val="99"/>
    <w:unhideWhenUsed/>
    <w:rsid w:val="00C26E3F"/>
    <w:pPr>
      <w:tabs>
        <w:tab w:val="center" w:pos="4513"/>
        <w:tab w:val="right" w:pos="9026"/>
      </w:tabs>
    </w:pPr>
  </w:style>
  <w:style w:type="character" w:customStyle="1" w:styleId="FooterChar">
    <w:name w:val="Footer Char"/>
    <w:basedOn w:val="DefaultParagraphFont"/>
    <w:link w:val="Footer"/>
    <w:uiPriority w:val="99"/>
    <w:rsid w:val="00C26E3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146"/>
    <w:rPr>
      <w:color w:val="0000FF"/>
      <w:u w:val="single"/>
    </w:rPr>
  </w:style>
  <w:style w:type="character" w:customStyle="1" w:styleId="s2">
    <w:name w:val="s2"/>
    <w:basedOn w:val="DefaultParagraphFont"/>
    <w:rsid w:val="00D3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CE03-DC84-4A5E-A361-29F35FD3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Cunningham</dc:creator>
  <cp:lastModifiedBy>Michele Murphy (DELWP)</cp:lastModifiedBy>
  <cp:revision>3</cp:revision>
  <cp:lastPrinted>2018-01-24T02:35:00Z</cp:lastPrinted>
  <dcterms:created xsi:type="dcterms:W3CDTF">2018-02-27T09:42:00Z</dcterms:created>
  <dcterms:modified xsi:type="dcterms:W3CDTF">2018-02-27T09:45:00Z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7297a8ac-33c1-4549-b52b-640f3a072c09</vt:lpwstr>
  </property>
  <property fmtid="{D5CDD505-2E9C-101B-9397-08002B2CF9AE}" pid="3" name="PSPFClassification">
    <vt:lpwstr>Do Not Mark</vt:lpwstr>
  </property>
</Properties>
</file>